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u w:val="none"/>
        </w:rPr>
      </w:pPr>
      <w:r>
        <w:rPr>
          <w:rFonts w:eastAsia="黑体"/>
          <w:u w:val="none"/>
        </w:rPr>
        <w:t>附件1：</w:t>
      </w: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jc w:val="center"/>
        <w:rPr>
          <w:rFonts w:eastAsia="方正小标宋简体"/>
          <w:sz w:val="44"/>
          <w:szCs w:val="44"/>
          <w:u w:val="none"/>
        </w:rPr>
      </w:pPr>
      <w:r>
        <w:rPr>
          <w:rFonts w:hint="eastAsia" w:eastAsia="方正小标宋简体"/>
          <w:sz w:val="44"/>
          <w:szCs w:val="44"/>
          <w:u w:val="single"/>
          <w:lang w:eastAsia="zh-CN"/>
        </w:rPr>
        <w:t>通榆县土地管理工作站</w:t>
      </w:r>
      <w:r>
        <w:rPr>
          <w:rFonts w:hint="eastAsia" w:eastAsia="方正小标宋简体"/>
          <w:sz w:val="44"/>
          <w:szCs w:val="44"/>
          <w:u w:val="none"/>
          <w:lang w:eastAsia="zh-CN"/>
        </w:rPr>
        <w:t>2024年</w:t>
      </w:r>
      <w:r>
        <w:rPr>
          <w:rFonts w:eastAsia="方正小标宋简体"/>
          <w:sz w:val="44"/>
          <w:szCs w:val="44"/>
          <w:u w:val="none"/>
        </w:rPr>
        <w:t>部门预算</w:t>
      </w:r>
    </w:p>
    <w:p>
      <w:pPr>
        <w:jc w:val="left"/>
        <w:rPr>
          <w:u w:val="none"/>
        </w:rPr>
      </w:pPr>
      <w:r>
        <w:rPr>
          <w:u w:val="none"/>
        </w:rPr>
        <w:tab/>
      </w:r>
      <w:r>
        <w:rPr>
          <w:u w:val="none"/>
        </w:rPr>
        <w:tab/>
      </w:r>
      <w:r>
        <w:rPr>
          <w:u w:val="none"/>
        </w:rPr>
        <w:tab/>
      </w:r>
      <w:r>
        <w:rPr>
          <w:u w:val="none"/>
        </w:rPr>
        <w:tab/>
      </w:r>
      <w:r>
        <w:rPr>
          <w:u w:val="none"/>
        </w:rPr>
        <w:tab/>
      </w:r>
      <w:r>
        <w:rPr>
          <w:u w:val="none"/>
        </w:rPr>
        <w:tab/>
      </w:r>
    </w:p>
    <w:p>
      <w:pPr>
        <w:jc w:val="left"/>
        <w:rPr>
          <w:u w:val="none"/>
        </w:rPr>
      </w:pPr>
    </w:p>
    <w:p>
      <w:pPr>
        <w:jc w:val="left"/>
        <w:rPr>
          <w:u w:val="none"/>
        </w:rPr>
      </w:pPr>
    </w:p>
    <w:p>
      <w:pPr>
        <w:jc w:val="left"/>
        <w:rPr>
          <w:u w:val="none"/>
        </w:rPr>
      </w:pPr>
    </w:p>
    <w:p>
      <w:pPr>
        <w:jc w:val="left"/>
        <w:rPr>
          <w:u w:val="none"/>
        </w:rPr>
      </w:pPr>
    </w:p>
    <w:p>
      <w:pPr>
        <w:jc w:val="center"/>
        <w:rPr>
          <w:u w:val="none"/>
        </w:rPr>
      </w:pPr>
      <w:r>
        <w:rPr>
          <w:rFonts w:hint="eastAsia" w:ascii="黑体" w:hAnsi="黑体" w:eastAsia="黑体" w:cs="黑体"/>
          <w:u w:val="none"/>
          <w:lang w:val="en-US" w:eastAsia="zh-CN"/>
        </w:rPr>
        <w:t>2024年1月30日</w:t>
      </w:r>
    </w:p>
    <w:p>
      <w:pPr>
        <w:jc w:val="left"/>
        <w:rPr>
          <w:u w:val="none"/>
        </w:rPr>
      </w:pPr>
    </w:p>
    <w:p>
      <w:pPr>
        <w:jc w:val="left"/>
        <w:rPr>
          <w:u w:val="none"/>
        </w:rPr>
      </w:pPr>
    </w:p>
    <w:p>
      <w:pPr>
        <w:jc w:val="left"/>
        <w:rPr>
          <w:u w:val="none"/>
        </w:rPr>
      </w:pPr>
    </w:p>
    <w:p>
      <w:pPr>
        <w:rPr>
          <w:rFonts w:eastAsia="黑体"/>
          <w:u w:val="none"/>
        </w:rPr>
      </w:pPr>
    </w:p>
    <w:p>
      <w:pPr>
        <w:ind w:firstLine="640" w:firstLineChars="200"/>
        <w:rPr>
          <w:rFonts w:eastAsia="黑体"/>
          <w:u w:val="none"/>
        </w:rPr>
      </w:pPr>
    </w:p>
    <w:p>
      <w:pPr>
        <w:ind w:firstLine="640" w:firstLineChars="200"/>
        <w:rPr>
          <w:rFonts w:eastAsia="黑体"/>
          <w:u w:val="none"/>
        </w:rPr>
      </w:pPr>
      <w:r>
        <w:rPr>
          <w:rFonts w:eastAsia="黑体"/>
          <w:u w:val="none"/>
        </w:rPr>
        <w:br w:type="page"/>
      </w:r>
    </w:p>
    <w:p>
      <w:pPr>
        <w:ind w:firstLine="640" w:firstLineChars="200"/>
        <w:rPr>
          <w:rFonts w:eastAsia="黑体"/>
          <w:u w:val="none"/>
        </w:rPr>
      </w:pPr>
    </w:p>
    <w:p>
      <w:pPr>
        <w:jc w:val="center"/>
        <w:rPr>
          <w:rFonts w:eastAsia="方正小标宋简体"/>
          <w:sz w:val="44"/>
          <w:szCs w:val="44"/>
          <w:u w:val="none"/>
        </w:rPr>
      </w:pPr>
      <w:r>
        <w:rPr>
          <w:rFonts w:eastAsia="方正小标宋简体"/>
          <w:sz w:val="44"/>
          <w:szCs w:val="44"/>
          <w:u w:val="none"/>
        </w:rPr>
        <w:t>目  录</w:t>
      </w:r>
    </w:p>
    <w:p>
      <w:pPr>
        <w:rPr>
          <w:rFonts w:eastAsia="黑体"/>
          <w:u w:val="none"/>
        </w:rPr>
      </w:pP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rPr>
          <w:rFonts w:eastAsia="黑体"/>
          <w:u w:val="none"/>
        </w:rPr>
      </w:pPr>
      <w:r>
        <w:rPr>
          <w:rFonts w:eastAsia="黑体"/>
          <w:u w:val="none"/>
        </w:rPr>
        <w:t>第一部分  部门概况</w:t>
      </w: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ind w:left="320" w:leftChars="100" w:firstLine="320" w:firstLineChars="100"/>
        <w:rPr>
          <w:u w:val="none"/>
        </w:rPr>
      </w:pPr>
      <w:r>
        <w:rPr>
          <w:u w:val="none"/>
        </w:rPr>
        <w:t>一、主要职能</w:t>
      </w:r>
    </w:p>
    <w:p>
      <w:pPr>
        <w:ind w:left="320" w:leftChars="100" w:firstLine="320" w:firstLineChars="100"/>
        <w:rPr>
          <w:u w:val="none"/>
        </w:rPr>
      </w:pPr>
      <w:r>
        <w:rPr>
          <w:u w:val="none"/>
        </w:rPr>
        <w:t>二、机构设置</w:t>
      </w:r>
    </w:p>
    <w:p>
      <w:pPr>
        <w:rPr>
          <w:rFonts w:eastAsia="黑体"/>
          <w:u w:val="none"/>
        </w:rPr>
      </w:pPr>
      <w:r>
        <w:rPr>
          <w:rFonts w:eastAsia="黑体"/>
          <w:u w:val="none"/>
        </w:rPr>
        <w:t>第二部分  预算表格</w:t>
      </w:r>
    </w:p>
    <w:p>
      <w:pPr>
        <w:ind w:left="320" w:leftChars="100" w:firstLine="320" w:firstLineChars="100"/>
        <w:rPr>
          <w:u w:val="none"/>
        </w:rPr>
      </w:pPr>
      <w:r>
        <w:rPr>
          <w:u w:val="none"/>
        </w:rPr>
        <w:t>一、收支</w:t>
      </w:r>
      <w:r>
        <w:rPr>
          <w:rFonts w:hint="eastAsia"/>
          <w:u w:val="none"/>
        </w:rPr>
        <w:t>总</w:t>
      </w:r>
      <w:r>
        <w:rPr>
          <w:u w:val="none"/>
        </w:rPr>
        <w:t>表</w:t>
      </w:r>
    </w:p>
    <w:p>
      <w:pPr>
        <w:ind w:left="320" w:leftChars="100" w:firstLine="320" w:firstLineChars="100"/>
        <w:rPr>
          <w:u w:val="none"/>
        </w:rPr>
      </w:pPr>
      <w:r>
        <w:rPr>
          <w:u w:val="none"/>
        </w:rPr>
        <w:t>二、收入</w:t>
      </w:r>
      <w:r>
        <w:rPr>
          <w:rFonts w:hint="eastAsia"/>
          <w:u w:val="none"/>
        </w:rPr>
        <w:t>总</w:t>
      </w:r>
      <w:r>
        <w:rPr>
          <w:u w:val="none"/>
        </w:rPr>
        <w:t>表</w:t>
      </w:r>
    </w:p>
    <w:p>
      <w:pPr>
        <w:ind w:left="320" w:leftChars="100" w:firstLine="320" w:firstLineChars="100"/>
        <w:rPr>
          <w:u w:val="none"/>
        </w:rPr>
      </w:pPr>
      <w:r>
        <w:rPr>
          <w:u w:val="none"/>
        </w:rPr>
        <w:t>三、支出</w:t>
      </w:r>
      <w:r>
        <w:rPr>
          <w:rFonts w:hint="eastAsia"/>
          <w:u w:val="none"/>
        </w:rPr>
        <w:t>总</w:t>
      </w:r>
      <w:r>
        <w:rPr>
          <w:u w:val="none"/>
        </w:rPr>
        <w:t>表</w:t>
      </w:r>
    </w:p>
    <w:p>
      <w:pPr>
        <w:ind w:left="320" w:leftChars="100" w:firstLine="320" w:firstLineChars="100"/>
        <w:rPr>
          <w:u w:val="none"/>
        </w:rPr>
      </w:pPr>
      <w:r>
        <w:rPr>
          <w:u w:val="none"/>
        </w:rPr>
        <w:t>四、财政拨款收支</w:t>
      </w:r>
      <w:r>
        <w:rPr>
          <w:rFonts w:hint="eastAsia"/>
          <w:u w:val="none"/>
        </w:rPr>
        <w:t>总</w:t>
      </w:r>
      <w:r>
        <w:rPr>
          <w:u w:val="none"/>
        </w:rPr>
        <w:t>表</w:t>
      </w:r>
    </w:p>
    <w:p>
      <w:pPr>
        <w:ind w:left="320" w:leftChars="100" w:firstLine="320" w:firstLineChars="100"/>
        <w:rPr>
          <w:rFonts w:hint="eastAsia"/>
          <w:u w:val="none"/>
        </w:rPr>
      </w:pPr>
      <w:r>
        <w:rPr>
          <w:u w:val="none"/>
        </w:rPr>
        <w:t>五、</w:t>
      </w:r>
      <w:r>
        <w:rPr>
          <w:rFonts w:hint="eastAsia"/>
          <w:u w:val="none"/>
        </w:rPr>
        <w:t>一般公共预算支出表</w:t>
      </w:r>
    </w:p>
    <w:p>
      <w:pPr>
        <w:ind w:left="320" w:leftChars="100" w:firstLine="320" w:firstLineChars="100"/>
        <w:rPr>
          <w:rFonts w:hint="eastAsia"/>
          <w:u w:val="none"/>
        </w:rPr>
      </w:pPr>
      <w:r>
        <w:rPr>
          <w:u w:val="none"/>
        </w:rPr>
        <w:t>六、</w:t>
      </w:r>
      <w:r>
        <w:rPr>
          <w:rFonts w:hint="eastAsia"/>
          <w:u w:val="none"/>
        </w:rPr>
        <w:t>一般公共预算基本支出表</w:t>
      </w:r>
    </w:p>
    <w:p>
      <w:pPr>
        <w:ind w:left="320" w:leftChars="100" w:firstLine="320" w:firstLineChars="100"/>
        <w:rPr>
          <w:u w:val="none"/>
        </w:rPr>
      </w:pPr>
      <w:r>
        <w:rPr>
          <w:u w:val="none"/>
        </w:rPr>
        <w:t>七、一般公共预算“三公”经费支出表</w:t>
      </w:r>
    </w:p>
    <w:p>
      <w:pPr>
        <w:ind w:left="320" w:leftChars="100" w:firstLine="320" w:firstLineChars="100"/>
        <w:rPr>
          <w:u w:val="none"/>
        </w:rPr>
      </w:pPr>
      <w:r>
        <w:rPr>
          <w:u w:val="none"/>
        </w:rPr>
        <w:t>八、政府性基金预算支出表</w:t>
      </w:r>
    </w:p>
    <w:p>
      <w:pPr>
        <w:ind w:left="320" w:leftChars="100" w:firstLine="320" w:firstLineChars="100"/>
        <w:rPr>
          <w:rFonts w:hint="eastAsia"/>
          <w:u w:val="none"/>
        </w:rPr>
      </w:pPr>
      <w:r>
        <w:rPr>
          <w:rFonts w:hint="eastAsia"/>
          <w:u w:val="none"/>
        </w:rPr>
        <w:t>九、国有资本经营</w:t>
      </w:r>
      <w:r>
        <w:rPr>
          <w:u w:val="none"/>
        </w:rPr>
        <w:t>预算支出表</w:t>
      </w:r>
    </w:p>
    <w:p>
      <w:pPr>
        <w:ind w:left="320" w:leftChars="100" w:firstLine="320" w:firstLineChars="100"/>
        <w:rPr>
          <w:rFonts w:hint="eastAsia"/>
          <w:u w:val="none"/>
        </w:rPr>
      </w:pPr>
      <w:r>
        <w:rPr>
          <w:rFonts w:hint="eastAsia"/>
          <w:u w:val="none"/>
        </w:rPr>
        <w:t>十、项目支出表</w:t>
      </w:r>
    </w:p>
    <w:p>
      <w:pPr>
        <w:ind w:left="320" w:leftChars="100" w:firstLine="320" w:firstLineChars="100"/>
        <w:rPr>
          <w:rFonts w:hint="eastAsia"/>
          <w:u w:val="none"/>
        </w:rPr>
      </w:pPr>
      <w:r>
        <w:rPr>
          <w:rFonts w:hint="eastAsia"/>
          <w:u w:val="none"/>
        </w:rPr>
        <w:t>十一、项目支出绩效目标表</w:t>
      </w:r>
    </w:p>
    <w:p>
      <w:pPr>
        <w:rPr>
          <w:rFonts w:eastAsia="黑体"/>
          <w:u w:val="none"/>
        </w:rPr>
      </w:pPr>
      <w:r>
        <w:rPr>
          <w:rFonts w:eastAsia="黑体"/>
          <w:u w:val="none"/>
        </w:rPr>
        <w:t>第三部分  情况说明</w:t>
      </w:r>
    </w:p>
    <w:p>
      <w:pPr>
        <w:rPr>
          <w:rFonts w:eastAsia="黑体"/>
          <w:u w:val="none"/>
        </w:rPr>
      </w:pPr>
      <w:r>
        <w:rPr>
          <w:rFonts w:eastAsia="黑体"/>
          <w:u w:val="none"/>
        </w:rPr>
        <w:t>第四部分  名词解释</w:t>
      </w:r>
    </w:p>
    <w:p>
      <w:pPr>
        <w:rPr>
          <w:rFonts w:eastAsia="黑体"/>
          <w:u w:val="none"/>
        </w:rPr>
      </w:pPr>
      <w:r>
        <w:rPr>
          <w:rFonts w:eastAsia="黑体"/>
          <w:u w:val="none"/>
        </w:rPr>
        <w:br w:type="page"/>
      </w:r>
    </w:p>
    <w:p>
      <w:pPr>
        <w:ind w:firstLine="720" w:firstLineChars="200"/>
        <w:jc w:val="center"/>
        <w:rPr>
          <w:rFonts w:eastAsia="黑体"/>
          <w:sz w:val="36"/>
          <w:szCs w:val="36"/>
          <w:u w:val="none"/>
        </w:rPr>
      </w:pPr>
      <w:r>
        <w:rPr>
          <w:rFonts w:eastAsia="黑体"/>
          <w:sz w:val="36"/>
          <w:szCs w:val="36"/>
          <w:u w:val="none"/>
        </w:rPr>
        <w:t>第一部分 部门概况</w:t>
      </w:r>
    </w:p>
    <w:p>
      <w:pPr>
        <w:ind w:firstLine="640" w:firstLineChars="200"/>
        <w:rPr>
          <w:rFonts w:eastAsia="楷体_GB2312"/>
          <w:u w:val="none"/>
        </w:rPr>
      </w:pPr>
    </w:p>
    <w:p>
      <w:pPr>
        <w:pStyle w:val="51"/>
        <w:ind w:firstLine="640" w:firstLineChars="200"/>
        <w:rPr>
          <w:rFonts w:hint="eastAsia" w:ascii="仿宋" w:hAnsi="仿宋" w:eastAsia="仿宋" w:cs="仿宋"/>
          <w:u w:val="none"/>
        </w:rPr>
      </w:pPr>
      <w:r>
        <w:rPr>
          <w:rFonts w:hint="eastAsia" w:ascii="仿宋" w:hAnsi="仿宋" w:eastAsia="仿宋" w:cs="仿宋"/>
          <w:u w:val="none"/>
        </w:rPr>
        <w:t>一、主要职能</w:t>
      </w:r>
    </w:p>
    <w:p>
      <w:pPr>
        <w:pStyle w:val="51"/>
        <w:ind w:firstLine="640" w:firstLineChars="200"/>
        <w:rPr>
          <w:rFonts w:hint="eastAsia" w:ascii="仿宋" w:hAnsi="仿宋" w:eastAsia="仿宋" w:cs="仿宋"/>
          <w:u w:val="none"/>
        </w:rPr>
      </w:pPr>
      <w:r>
        <w:rPr>
          <w:rFonts w:hint="eastAsia" w:ascii="仿宋" w:hAnsi="仿宋" w:eastAsia="仿宋" w:cs="仿宋"/>
          <w:u w:val="none"/>
        </w:rPr>
        <w:t>(</w:t>
      </w:r>
      <w:r>
        <w:rPr>
          <w:rFonts w:hint="eastAsia" w:ascii="仿宋" w:hAnsi="仿宋" w:eastAsia="仿宋" w:cs="仿宋"/>
          <w:u w:val="none"/>
          <w:lang w:eastAsia="zh-CN"/>
        </w:rPr>
        <w:t>一</w:t>
      </w:r>
      <w:r>
        <w:rPr>
          <w:rFonts w:hint="eastAsia" w:ascii="仿宋" w:hAnsi="仿宋" w:eastAsia="仿宋" w:cs="仿宋"/>
          <w:u w:val="none"/>
        </w:rPr>
        <w:t>)承办土地利用现状调查,地籍调查、土地条件调查: 承办土地开发利用审批前的勘查、测量、成图工作、为开发利用打好基础;</w:t>
      </w:r>
    </w:p>
    <w:p>
      <w:pPr>
        <w:pStyle w:val="51"/>
        <w:ind w:firstLine="640" w:firstLineChars="200"/>
        <w:rPr>
          <w:rFonts w:hint="eastAsia" w:ascii="仿宋" w:hAnsi="仿宋" w:eastAsia="仿宋" w:cs="仿宋"/>
          <w:u w:val="none"/>
        </w:rPr>
      </w:pPr>
      <w:r>
        <w:rPr>
          <w:rFonts w:hint="eastAsia" w:ascii="仿宋" w:hAnsi="仿宋" w:eastAsia="仿宋" w:cs="仿宋"/>
          <w:u w:val="none"/>
        </w:rPr>
        <w:t>(二)承办局已审查间意的建设项目和征地包干具体事宜,包括: 测量、征地费月、土地开发费用的土地出让金等各种费税的计算,填写各种表格,组织用地双方签定协议,承包出让土地的拍卖、招标、技术操作;</w:t>
      </w:r>
    </w:p>
    <w:p>
      <w:pPr>
        <w:pStyle w:val="51"/>
        <w:ind w:firstLine="640" w:firstLineChars="200"/>
        <w:rPr>
          <w:rFonts w:hint="eastAsia" w:ascii="仿宋" w:hAnsi="仿宋" w:eastAsia="仿宋" w:cs="仿宋"/>
          <w:u w:val="none"/>
        </w:rPr>
      </w:pPr>
      <w:r>
        <w:rPr>
          <w:rFonts w:hint="eastAsia" w:ascii="仿宋" w:hAnsi="仿宋" w:eastAsia="仿宋" w:cs="仿宋"/>
          <w:u w:val="none"/>
        </w:rPr>
        <w:t>(三)承办城乡占用耕地建居民住房的用地审批过程中的服务,技术性业务工作;负责辖区内国有土地出让金、年租金的收缴工作;</w:t>
      </w:r>
    </w:p>
    <w:p>
      <w:pPr>
        <w:pStyle w:val="51"/>
        <w:ind w:firstLine="640" w:firstLineChars="200"/>
        <w:rPr>
          <w:rFonts w:hint="eastAsia" w:ascii="仿宋" w:hAnsi="仿宋" w:eastAsia="仿宋" w:cs="仿宋"/>
          <w:u w:val="none"/>
        </w:rPr>
      </w:pPr>
      <w:r>
        <w:rPr>
          <w:rFonts w:hint="eastAsia" w:ascii="仿宋" w:hAnsi="仿宋" w:eastAsia="仿宋" w:cs="仿宋"/>
          <w:u w:val="none"/>
        </w:rPr>
        <w:t>(四)负责辖区内机关、企事业、个人等用地户的土地权属确认和登记发证报批工作;</w:t>
      </w:r>
    </w:p>
    <w:p>
      <w:pPr>
        <w:pStyle w:val="51"/>
        <w:ind w:firstLine="640" w:firstLineChars="200"/>
        <w:rPr>
          <w:rFonts w:hint="eastAsia" w:ascii="仿宋" w:hAnsi="仿宋" w:eastAsia="仿宋" w:cs="仿宋"/>
          <w:u w:val="none"/>
        </w:rPr>
      </w:pPr>
      <w:r>
        <w:rPr>
          <w:rFonts w:hint="eastAsia" w:ascii="仿宋" w:hAnsi="仿宋" w:eastAsia="仿宋" w:cs="仿宋"/>
          <w:u w:val="none"/>
        </w:rPr>
        <w:t>(五)负责辖区内国有土地的使用权的出让、出租、转让、抵押等有偿使用的报批工作;</w:t>
      </w:r>
    </w:p>
    <w:p>
      <w:pPr>
        <w:pStyle w:val="51"/>
        <w:ind w:firstLine="640" w:firstLineChars="200"/>
        <w:rPr>
          <w:rFonts w:hint="eastAsia" w:ascii="仿宋" w:hAnsi="仿宋" w:eastAsia="仿宋" w:cs="仿宋"/>
          <w:u w:val="none"/>
        </w:rPr>
      </w:pPr>
      <w:r>
        <w:rPr>
          <w:rFonts w:hint="eastAsia" w:ascii="仿宋" w:hAnsi="仿宋" w:eastAsia="仿宋" w:cs="仿宋"/>
          <w:u w:val="none"/>
        </w:rPr>
        <w:t>(六)负责承办辖区内农民宅基地上报审批及土地登记的前期工作和泥草房改造工作;</w:t>
      </w:r>
    </w:p>
    <w:p>
      <w:pPr>
        <w:pStyle w:val="51"/>
        <w:ind w:firstLine="640" w:firstLineChars="200"/>
        <w:rPr>
          <w:rFonts w:hint="eastAsia" w:ascii="仿宋" w:hAnsi="仿宋" w:eastAsia="仿宋" w:cs="仿宋"/>
          <w:u w:val="none"/>
        </w:rPr>
      </w:pPr>
      <w:r>
        <w:rPr>
          <w:rFonts w:hint="eastAsia" w:ascii="仿宋" w:hAnsi="仿宋" w:eastAsia="仿宋" w:cs="仿宋"/>
          <w:u w:val="none"/>
        </w:rPr>
        <w:t>(七)负责辖区内的耕地保护工作;</w:t>
      </w:r>
    </w:p>
    <w:p>
      <w:pPr>
        <w:pStyle w:val="51"/>
        <w:ind w:firstLine="640" w:firstLineChars="200"/>
        <w:rPr>
          <w:rFonts w:hint="eastAsia" w:ascii="仿宋" w:hAnsi="仿宋" w:eastAsia="仿宋" w:cs="仿宋"/>
          <w:u w:val="none"/>
        </w:rPr>
      </w:pPr>
      <w:r>
        <w:rPr>
          <w:rFonts w:hint="eastAsia" w:ascii="仿宋" w:hAnsi="仿宋" w:eastAsia="仿宋" w:cs="仿宋"/>
          <w:u w:val="none"/>
        </w:rPr>
        <w:t>(八)根据土地利用总体规划和土地利用年度计划、制定并实施土地复垦整理开发规划和年度计划;</w:t>
      </w:r>
    </w:p>
    <w:p>
      <w:pPr>
        <w:pStyle w:val="51"/>
        <w:ind w:firstLine="640" w:firstLineChars="200"/>
        <w:rPr>
          <w:rFonts w:hint="eastAsia" w:ascii="仿宋" w:hAnsi="仿宋" w:eastAsia="仿宋" w:cs="仿宋"/>
          <w:u w:val="none"/>
        </w:rPr>
      </w:pPr>
      <w:r>
        <w:rPr>
          <w:rFonts w:hint="eastAsia" w:ascii="仿宋" w:hAnsi="仿宋" w:eastAsia="仿宋" w:cs="仿宋"/>
          <w:u w:val="none"/>
        </w:rPr>
        <w:t>(九)负贵土地复垦整理项目的调研、论证、项目报批、 实施等工作;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(十)负责全县高标准基本农田基本建设规划编制及实 施工作,为提高耕地质量建设,建设大规模旱涝保收高标准农田,夯实农业现代化基础提供保障;</w:t>
      </w:r>
    </w:p>
    <w:p>
      <w:pPr>
        <w:pStyle w:val="51"/>
        <w:ind w:firstLine="640" w:firstLineChars="200"/>
        <w:rPr>
          <w:rFonts w:hint="eastAsia" w:ascii="仿宋" w:hAnsi="仿宋" w:eastAsia="仿宋" w:cs="仿宋"/>
          <w:u w:val="none"/>
        </w:rPr>
      </w:pPr>
      <w:r>
        <w:rPr>
          <w:rFonts w:hint="eastAsia" w:ascii="仿宋" w:hAnsi="仿宋" w:eastAsia="仿宋" w:cs="仿宋"/>
          <w:u w:val="none"/>
        </w:rPr>
        <w:t>(十一)按照法律法规做好土地开发整理的基础性工作,负责全面开展土地开发复垦整理工作,满足全县建设用 地占用耕地指标、实现全县耕地占补平衡;</w:t>
      </w:r>
    </w:p>
    <w:p>
      <w:pPr>
        <w:pStyle w:val="51"/>
        <w:ind w:firstLine="640" w:firstLineChars="200"/>
        <w:rPr>
          <w:rFonts w:hint="eastAsia" w:ascii="仿宋" w:hAnsi="仿宋" w:eastAsia="仿宋" w:cs="仿宋"/>
          <w:u w:val="none"/>
        </w:rPr>
      </w:pPr>
      <w:r>
        <w:rPr>
          <w:rFonts w:hint="eastAsia" w:ascii="仿宋" w:hAnsi="仿宋" w:eastAsia="仿宋" w:cs="仿宋"/>
          <w:u w:val="none"/>
        </w:rPr>
        <w:t>(十二)组织落实新菜田开发建设项目的实施和监督;</w:t>
      </w:r>
    </w:p>
    <w:p>
      <w:pPr>
        <w:pStyle w:val="51"/>
        <w:ind w:firstLine="640" w:firstLineChars="200"/>
        <w:rPr>
          <w:rFonts w:hint="eastAsia" w:ascii="仿宋" w:hAnsi="仿宋" w:eastAsia="仿宋" w:cs="仿宋"/>
          <w:u w:val="none"/>
        </w:rPr>
      </w:pPr>
      <w:r>
        <w:rPr>
          <w:rFonts w:hint="eastAsia" w:ascii="仿宋" w:hAnsi="仿宋" w:eastAsia="仿宋" w:cs="仿宋"/>
          <w:u w:val="none"/>
        </w:rPr>
        <w:t>(十三)配合局相关科室做好辖区内土地、矿产资源的日常监督管理工作;</w:t>
      </w:r>
    </w:p>
    <w:p>
      <w:pPr>
        <w:pStyle w:val="51"/>
        <w:ind w:firstLine="640" w:firstLineChars="200"/>
        <w:rPr>
          <w:rFonts w:hint="eastAsia" w:ascii="仿宋" w:hAnsi="仿宋" w:eastAsia="仿宋" w:cs="仿宋"/>
          <w:u w:val="none"/>
        </w:rPr>
      </w:pPr>
      <w:r>
        <w:rPr>
          <w:rFonts w:hint="eastAsia" w:ascii="仿宋" w:hAnsi="仿宋" w:eastAsia="仿宋" w:cs="仿宋"/>
          <w:u w:val="none"/>
        </w:rPr>
        <w:t xml:space="preserve">(十四)负责调查调解辖区内的土地权属争议与纠纷工作 </w:t>
      </w:r>
      <w:r>
        <w:rPr>
          <w:rFonts w:hint="eastAsia" w:ascii="仿宋" w:hAnsi="仿宋" w:eastAsia="仿宋" w:cs="仿宋"/>
          <w:u w:val="none"/>
          <w:lang w:eastAsia="zh-CN"/>
        </w:rPr>
        <w:t>。</w:t>
      </w:r>
      <w:r>
        <w:rPr>
          <w:rFonts w:hint="eastAsia" w:ascii="仿宋" w:hAnsi="仿宋" w:eastAsia="仿宋" w:cs="仿宋"/>
          <w:u w:val="none"/>
        </w:rPr>
        <w:t>二、机构设置</w:t>
      </w:r>
    </w:p>
    <w:p>
      <w:pPr>
        <w:pStyle w:val="51"/>
        <w:ind w:firstLine="640" w:firstLineChars="200"/>
        <w:rPr>
          <w:rFonts w:hint="eastAsia" w:ascii="仿宋" w:hAnsi="仿宋" w:eastAsia="仿宋" w:cs="仿宋"/>
          <w:u w:val="none"/>
        </w:rPr>
      </w:pPr>
      <w:r>
        <w:rPr>
          <w:rFonts w:hint="eastAsia" w:ascii="仿宋" w:hAnsi="仿宋" w:eastAsia="仿宋" w:cs="仿宋"/>
          <w:u w:val="none"/>
        </w:rPr>
        <w:t>根据上述职责，</w:t>
      </w:r>
      <w:r>
        <w:rPr>
          <w:rFonts w:hint="eastAsia" w:ascii="仿宋" w:hAnsi="仿宋" w:eastAsia="仿宋" w:cs="仿宋"/>
          <w:u w:val="none"/>
          <w:lang w:eastAsia="zh-CN"/>
        </w:rPr>
        <w:t>通榆县土地管理工作站</w:t>
      </w:r>
      <w:r>
        <w:rPr>
          <w:rFonts w:hint="eastAsia" w:ascii="仿宋" w:hAnsi="仿宋" w:eastAsia="仿宋" w:cs="仿宋"/>
          <w:u w:val="none"/>
        </w:rPr>
        <w:t>内设</w:t>
      </w:r>
      <w:r>
        <w:rPr>
          <w:rFonts w:hint="eastAsia" w:ascii="仿宋" w:hAnsi="仿宋" w:eastAsia="仿宋" w:cs="仿宋"/>
          <w:u w:val="none"/>
          <w:lang w:val="en-US" w:eastAsia="zh-CN"/>
        </w:rPr>
        <w:t>1</w:t>
      </w:r>
      <w:r>
        <w:rPr>
          <w:rFonts w:hint="eastAsia" w:ascii="仿宋" w:hAnsi="仿宋" w:eastAsia="仿宋" w:cs="仿宋"/>
          <w:u w:val="none"/>
        </w:rPr>
        <w:t xml:space="preserve">个机构，下设 </w:t>
      </w:r>
      <w:r>
        <w:rPr>
          <w:rFonts w:hint="eastAsia" w:ascii="仿宋" w:hAnsi="仿宋" w:eastAsia="仿宋" w:cs="仿宋"/>
          <w:u w:val="none"/>
          <w:lang w:val="en-US" w:eastAsia="zh-CN"/>
        </w:rPr>
        <w:t>1</w:t>
      </w:r>
      <w:r>
        <w:rPr>
          <w:rFonts w:hint="eastAsia" w:ascii="仿宋" w:hAnsi="仿宋" w:eastAsia="仿宋" w:cs="仿宋"/>
          <w:u w:val="none"/>
        </w:rPr>
        <w:t xml:space="preserve"> 家预算单位，为</w:t>
      </w:r>
      <w:r>
        <w:rPr>
          <w:rFonts w:hint="eastAsia" w:ascii="仿宋" w:hAnsi="仿宋" w:eastAsia="仿宋" w:cs="仿宋"/>
          <w:u w:val="none"/>
          <w:lang w:eastAsia="zh-CN"/>
        </w:rPr>
        <w:t>通榆县土地管理工作站</w:t>
      </w:r>
      <w:r>
        <w:rPr>
          <w:rFonts w:hint="eastAsia" w:ascii="仿宋" w:hAnsi="仿宋" w:eastAsia="仿宋" w:cs="仿宋"/>
          <w:u w:val="none"/>
        </w:rPr>
        <w:t>。</w:t>
      </w: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r>
        <w:rPr>
          <w:rFonts w:eastAsia="黑体"/>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u w:val="none"/>
              </w:rPr>
            </w:pPr>
            <w:r>
              <w:rPr>
                <w:rFonts w:eastAsia="方正小标宋简体"/>
                <w:kern w:val="0"/>
                <w:sz w:val="36"/>
                <w:szCs w:val="36"/>
                <w:u w:val="none"/>
              </w:rPr>
              <w:t>收支</w:t>
            </w:r>
            <w:r>
              <w:rPr>
                <w:rFonts w:hint="eastAsia" w:eastAsia="方正小标宋简体"/>
                <w:kern w:val="0"/>
                <w:sz w:val="36"/>
                <w:szCs w:val="36"/>
                <w:u w:val="none"/>
              </w:rPr>
              <w:t>总</w:t>
            </w:r>
            <w:r>
              <w:rPr>
                <w:rFonts w:eastAsia="方正小标宋简体"/>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u w:val="none"/>
              </w:rPr>
            </w:pPr>
          </w:p>
        </w:tc>
        <w:tc>
          <w:tcPr>
            <w:tcW w:w="1200" w:type="dxa"/>
            <w:tcBorders>
              <w:top w:val="nil"/>
              <w:left w:val="nil"/>
              <w:bottom w:val="nil"/>
              <w:right w:val="nil"/>
            </w:tcBorders>
            <w:noWrap w:val="0"/>
            <w:vAlign w:val="center"/>
          </w:tcPr>
          <w:p>
            <w:pPr>
              <w:widowControl/>
              <w:jc w:val="center"/>
              <w:rPr>
                <w:rFonts w:eastAsia="宋体"/>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kern w:val="0"/>
                <w:sz w:val="20"/>
                <w:u w:val="none"/>
              </w:rPr>
            </w:pPr>
            <w:r>
              <w:rPr>
                <w:rFonts w:eastAsia="宋体"/>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 xml:space="preserve">支 </w:t>
            </w:r>
            <w:r>
              <w:rPr>
                <w:rFonts w:eastAsia="宋体"/>
                <w:kern w:val="0"/>
                <w:sz w:val="20"/>
                <w:u w:val="none"/>
              </w:rPr>
              <w:t xml:space="preserve">       </w:t>
            </w:r>
            <w:r>
              <w:rPr>
                <w:rFonts w:hint="eastAsia" w:eastAsia="宋体"/>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eastAsia="宋体"/>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hint="eastAsia" w:eastAsia="宋体"/>
                <w:kern w:val="0"/>
                <w:sz w:val="20"/>
                <w:u w:val="none"/>
              </w:rPr>
              <w:t>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当年</w:t>
            </w:r>
            <w:r>
              <w:rPr>
                <w:rFonts w:eastAsia="宋体"/>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169.86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169.86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u w:val="none"/>
              </w:rPr>
            </w:pPr>
            <w:r>
              <w:rPr>
                <w:rFonts w:hint="eastAsia" w:ascii="仿宋_GB2312"/>
                <w:b w:val="0"/>
                <w:bCs/>
                <w:color w:val="000000"/>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169.86</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r>
              <w:rPr>
                <w:rFonts w:hint="eastAsia" w:eastAsia="宋体"/>
                <w:kern w:val="0"/>
                <w:sz w:val="20"/>
                <w:u w:val="none"/>
                <w:lang w:val="en-US" w:eastAsia="zh-CN"/>
              </w:rPr>
              <w:t>169.86</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u w:val="none"/>
              </w:rPr>
            </w:pPr>
            <w:r>
              <w:rPr>
                <w:rFonts w:hint="eastAsia" w:eastAsia="宋体"/>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u w:val="none"/>
              </w:rPr>
            </w:pPr>
            <w:r>
              <w:rPr>
                <w:rFonts w:hint="eastAsia" w:eastAsia="宋体"/>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23.15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23.15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13.47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13.47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7.41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7.41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u w:val="none"/>
              </w:rPr>
            </w:pPr>
            <w:r>
              <w:rPr>
                <w:rFonts w:hint="eastAsia" w:ascii="仿宋_GB2312"/>
                <w:b w:val="0"/>
                <w:bCs/>
                <w:color w:val="000000"/>
                <w:kern w:val="0"/>
                <w:sz w:val="20"/>
                <w:u w:val="none"/>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r>
              <w:rPr>
                <w:rFonts w:hint="eastAsia" w:ascii="仿宋_GB2312"/>
                <w:b w:val="0"/>
                <w:bCs/>
                <w:color w:val="000000"/>
                <w:kern w:val="0"/>
                <w:sz w:val="20"/>
                <w:u w:val="none"/>
                <w:lang w:eastAsia="zh-CN"/>
              </w:rPr>
              <w:t>十二、</w:t>
            </w:r>
            <w:r>
              <w:rPr>
                <w:rFonts w:hint="eastAsia" w:ascii="仿宋_GB2312"/>
                <w:b w:val="0"/>
                <w:bCs/>
                <w:color w:val="000000"/>
                <w:kern w:val="0"/>
                <w:sz w:val="20"/>
                <w:u w:val="none"/>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125.83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125.83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本年收入</w:t>
            </w:r>
            <w:r>
              <w:rPr>
                <w:rFonts w:hint="eastAsia" w:eastAsia="宋体"/>
                <w:b/>
                <w:bCs/>
                <w:kern w:val="0"/>
                <w:sz w:val="20"/>
                <w:u w:val="none"/>
                <w:lang w:val="en-US" w:eastAsia="zh-CN"/>
              </w:rPr>
              <w:t xml:space="preserve">       </w:t>
            </w:r>
            <w:r>
              <w:rPr>
                <w:rFonts w:eastAsia="宋体"/>
                <w:b/>
                <w:bCs/>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169.86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169.86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本年支出</w:t>
            </w:r>
            <w:r>
              <w:rPr>
                <w:rFonts w:hint="eastAsia" w:eastAsia="宋体"/>
                <w:b/>
                <w:bCs/>
                <w:kern w:val="0"/>
                <w:sz w:val="20"/>
                <w:u w:val="none"/>
                <w:lang w:val="en-US" w:eastAsia="zh-CN"/>
              </w:rPr>
              <w:t xml:space="preserve">  </w:t>
            </w:r>
            <w:r>
              <w:rPr>
                <w:rFonts w:eastAsia="宋体"/>
                <w:b/>
                <w:bCs/>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169.86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169.86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结转下年</w:t>
            </w:r>
            <w:r>
              <w:rPr>
                <w:rFonts w:hint="eastAsia" w:eastAsia="宋体"/>
                <w:kern w:val="0"/>
                <w:sz w:val="20"/>
                <w:u w:val="none"/>
                <w:lang w:val="en-US" w:eastAsia="zh-CN"/>
              </w:rPr>
              <w:t xml:space="preserve">  </w:t>
            </w:r>
            <w:r>
              <w:rPr>
                <w:rFonts w:hint="eastAsia" w:eastAsia="宋体"/>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黑体"/>
                <w:b/>
                <w:bCs/>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169.86</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169.86</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黑体"/>
                <w:b/>
                <w:bCs/>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169.86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bl>
    <w:p>
      <w:pPr>
        <w:ind w:firstLine="640" w:firstLineChars="200"/>
        <w:rPr>
          <w:rFonts w:eastAsia="楷体_GB2312"/>
          <w:strike/>
          <w:u w:val="none"/>
        </w:rPr>
      </w:pPr>
    </w:p>
    <w:p>
      <w:pPr>
        <w:ind w:firstLine="645"/>
        <w:rPr>
          <w:rFonts w:hAnsi="楷体" w:eastAsia="楷体"/>
          <w:u w:val="none"/>
        </w:rPr>
      </w:pPr>
    </w:p>
    <w:p>
      <w:pPr>
        <w:ind w:firstLine="645"/>
        <w:rPr>
          <w:rFonts w:eastAsia="楷体"/>
          <w:u w:val="none"/>
        </w:rPr>
      </w:pPr>
      <w:r>
        <w:rPr>
          <w:rFonts w:hAnsi="楷体" w:eastAsia="楷体"/>
          <w:u w:val="none"/>
        </w:rPr>
        <w:br w:type="page"/>
      </w:r>
    </w:p>
    <w:p>
      <w:pPr>
        <w:jc w:val="center"/>
        <w:rPr>
          <w:rFonts w:eastAsia="方正小标宋简体"/>
          <w:sz w:val="36"/>
          <w:szCs w:val="36"/>
          <w:u w:val="none"/>
        </w:rPr>
      </w:pPr>
      <w:r>
        <w:rPr>
          <w:rFonts w:eastAsia="方正小标宋简体"/>
          <w:sz w:val="36"/>
          <w:szCs w:val="36"/>
          <w:u w:val="none"/>
        </w:rPr>
        <w:t>收入</w:t>
      </w:r>
      <w:r>
        <w:rPr>
          <w:rFonts w:hint="eastAsia" w:eastAsia="方正小标宋简体"/>
          <w:sz w:val="36"/>
          <w:szCs w:val="36"/>
          <w:u w:val="none"/>
        </w:rPr>
        <w:t>总</w:t>
      </w:r>
      <w:r>
        <w:rPr>
          <w:rFonts w:eastAsia="方正小标宋简体"/>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u w:val="none"/>
              </w:rPr>
            </w:pPr>
          </w:p>
        </w:tc>
        <w:tc>
          <w:tcPr>
            <w:tcW w:w="1061" w:type="dxa"/>
            <w:gridSpan w:val="4"/>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bottom"/>
          </w:tcPr>
          <w:p>
            <w:pPr>
              <w:autoSpaceDN w:val="0"/>
              <w:jc w:val="left"/>
              <w:textAlignment w:val="bottom"/>
              <w:rPr>
                <w:rFonts w:eastAsia="宋体"/>
                <w:color w:val="000000"/>
                <w:sz w:val="20"/>
                <w:u w:val="none"/>
              </w:rPr>
            </w:pPr>
          </w:p>
        </w:tc>
        <w:tc>
          <w:tcPr>
            <w:tcW w:w="1716" w:type="dxa"/>
            <w:gridSpan w:val="5"/>
            <w:noWrap w:val="0"/>
            <w:vAlign w:val="top"/>
          </w:tcPr>
          <w:p>
            <w:pPr>
              <w:wordWrap w:val="0"/>
              <w:autoSpaceDN w:val="0"/>
              <w:jc w:val="right"/>
              <w:textAlignment w:val="center"/>
              <w:rPr>
                <w:rFonts w:eastAsia="宋体"/>
                <w:color w:val="000000"/>
                <w:sz w:val="20"/>
                <w:u w:val="none"/>
              </w:rPr>
            </w:pPr>
            <w:r>
              <w:rPr>
                <w:rFonts w:eastAsia="宋体"/>
                <w:color w:val="000000"/>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u w:val="none"/>
              </w:rPr>
            </w:pPr>
            <w:r>
              <w:rPr>
                <w:rFonts w:hint="eastAsia" w:eastAsia="宋体"/>
                <w:color w:val="000000"/>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lang w:eastAsia="zh-CN"/>
              </w:rPr>
            </w:pPr>
            <w:r>
              <w:rPr>
                <w:rFonts w:hint="eastAsia" w:eastAsia="宋体"/>
                <w:color w:val="000000"/>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一般公</w:t>
            </w:r>
          </w:p>
          <w:p>
            <w:pPr>
              <w:autoSpaceDN w:val="0"/>
              <w:jc w:val="center"/>
              <w:rPr>
                <w:rFonts w:hint="eastAsia" w:eastAsia="宋体"/>
                <w:sz w:val="20"/>
                <w:u w:val="none"/>
              </w:rPr>
            </w:pPr>
            <w:r>
              <w:rPr>
                <w:rFonts w:hint="eastAsia" w:eastAsia="宋体"/>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政府性基</w:t>
            </w:r>
          </w:p>
          <w:p>
            <w:pPr>
              <w:autoSpaceDN w:val="0"/>
              <w:jc w:val="center"/>
              <w:rPr>
                <w:rFonts w:hint="eastAsia" w:eastAsia="宋体"/>
                <w:sz w:val="20"/>
                <w:u w:val="none"/>
              </w:rPr>
            </w:pPr>
            <w:r>
              <w:rPr>
                <w:rFonts w:hint="eastAsia" w:eastAsia="宋体"/>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国有资本</w:t>
            </w:r>
          </w:p>
          <w:p>
            <w:pPr>
              <w:autoSpaceDN w:val="0"/>
              <w:jc w:val="center"/>
              <w:rPr>
                <w:rFonts w:hint="eastAsia" w:eastAsia="宋体"/>
                <w:sz w:val="20"/>
                <w:u w:val="none"/>
              </w:rPr>
            </w:pPr>
            <w:r>
              <w:rPr>
                <w:rFonts w:hint="eastAsia" w:eastAsia="宋体"/>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财政专户</w:t>
            </w:r>
          </w:p>
          <w:p>
            <w:pPr>
              <w:autoSpaceDN w:val="0"/>
              <w:jc w:val="center"/>
              <w:rPr>
                <w:rFonts w:hint="eastAsia" w:eastAsia="宋体"/>
                <w:sz w:val="20"/>
                <w:u w:val="none"/>
              </w:rPr>
            </w:pPr>
            <w:r>
              <w:rPr>
                <w:rFonts w:hint="eastAsia" w:eastAsia="宋体"/>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事业单位</w:t>
            </w:r>
          </w:p>
          <w:p>
            <w:pPr>
              <w:autoSpaceDN w:val="0"/>
              <w:jc w:val="center"/>
              <w:rPr>
                <w:rFonts w:hint="eastAsia" w:eastAsia="宋体"/>
                <w:sz w:val="20"/>
                <w:u w:val="none"/>
              </w:rPr>
            </w:pPr>
            <w:r>
              <w:rPr>
                <w:rFonts w:hint="eastAsia" w:eastAsia="宋体"/>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上级</w:t>
            </w:r>
          </w:p>
          <w:p>
            <w:pPr>
              <w:autoSpaceDN w:val="0"/>
              <w:jc w:val="center"/>
              <w:rPr>
                <w:rFonts w:hint="eastAsia" w:eastAsia="宋体"/>
                <w:sz w:val="20"/>
                <w:u w:val="none"/>
                <w:lang w:eastAsia="zh-CN"/>
              </w:rPr>
            </w:pPr>
            <w:r>
              <w:rPr>
                <w:rFonts w:hint="eastAsia" w:eastAsia="宋体"/>
                <w:sz w:val="20"/>
                <w:u w:val="none"/>
              </w:rPr>
              <w:t>补助</w:t>
            </w:r>
          </w:p>
          <w:p>
            <w:pPr>
              <w:autoSpaceDN w:val="0"/>
              <w:jc w:val="center"/>
              <w:rPr>
                <w:rFonts w:hint="eastAsia" w:eastAsia="宋体"/>
                <w:sz w:val="20"/>
                <w:u w:val="none"/>
              </w:rPr>
            </w:pPr>
            <w:r>
              <w:rPr>
                <w:rFonts w:hint="eastAsia" w:eastAsia="宋体"/>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附属单位</w:t>
            </w:r>
          </w:p>
          <w:p>
            <w:pPr>
              <w:autoSpaceDN w:val="0"/>
              <w:jc w:val="center"/>
              <w:rPr>
                <w:rFonts w:hint="eastAsia" w:eastAsia="宋体"/>
                <w:sz w:val="20"/>
                <w:u w:val="none"/>
              </w:rPr>
            </w:pPr>
            <w:r>
              <w:rPr>
                <w:rFonts w:hint="eastAsia" w:eastAsia="宋体"/>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其他</w:t>
            </w:r>
          </w:p>
          <w:p>
            <w:pPr>
              <w:autoSpaceDN w:val="0"/>
              <w:jc w:val="center"/>
              <w:rPr>
                <w:rFonts w:hint="eastAsia" w:eastAsia="宋体"/>
                <w:sz w:val="20"/>
                <w:u w:val="none"/>
              </w:rPr>
            </w:pPr>
            <w:r>
              <w:rPr>
                <w:rFonts w:hint="eastAsia" w:eastAsia="宋体"/>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u w:val="none"/>
              </w:rPr>
            </w:pPr>
            <w:r>
              <w:rPr>
                <w:rFonts w:hint="eastAsia" w:ascii="华文细黑" w:hAnsi="华文细黑" w:eastAsia="华文细黑" w:cs="华文细黑"/>
                <w:color w:val="000000"/>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u w:val="none"/>
                <w:lang w:eastAsia="zh-CN"/>
              </w:rPr>
            </w:pPr>
            <w:r>
              <w:rPr>
                <w:rFonts w:hint="eastAsia" w:eastAsia="宋体"/>
                <w:sz w:val="20"/>
                <w:u w:val="none"/>
              </w:rPr>
              <w:t>用事业基</w:t>
            </w:r>
          </w:p>
          <w:p>
            <w:pPr>
              <w:autoSpaceDN w:val="0"/>
              <w:jc w:val="center"/>
              <w:rPr>
                <w:rFonts w:hint="eastAsia" w:eastAsia="宋体"/>
                <w:sz w:val="20"/>
                <w:u w:val="none"/>
                <w:lang w:eastAsia="zh-CN"/>
              </w:rPr>
            </w:pPr>
            <w:r>
              <w:rPr>
                <w:rFonts w:hint="eastAsia" w:eastAsia="宋体"/>
                <w:sz w:val="20"/>
                <w:u w:val="none"/>
              </w:rPr>
              <w:t>金弥补收</w:t>
            </w:r>
          </w:p>
          <w:p>
            <w:pPr>
              <w:autoSpaceDN w:val="0"/>
              <w:jc w:val="center"/>
              <w:rPr>
                <w:rFonts w:hint="eastAsia" w:eastAsia="宋体"/>
                <w:sz w:val="20"/>
                <w:u w:val="none"/>
              </w:rPr>
            </w:pPr>
            <w:r>
              <w:rPr>
                <w:rFonts w:hint="eastAsia" w:eastAsia="宋体"/>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u w:val="none"/>
                <w:lang w:eastAsia="zh-CN"/>
              </w:rPr>
            </w:pPr>
            <w:r>
              <w:rPr>
                <w:rFonts w:hint="eastAsia" w:eastAsia="宋体"/>
                <w:color w:val="000000"/>
                <w:sz w:val="20"/>
                <w:u w:val="none"/>
                <w:lang w:eastAsia="zh-CN"/>
              </w:rPr>
              <w:t>通榆县土地管理工作站</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169.86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169.86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169.86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u w:val="none"/>
                <w:shd w:val="clear" w:color="auto" w:fill="FFFFFF"/>
              </w:rPr>
            </w:pPr>
            <w:r>
              <w:rPr>
                <w:rFonts w:eastAsia="宋体"/>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169.86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169.86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169.86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u w:val="none"/>
              </w:rPr>
            </w:pPr>
            <w:r>
              <w:rPr>
                <w:rFonts w:eastAsia="方正小标宋简体"/>
                <w:kern w:val="0"/>
                <w:sz w:val="36"/>
                <w:szCs w:val="36"/>
                <w:u w:val="none"/>
              </w:rPr>
              <w:t>支出</w:t>
            </w:r>
            <w:r>
              <w:rPr>
                <w:rFonts w:hint="eastAsia" w:eastAsia="方正小标宋简体"/>
                <w:kern w:val="0"/>
                <w:sz w:val="36"/>
                <w:szCs w:val="36"/>
                <w:u w:val="none"/>
              </w:rPr>
              <w:t>总</w:t>
            </w:r>
            <w:r>
              <w:rPr>
                <w:rFonts w:eastAsia="方正小标宋简体"/>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r>
                    <w:rPr>
                      <w:rFonts w:eastAsia="华文细黑"/>
                      <w:color w:val="000000"/>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eastAsia="宋体"/>
                      <w:color w:val="000000"/>
                      <w:sz w:val="20"/>
                      <w:u w:val="none"/>
                    </w:rPr>
                    <w:t>功能分类</w:t>
                  </w:r>
                </w:p>
                <w:p>
                  <w:pPr>
                    <w:widowControl/>
                    <w:jc w:val="center"/>
                    <w:rPr>
                      <w:rFonts w:eastAsia="华文细黑"/>
                      <w:color w:val="000000"/>
                      <w:kern w:val="0"/>
                      <w:sz w:val="20"/>
                      <w:u w:val="none"/>
                    </w:rPr>
                  </w:pPr>
                  <w:r>
                    <w:rPr>
                      <w:rFonts w:eastAsia="宋体"/>
                      <w:color w:val="000000"/>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u w:val="none"/>
                    </w:rPr>
                  </w:pP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基本</w:t>
                  </w: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支出</w:t>
                  </w:r>
                </w:p>
                <w:p>
                  <w:pPr>
                    <w:widowControl/>
                    <w:jc w:val="center"/>
                    <w:rPr>
                      <w:rFonts w:eastAsia="华文细黑"/>
                      <w:color w:val="000000"/>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u w:val="none"/>
                    </w:rPr>
                  </w:pPr>
                  <w:r>
                    <w:rPr>
                      <w:rFonts w:hint="eastAsia" w:ascii="Times New Roman" w:hAnsi="Times New Roman" w:eastAsia="宋体" w:cs="Times New Roman"/>
                      <w:color w:val="000000"/>
                      <w:sz w:val="20"/>
                      <w:u w:val="none"/>
                    </w:rPr>
                    <w:t>事业单位</w:t>
                  </w:r>
                </w:p>
                <w:p>
                  <w:pPr>
                    <w:widowControl/>
                    <w:jc w:val="center"/>
                    <w:rPr>
                      <w:rFonts w:hint="eastAsia" w:eastAsia="华文细黑"/>
                      <w:color w:val="000000"/>
                      <w:kern w:val="0"/>
                      <w:sz w:val="20"/>
                      <w:u w:val="none"/>
                    </w:rPr>
                  </w:pPr>
                  <w:r>
                    <w:rPr>
                      <w:rFonts w:hint="eastAsia" w:ascii="Times New Roman" w:hAnsi="Times New Roman" w:eastAsia="宋体" w:cs="Times New Roman"/>
                      <w:color w:val="000000"/>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23.15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23.15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23.15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23.15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7.41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u w:val="none"/>
                      <w:lang w:eastAsia="zh-CN"/>
                    </w:rPr>
                  </w:pPr>
                  <w:r>
                    <w:rPr>
                      <w:rFonts w:hint="eastAsia" w:eastAsia="华文细黑"/>
                      <w:color w:val="000000"/>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bl>
          <w:p>
            <w:pPr>
              <w:widowControl/>
              <w:jc w:val="center"/>
              <w:rPr>
                <w:rFonts w:eastAsia="方正小标宋简体"/>
                <w:kern w:val="0"/>
                <w:sz w:val="44"/>
                <w:szCs w:val="44"/>
                <w:u w:val="none"/>
              </w:rPr>
            </w:pPr>
          </w:p>
        </w:tc>
      </w:tr>
    </w:tbl>
    <w:p>
      <w:pPr>
        <w:rPr>
          <w:rFonts w:hAnsi="楷体" w:eastAsia="楷体"/>
          <w:sz w:val="24"/>
          <w:szCs w:val="24"/>
          <w:u w:val="none"/>
        </w:rPr>
      </w:pPr>
      <w:r>
        <w:rPr>
          <w:rFonts w:hint="eastAsia" w:hAnsi="楷体" w:eastAsia="楷体"/>
          <w:sz w:val="24"/>
          <w:szCs w:val="24"/>
          <w:u w:val="none"/>
          <w:lang w:val="en-US" w:eastAsia="zh-CN"/>
        </w:rPr>
        <w:t>注：</w:t>
      </w:r>
      <w:r>
        <w:rPr>
          <w:rFonts w:hAnsi="楷体" w:eastAsia="楷体"/>
          <w:sz w:val="24"/>
          <w:szCs w:val="24"/>
          <w:u w:val="none"/>
        </w:rPr>
        <w:t>功能科目填列至项级。</w:t>
      </w: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1"/>
              <w:gridCol w:w="565"/>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u w:val="none"/>
                    </w:rPr>
                  </w:pPr>
                  <w:r>
                    <w:rPr>
                      <w:rFonts w:eastAsia="方正小标宋简体"/>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u w:val="none"/>
                    </w:rPr>
                  </w:pPr>
                  <w:r>
                    <w:rPr>
                      <w:rFonts w:hint="eastAsia" w:eastAsia="华文细黑"/>
                      <w:color w:val="000000"/>
                      <w:kern w:val="0"/>
                      <w:sz w:val="20"/>
                      <w:u w:val="none"/>
                    </w:rPr>
                    <w:t xml:space="preserve"> </w:t>
                  </w:r>
                  <w:r>
                    <w:rPr>
                      <w:rFonts w:eastAsia="华文细黑"/>
                      <w:color w:val="000000"/>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val="en-US"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56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56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w:t>
                  </w:r>
                  <w:r>
                    <w:rPr>
                      <w:rFonts w:hint="eastAsia" w:ascii="宋体" w:hAnsi="宋体" w:eastAsia="宋体" w:cs="宋体"/>
                      <w:kern w:val="0"/>
                      <w:sz w:val="20"/>
                      <w:u w:val="none"/>
                      <w:lang w:val="en-US" w:eastAsia="zh-CN"/>
                    </w:rPr>
                    <w:t xml:space="preserve">  </w:t>
                  </w:r>
                  <w:r>
                    <w:rPr>
                      <w:rFonts w:hint="eastAsia" w:ascii="宋体" w:hAnsi="宋体" w:eastAsia="宋体" w:cs="宋体"/>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169.86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169.86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23.15</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23.15</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7.41</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7.41</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13.47</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13.47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u w:val="none"/>
                      <w:lang w:val="en-US" w:eastAsia="zh-CN"/>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u w:val="none"/>
                      <w:lang w:val="en-US" w:eastAsia="zh-CN"/>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hint="eastAsia" w:eastAsia="宋体"/>
                      <w:b w:val="0"/>
                      <w:bCs w:val="0"/>
                      <w:kern w:val="0"/>
                      <w:sz w:val="20"/>
                      <w:u w:val="none"/>
                      <w:lang w:eastAsia="zh-CN"/>
                    </w:rPr>
                    <w:t>二十一</w:t>
                  </w:r>
                  <w:r>
                    <w:rPr>
                      <w:rFonts w:hint="eastAsia" w:eastAsia="宋体"/>
                      <w:b w:val="0"/>
                      <w:bCs w:val="0"/>
                      <w:kern w:val="0"/>
                      <w:sz w:val="20"/>
                      <w:u w:val="none"/>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125.83</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125.83</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宋体"/>
                      <w:b/>
                      <w:bCs/>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r>
                    <w:rPr>
                      <w:rFonts w:hint="eastAsia" w:eastAsia="宋体"/>
                      <w:kern w:val="0"/>
                      <w:sz w:val="20"/>
                      <w:u w:val="none"/>
                      <w:lang w:val="en-US" w:eastAsia="zh-CN"/>
                    </w:rPr>
                    <w:t>169.86</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b/>
                      <w:bCs/>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169.86</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u w:val="none"/>
                    </w:rPr>
                  </w:pPr>
                  <w:r>
                    <w:rPr>
                      <w:rFonts w:hint="eastAsia" w:eastAsia="宋体"/>
                      <w:bCs/>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u w:val="none"/>
                    </w:rPr>
                  </w:pPr>
                  <w:r>
                    <w:rPr>
                      <w:rFonts w:eastAsia="宋体"/>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r>
                    <w:rPr>
                      <w:rFonts w:eastAsia="宋体"/>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hint="eastAsia" w:eastAsia="宋体"/>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r>
                    <w:rPr>
                      <w:rFonts w:hint="eastAsia" w:eastAsia="宋体"/>
                      <w:kern w:val="0"/>
                      <w:sz w:val="20"/>
                      <w:u w:val="none"/>
                      <w:lang w:val="en-US" w:eastAsia="zh-CN"/>
                    </w:rPr>
                    <w:t>169.86</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169.86</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169.86</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u w:val="none"/>
                    </w:rPr>
                  </w:pPr>
                </w:p>
              </w:tc>
              <w:tc>
                <w:tcPr>
                  <w:tcW w:w="0" w:type="auto"/>
                  <w:vAlign w:val="center"/>
                </w:tcPr>
                <w:p>
                  <w:pPr>
                    <w:widowControl/>
                    <w:jc w:val="center"/>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Pr>
                <w:p>
                  <w:pPr>
                    <w:widowControl/>
                    <w:jc w:val="right"/>
                    <w:rPr>
                      <w:rFonts w:eastAsia="黑体"/>
                      <w:kern w:val="0"/>
                      <w:sz w:val="20"/>
                      <w:u w:val="none"/>
                    </w:rPr>
                  </w:pPr>
                </w:p>
              </w:tc>
              <w:tc>
                <w:tcPr>
                  <w:tcW w:w="565" w:type="dxa"/>
                </w:tcPr>
                <w:p>
                  <w:pPr>
                    <w:widowControl/>
                    <w:jc w:val="right"/>
                    <w:rPr>
                      <w:rFonts w:eastAsia="黑体"/>
                      <w:kern w:val="0"/>
                      <w:sz w:val="20"/>
                      <w:u w:val="none"/>
                    </w:rPr>
                  </w:pPr>
                </w:p>
              </w:tc>
              <w:tc>
                <w:tcPr>
                  <w:tcW w:w="0" w:type="auto"/>
                </w:tcPr>
                <w:p>
                  <w:pPr>
                    <w:widowControl/>
                    <w:jc w:val="center"/>
                    <w:rPr>
                      <w:rFonts w:eastAsia="黑体"/>
                      <w:b/>
                      <w:bCs/>
                      <w:kern w:val="0"/>
                      <w:sz w:val="20"/>
                      <w:u w:val="none"/>
                    </w:rPr>
                  </w:pPr>
                </w:p>
              </w:tc>
              <w:tc>
                <w:tcPr>
                  <w:tcW w:w="0" w:type="auto"/>
                </w:tcPr>
                <w:p>
                  <w:pPr>
                    <w:widowControl/>
                    <w:jc w:val="right"/>
                    <w:rPr>
                      <w:rFonts w:eastAsia="宋体"/>
                      <w:kern w:val="0"/>
                      <w:sz w:val="20"/>
                      <w:u w:val="none"/>
                    </w:rPr>
                  </w:pPr>
                </w:p>
              </w:tc>
              <w:tc>
                <w:tcPr>
                  <w:tcW w:w="810" w:type="dxa"/>
                </w:tcPr>
                <w:p>
                  <w:pPr>
                    <w:widowControl/>
                    <w:jc w:val="right"/>
                    <w:rPr>
                      <w:rFonts w:eastAsia="宋体"/>
                      <w:kern w:val="0"/>
                      <w:sz w:val="20"/>
                      <w:u w:val="none"/>
                    </w:rPr>
                  </w:pPr>
                </w:p>
              </w:tc>
              <w:tc>
                <w:tcPr>
                  <w:tcW w:w="678" w:type="dxa"/>
                </w:tcPr>
                <w:p>
                  <w:pPr>
                    <w:widowControl/>
                    <w:jc w:val="right"/>
                    <w:rPr>
                      <w:rFonts w:eastAsia="宋体"/>
                      <w:kern w:val="0"/>
                      <w:sz w:val="20"/>
                      <w:u w:val="none"/>
                    </w:rPr>
                  </w:pPr>
                </w:p>
              </w:tc>
              <w:tc>
                <w:tcPr>
                  <w:tcW w:w="804" w:type="dxa"/>
                </w:tcPr>
                <w:p>
                  <w:pPr>
                    <w:widowControl/>
                    <w:jc w:val="right"/>
                    <w:rPr>
                      <w:rFonts w:eastAsia="宋体"/>
                      <w:kern w:val="0"/>
                      <w:sz w:val="20"/>
                      <w:u w:val="none"/>
                    </w:rPr>
                  </w:pPr>
                </w:p>
              </w:tc>
              <w:tc>
                <w:tcPr>
                  <w:tcW w:w="0" w:type="auto"/>
                </w:tcPr>
                <w:p>
                  <w:pPr>
                    <w:widowControl/>
                    <w:jc w:val="right"/>
                    <w:rPr>
                      <w:rFonts w:eastAsia="宋体"/>
                      <w:kern w:val="0"/>
                      <w:sz w:val="20"/>
                      <w:u w:val="none"/>
                    </w:rPr>
                  </w:pPr>
                </w:p>
              </w:tc>
            </w:tr>
          </w:tbl>
          <w:p>
            <w:pPr>
              <w:widowControl/>
              <w:rPr>
                <w:rFonts w:eastAsia="方正小标宋简体"/>
                <w:kern w:val="0"/>
                <w:sz w:val="44"/>
                <w:szCs w:val="44"/>
                <w:u w:val="none"/>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u w:val="none"/>
                    </w:rPr>
                  </w:pPr>
                  <w:r>
                    <w:rPr>
                      <w:rFonts w:eastAsia="方正小标宋简体"/>
                      <w:kern w:val="0"/>
                      <w:sz w:val="36"/>
                      <w:szCs w:val="36"/>
                      <w:u w:val="none"/>
                    </w:rPr>
                    <w:t>一般公共预算</w:t>
                  </w:r>
                  <w:r>
                    <w:rPr>
                      <w:rFonts w:hint="eastAsia" w:eastAsia="方正小标宋简体"/>
                      <w:kern w:val="0"/>
                      <w:sz w:val="36"/>
                      <w:szCs w:val="36"/>
                      <w:u w:val="none"/>
                    </w:rPr>
                    <w:t>支出</w:t>
                  </w:r>
                  <w:r>
                    <w:rPr>
                      <w:rFonts w:eastAsia="方正小标宋简体"/>
                      <w:kern w:val="0"/>
                      <w:sz w:val="36"/>
                      <w:szCs w:val="36"/>
                      <w:u w:val="none"/>
                    </w:rPr>
                    <w:t>表</w:t>
                  </w:r>
                </w:p>
                <w:p>
                  <w:pPr>
                    <w:widowControl/>
                    <w:jc w:val="right"/>
                    <w:rPr>
                      <w:rFonts w:eastAsia="华文细黑"/>
                      <w:color w:val="000000"/>
                      <w:kern w:val="0"/>
                      <w:sz w:val="20"/>
                      <w:u w:val="none"/>
                    </w:rPr>
                  </w:pP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17.96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125.83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116.23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169.86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bl>
          <w:p>
            <w:pPr>
              <w:widowControl/>
              <w:jc w:val="center"/>
              <w:rPr>
                <w:rFonts w:eastAsia="方正小标宋简体"/>
                <w:kern w:val="0"/>
                <w:sz w:val="44"/>
                <w:szCs w:val="44"/>
                <w:u w:val="none"/>
              </w:rPr>
            </w:pPr>
          </w:p>
        </w:tc>
      </w:tr>
    </w:tbl>
    <w:p>
      <w:pPr>
        <w:ind w:firstLine="480" w:firstLineChars="200"/>
        <w:rPr>
          <w:rFonts w:hAnsi="楷体" w:eastAsia="楷体"/>
          <w:sz w:val="24"/>
          <w:szCs w:val="24"/>
          <w:u w:val="none"/>
        </w:rPr>
      </w:pPr>
      <w:r>
        <w:rPr>
          <w:rFonts w:hAnsi="楷体" w:eastAsia="楷体"/>
          <w:sz w:val="24"/>
          <w:szCs w:val="24"/>
          <w:u w:val="none"/>
        </w:rPr>
        <w:t>注：功能科目填列至项级。没有一般公共预算拨款的，公开空表，不得删除。</w:t>
      </w:r>
    </w:p>
    <w:p>
      <w:pPr>
        <w:ind w:firstLine="640" w:firstLineChars="200"/>
        <w:rPr>
          <w:rFonts w:eastAsia="楷体"/>
          <w:u w:val="none"/>
        </w:rPr>
      </w:pPr>
      <w:r>
        <w:rPr>
          <w:rFonts w:hAnsi="楷体" w:eastAsia="楷体"/>
          <w:u w:val="none"/>
        </w:rPr>
        <w:br w:type="page"/>
      </w:r>
    </w:p>
    <w:tbl>
      <w:tblPr>
        <w:tblStyle w:val="9"/>
        <w:tblW w:w="5000" w:type="pct"/>
        <w:jc w:val="center"/>
        <w:tblLayout w:type="autofit"/>
        <w:tblCellMar>
          <w:top w:w="0" w:type="dxa"/>
          <w:left w:w="108" w:type="dxa"/>
          <w:bottom w:w="0" w:type="dxa"/>
          <w:right w:w="108" w:type="dxa"/>
        </w:tblCellMar>
      </w:tblPr>
      <w:tblGrid>
        <w:gridCol w:w="3174"/>
        <w:gridCol w:w="2221"/>
        <w:gridCol w:w="1704"/>
        <w:gridCol w:w="1848"/>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u w:val="none"/>
              </w:rPr>
            </w:pPr>
            <w:r>
              <w:rPr>
                <w:rFonts w:eastAsia="方正小标宋简体"/>
                <w:kern w:val="0"/>
                <w:sz w:val="36"/>
                <w:szCs w:val="36"/>
                <w:u w:val="none"/>
              </w:rPr>
              <w:t>一般公共预算</w:t>
            </w:r>
            <w:r>
              <w:rPr>
                <w:rFonts w:hint="eastAsia" w:eastAsia="方正小标宋简体"/>
                <w:kern w:val="0"/>
                <w:sz w:val="36"/>
                <w:szCs w:val="36"/>
                <w:u w:val="none"/>
              </w:rPr>
              <w:t>基本</w:t>
            </w:r>
            <w:r>
              <w:rPr>
                <w:rFonts w:eastAsia="方正小标宋简体"/>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1774" w:type="pct"/>
            <w:tcBorders>
              <w:top w:val="nil"/>
              <w:left w:val="nil"/>
              <w:bottom w:val="single" w:color="auto" w:sz="4" w:space="0"/>
              <w:right w:val="nil"/>
            </w:tcBorders>
            <w:noWrap w:val="0"/>
            <w:vAlign w:val="center"/>
          </w:tcPr>
          <w:p>
            <w:pPr>
              <w:widowControl/>
              <w:jc w:val="left"/>
              <w:rPr>
                <w:rFonts w:eastAsia="宋体"/>
                <w:kern w:val="0"/>
                <w:sz w:val="20"/>
                <w:u w:val="none"/>
              </w:rPr>
            </w:pPr>
            <w:r>
              <w:rPr>
                <w:rFonts w:eastAsia="宋体"/>
                <w:kern w:val="0"/>
                <w:sz w:val="20"/>
                <w:u w:val="none"/>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u w:val="none"/>
              </w:rPr>
            </w:pPr>
            <w:r>
              <w:rPr>
                <w:rFonts w:eastAsia="宋体"/>
                <w:kern w:val="0"/>
                <w:sz w:val="20"/>
                <w:u w:val="none"/>
              </w:rPr>
              <w:t>　</w:t>
            </w:r>
          </w:p>
        </w:tc>
        <w:tc>
          <w:tcPr>
            <w:tcW w:w="1984" w:type="pct"/>
            <w:gridSpan w:val="2"/>
            <w:tcBorders>
              <w:top w:val="nil"/>
              <w:left w:val="nil"/>
              <w:bottom w:val="single" w:color="auto" w:sz="4" w:space="0"/>
              <w:right w:val="nil"/>
            </w:tcBorders>
            <w:noWrap w:val="0"/>
            <w:vAlign w:val="center"/>
          </w:tcPr>
          <w:p>
            <w:pPr>
              <w:widowControl/>
              <w:jc w:val="right"/>
              <w:rPr>
                <w:rFonts w:eastAsia="华文细黑"/>
                <w:kern w:val="0"/>
                <w:sz w:val="20"/>
                <w:u w:val="none"/>
              </w:rPr>
            </w:pPr>
            <w:r>
              <w:rPr>
                <w:rFonts w:hint="eastAsia" w:ascii="宋体" w:hAnsi="宋体" w:eastAsia="宋体" w:cs="宋体"/>
                <w:kern w:val="0"/>
                <w:sz w:val="20"/>
                <w:u w:val="none"/>
              </w:rPr>
              <w:t>　单位：万元</w:t>
            </w:r>
          </w:p>
        </w:tc>
      </w:tr>
      <w:tr>
        <w:tblPrEx>
          <w:tblCellMar>
            <w:top w:w="0" w:type="dxa"/>
            <w:left w:w="108" w:type="dxa"/>
            <w:bottom w:w="0" w:type="dxa"/>
            <w:right w:w="108" w:type="dxa"/>
          </w:tblCellMar>
        </w:tblPrEx>
        <w:trPr>
          <w:trHeight w:val="602" w:hRule="atLeast"/>
          <w:jc w:val="center"/>
        </w:trPr>
        <w:tc>
          <w:tcPr>
            <w:tcW w:w="1774"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kern w:val="0"/>
                <w:sz w:val="20"/>
                <w:szCs w:val="20"/>
                <w:u w:val="none"/>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color w:val="000000"/>
                <w:kern w:val="0"/>
                <w:sz w:val="20"/>
                <w:szCs w:val="20"/>
                <w:u w:val="none"/>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人员经费</w:t>
            </w:r>
          </w:p>
        </w:tc>
        <w:tc>
          <w:tcPr>
            <w:tcW w:w="1032"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u w:val="none"/>
              </w:rPr>
            </w:pPr>
            <w:r>
              <w:rPr>
                <w:rFonts w:eastAsia="宋体"/>
                <w:color w:val="000000"/>
                <w:sz w:val="20"/>
                <w:u w:val="none"/>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16"/>
                <w:szCs w:val="16"/>
                <w:u w:val="none"/>
                <w:lang w:val="en-US" w:eastAsia="zh-CN"/>
              </w:rPr>
            </w:pPr>
            <w:r>
              <w:rPr>
                <w:rFonts w:hint="eastAsia" w:ascii="宋体" w:hAnsi="宋体" w:eastAsia="宋体" w:cs="宋体"/>
                <w:sz w:val="24"/>
                <w:szCs w:val="16"/>
                <w:u w:val="none"/>
                <w:lang w:val="en-US" w:eastAsia="zh-CN"/>
              </w:rPr>
              <w:t>157.70</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4"/>
                <w:szCs w:val="16"/>
                <w:u w:val="none"/>
                <w:lang w:val="en-US" w:eastAsia="zh-CN"/>
              </w:rPr>
            </w:pPr>
            <w:r>
              <w:rPr>
                <w:rFonts w:hint="eastAsia" w:ascii="宋体" w:hAnsi="宋体" w:eastAsia="宋体" w:cs="宋体"/>
                <w:sz w:val="24"/>
                <w:szCs w:val="16"/>
                <w:u w:val="none"/>
                <w:lang w:val="en-US" w:eastAsia="zh-CN"/>
              </w:rPr>
              <w:t>157.70</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4"/>
                <w:szCs w:val="16"/>
                <w:u w:val="none"/>
                <w:lang w:val="en-US" w:eastAsia="zh-CN"/>
              </w:rPr>
            </w:pPr>
          </w:p>
        </w:tc>
      </w:tr>
      <w:tr>
        <w:tblPrEx>
          <w:tblCellMar>
            <w:top w:w="0" w:type="dxa"/>
            <w:left w:w="108" w:type="dxa"/>
            <w:bottom w:w="0" w:type="dxa"/>
            <w:right w:w="108" w:type="dxa"/>
          </w:tblCellMar>
        </w:tblPrEx>
        <w:trPr>
          <w:trHeight w:val="515"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基本工资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64.11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64.11</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485"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津贴补贴</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3.75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3.75</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奖金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12.37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12.37</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绩效工资</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32.03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32.03</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17.96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17.96</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职业年金缴费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4.4</w:t>
            </w:r>
            <w:r>
              <w:rPr>
                <w:rFonts w:hint="eastAsia" w:ascii="宋体" w:hAnsi="宋体" w:eastAsia="宋体" w:cs="宋体"/>
                <w:kern w:val="0"/>
                <w:sz w:val="24"/>
                <w:szCs w:val="24"/>
                <w:u w:val="none"/>
                <w:lang w:val="en-US" w:eastAsia="zh-CN"/>
              </w:rPr>
              <w:t>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4.4</w:t>
            </w:r>
            <w:r>
              <w:rPr>
                <w:rFonts w:hint="eastAsia" w:ascii="宋体" w:hAnsi="宋体" w:eastAsia="宋体" w:cs="宋体"/>
                <w:kern w:val="0"/>
                <w:sz w:val="24"/>
                <w:szCs w:val="24"/>
                <w:u w:val="none"/>
                <w:lang w:val="en-US" w:eastAsia="zh-CN"/>
              </w:rPr>
              <w:t>0</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7.1</w:t>
            </w:r>
            <w:r>
              <w:rPr>
                <w:rFonts w:hint="eastAsia" w:ascii="宋体" w:hAnsi="宋体" w:eastAsia="宋体" w:cs="宋体"/>
                <w:kern w:val="0"/>
                <w:sz w:val="24"/>
                <w:szCs w:val="24"/>
                <w:u w:val="none"/>
                <w:lang w:val="en-US" w:eastAsia="zh-CN"/>
              </w:rPr>
              <w:t>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7.1</w:t>
            </w:r>
            <w:r>
              <w:rPr>
                <w:rFonts w:hint="eastAsia" w:ascii="宋体" w:hAnsi="宋体" w:eastAsia="宋体" w:cs="宋体"/>
                <w:kern w:val="0"/>
                <w:sz w:val="24"/>
                <w:szCs w:val="24"/>
                <w:u w:val="none"/>
                <w:lang w:val="en-US" w:eastAsia="zh-CN"/>
              </w:rPr>
              <w:t>9</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0"/>
                <w:szCs w:val="10"/>
                <w:u w:val="none"/>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1.01</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5"/>
                <w:szCs w:val="15"/>
                <w:u w:val="none"/>
                <w:lang w:val="en-US" w:eastAsia="zh-CN" w:bidi="ar"/>
              </w:rPr>
            </w:pPr>
            <w:r>
              <w:rPr>
                <w:rFonts w:hint="default" w:ascii="Verdana" w:hAnsi="Verdana" w:eastAsia="宋体" w:cs="Verdana"/>
                <w:i w:val="0"/>
                <w:iCs w:val="0"/>
                <w:color w:val="000000"/>
                <w:kern w:val="0"/>
                <w:sz w:val="20"/>
                <w:szCs w:val="20"/>
                <w:u w:val="none"/>
                <w:lang w:val="en-US" w:eastAsia="zh-CN" w:bidi="ar"/>
              </w:rPr>
              <w:t>　住房公积金</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13.47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13.47</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222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default" w:ascii="宋体" w:hAnsi="宋体" w:eastAsia="宋体" w:cs="宋体"/>
                <w:kern w:val="0"/>
                <w:sz w:val="24"/>
                <w:szCs w:val="24"/>
                <w:u w:val="none"/>
                <w:lang w:val="en-US" w:eastAsia="zh-CN"/>
              </w:rPr>
              <w:t>1.41</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u w:val="none"/>
              </w:rPr>
            </w:pPr>
            <w:r>
              <w:rPr>
                <w:rFonts w:eastAsia="宋体"/>
                <w:color w:val="000000"/>
                <w:sz w:val="20"/>
                <w:u w:val="none"/>
              </w:rPr>
              <w:t>二、商品和服务支出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9.60</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0</w:t>
            </w: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9.60</w:t>
            </w: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办公费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eastAsia" w:ascii="宋体" w:hAnsi="宋体" w:eastAsia="宋体" w:cs="宋体"/>
                <w:kern w:val="0"/>
                <w:sz w:val="22"/>
                <w:szCs w:val="22"/>
                <w:u w:val="none"/>
                <w:lang w:val="en-US" w:eastAsia="zh-CN"/>
              </w:rPr>
              <w:t>6.18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p>
        </w:tc>
        <w:tc>
          <w:tcPr>
            <w:tcW w:w="103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bidi="ar-SA"/>
              </w:rPr>
            </w:pPr>
            <w:r>
              <w:rPr>
                <w:rFonts w:hint="eastAsia" w:ascii="宋体" w:hAnsi="宋体" w:eastAsia="宋体" w:cs="宋体"/>
                <w:kern w:val="0"/>
                <w:sz w:val="22"/>
                <w:szCs w:val="22"/>
                <w:u w:val="none"/>
                <w:lang w:val="en-US" w:eastAsia="zh-CN"/>
              </w:rPr>
              <w:t>6.18</w:t>
            </w: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差旅费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eastAsia" w:ascii="宋体" w:hAnsi="宋体" w:eastAsia="宋体" w:cs="宋体"/>
                <w:kern w:val="0"/>
                <w:sz w:val="22"/>
                <w:szCs w:val="22"/>
                <w:u w:val="none"/>
                <w:lang w:val="en-US" w:eastAsia="zh-CN"/>
              </w:rPr>
              <w:t>1.00</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c>
          <w:tcPr>
            <w:tcW w:w="10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bidi="ar-SA"/>
              </w:rPr>
            </w:pPr>
            <w:r>
              <w:rPr>
                <w:rFonts w:hint="eastAsia" w:ascii="宋体" w:hAnsi="宋体" w:eastAsia="宋体" w:cs="宋体"/>
                <w:kern w:val="0"/>
                <w:sz w:val="22"/>
                <w:szCs w:val="22"/>
                <w:u w:val="none"/>
                <w:lang w:val="en-US" w:eastAsia="zh-CN"/>
              </w:rPr>
              <w:t>1.00</w:t>
            </w:r>
          </w:p>
        </w:tc>
      </w:tr>
      <w:tr>
        <w:tblPrEx>
          <w:tblCellMar>
            <w:top w:w="0" w:type="dxa"/>
            <w:left w:w="108" w:type="dxa"/>
            <w:bottom w:w="0" w:type="dxa"/>
            <w:right w:w="108" w:type="dxa"/>
          </w:tblCellMar>
        </w:tblPrEx>
        <w:trPr>
          <w:trHeight w:val="600" w:hRule="atLeast"/>
          <w:jc w:val="center"/>
        </w:trPr>
        <w:tc>
          <w:tcPr>
            <w:tcW w:w="1774"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工会经费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2"/>
                <w:szCs w:val="22"/>
                <w:u w:val="none"/>
                <w:lang w:val="en-US" w:eastAsia="zh-CN"/>
              </w:rPr>
            </w:pPr>
            <w:r>
              <w:rPr>
                <w:rFonts w:hint="eastAsia" w:ascii="宋体" w:hAnsi="宋体" w:eastAsia="宋体" w:cs="宋体"/>
                <w:kern w:val="0"/>
                <w:sz w:val="22"/>
                <w:szCs w:val="22"/>
                <w:u w:val="none"/>
                <w:lang w:val="en-US" w:eastAsia="zh-CN"/>
              </w:rPr>
              <w:t>2.42</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c>
          <w:tcPr>
            <w:tcW w:w="10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2"/>
                <w:szCs w:val="22"/>
                <w:u w:val="none"/>
                <w:lang w:val="en-US" w:eastAsia="zh-CN" w:bidi="ar-SA"/>
              </w:rPr>
            </w:pPr>
            <w:r>
              <w:rPr>
                <w:rFonts w:hint="eastAsia" w:ascii="宋体" w:hAnsi="宋体" w:eastAsia="宋体" w:cs="宋体"/>
                <w:kern w:val="0"/>
                <w:sz w:val="22"/>
                <w:szCs w:val="22"/>
                <w:u w:val="none"/>
                <w:lang w:val="en-US" w:eastAsia="zh-CN"/>
              </w:rPr>
              <w:t>2.42</w:t>
            </w:r>
          </w:p>
        </w:tc>
      </w:tr>
      <w:tr>
        <w:tblPrEx>
          <w:tblCellMar>
            <w:top w:w="0" w:type="dxa"/>
            <w:left w:w="108" w:type="dxa"/>
            <w:bottom w:w="0" w:type="dxa"/>
            <w:right w:w="108" w:type="dxa"/>
          </w:tblCellMar>
        </w:tblPrEx>
        <w:trPr>
          <w:trHeight w:val="485" w:hRule="atLeast"/>
          <w:jc w:val="center"/>
        </w:trPr>
        <w:tc>
          <w:tcPr>
            <w:tcW w:w="1774"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sz w:val="20"/>
                <w:u w:val="none"/>
              </w:rPr>
            </w:pPr>
            <w:r>
              <w:rPr>
                <w:rFonts w:hint="eastAsia" w:eastAsia="宋体"/>
                <w:color w:val="000000"/>
                <w:sz w:val="20"/>
                <w:u w:val="none"/>
                <w:lang w:val="en-US" w:eastAsia="zh-CN"/>
              </w:rPr>
              <w:t>三、</w:t>
            </w:r>
            <w:r>
              <w:rPr>
                <w:rFonts w:hint="default" w:eastAsia="宋体"/>
                <w:color w:val="000000"/>
                <w:sz w:val="20"/>
                <w:u w:val="none"/>
                <w:lang w:val="en-US" w:eastAsia="zh-CN"/>
              </w:rPr>
              <w:t>退休费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0"/>
                <w:u w:val="none"/>
                <w:lang w:val="en-US" w:eastAsia="zh-CN"/>
              </w:rPr>
            </w:pPr>
            <w:r>
              <w:rPr>
                <w:rFonts w:hint="eastAsia" w:ascii="宋体" w:hAnsi="宋体" w:eastAsia="宋体" w:cs="宋体"/>
                <w:kern w:val="0"/>
                <w:sz w:val="22"/>
                <w:szCs w:val="22"/>
                <w:u w:val="none"/>
                <w:lang w:val="en-US" w:eastAsia="zh-CN"/>
              </w:rPr>
              <w:t>2.56</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u w:val="none"/>
                <w:lang w:val="en-US" w:eastAsia="zh-CN"/>
              </w:rPr>
            </w:pPr>
            <w:r>
              <w:rPr>
                <w:rFonts w:hint="eastAsia" w:ascii="宋体" w:hAnsi="宋体" w:eastAsia="宋体" w:cs="宋体"/>
                <w:sz w:val="24"/>
                <w:szCs w:val="16"/>
                <w:u w:val="none"/>
                <w:lang w:val="en-US" w:eastAsia="zh-CN"/>
              </w:rPr>
              <w:t>2.56</w:t>
            </w:r>
          </w:p>
        </w:tc>
        <w:tc>
          <w:tcPr>
            <w:tcW w:w="10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u w:val="none"/>
              </w:rPr>
            </w:pPr>
            <w:r>
              <w:rPr>
                <w:rFonts w:hAnsi="楷体" w:eastAsia="楷体"/>
                <w:u w:val="none"/>
              </w:rPr>
              <w:br w:type="page"/>
            </w:r>
            <w:r>
              <w:rPr>
                <w:rFonts w:hint="eastAsia" w:hAnsi="楷体" w:eastAsia="楷体"/>
                <w:u w:val="none"/>
                <w:lang w:val="en-US" w:eastAsia="zh-CN"/>
              </w:rPr>
              <w:t xml:space="preserve">       </w:t>
            </w:r>
            <w:r>
              <w:rPr>
                <w:rFonts w:ascii="Times New Roman" w:hAnsi="Times New Roman" w:eastAsia="方正小标宋简体" w:cs="Times New Roman"/>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u w:val="none"/>
              </w:rPr>
            </w:pPr>
            <w:r>
              <w:rPr>
                <w:rFonts w:hAnsi="华文细黑" w:eastAsia="华文细黑"/>
                <w:color w:val="000000"/>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Ansi="华文细黑" w:eastAsia="华文细黑"/>
                <w:color w:val="000000"/>
                <w:kern w:val="0"/>
                <w:sz w:val="20"/>
                <w:u w:val="none"/>
              </w:rPr>
              <w:t>项</w:t>
            </w:r>
            <w:r>
              <w:rPr>
                <w:rFonts w:eastAsia="华文细黑"/>
                <w:color w:val="000000"/>
                <w:kern w:val="0"/>
                <w:sz w:val="20"/>
                <w:u w:val="none"/>
              </w:rPr>
              <w:t xml:space="preserve">    </w:t>
            </w:r>
            <w:r>
              <w:rPr>
                <w:rFonts w:hAnsi="华文细黑" w:eastAsia="华文细黑"/>
                <w:color w:val="000000"/>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val="en-US" w:eastAsia="zh-CN"/>
              </w:rPr>
              <w:t>2024</w:t>
            </w:r>
            <w:r>
              <w:rPr>
                <w:rFonts w:hAnsi="华文细黑" w:eastAsia="华文细黑"/>
                <w:color w:val="000000"/>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color w:val="000000"/>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u w:val="none"/>
              </w:rPr>
            </w:pPr>
            <w:r>
              <w:rPr>
                <w:rFonts w:eastAsia="宋体"/>
                <w:color w:val="000000"/>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u w:val="none"/>
                <w:lang w:val="en-US" w:eastAsia="zh-CN"/>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eastAsia="宋体"/>
                <w:color w:val="000000"/>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u w:val="none"/>
                <w:lang w:eastAsia="zh-CN"/>
              </w:rPr>
            </w:pPr>
            <w:r>
              <w:rPr>
                <w:rFonts w:eastAsia="宋体"/>
                <w:color w:val="000000"/>
                <w:kern w:val="0"/>
                <w:sz w:val="28"/>
                <w:szCs w:val="28"/>
                <w:u w:val="none"/>
              </w:rPr>
              <w:t xml:space="preserve">  </w:t>
            </w:r>
            <w:r>
              <w:rPr>
                <w:color w:val="000000"/>
                <w:kern w:val="0"/>
                <w:sz w:val="28"/>
                <w:szCs w:val="28"/>
                <w:u w:val="none"/>
              </w:rPr>
              <w:t>说明：</w:t>
            </w:r>
          </w:p>
          <w:p>
            <w:pPr>
              <w:widowControl/>
              <w:jc w:val="left"/>
              <w:rPr>
                <w:rFonts w:hint="eastAsia" w:eastAsia="宋体"/>
                <w:color w:val="000000"/>
                <w:kern w:val="0"/>
                <w:sz w:val="28"/>
                <w:szCs w:val="28"/>
                <w:u w:val="none"/>
                <w:lang w:eastAsia="zh-CN"/>
              </w:rPr>
            </w:pPr>
            <w:r>
              <w:rPr>
                <w:rFonts w:eastAsia="宋体"/>
                <w:color w:val="000000"/>
                <w:kern w:val="0"/>
                <w:sz w:val="28"/>
                <w:szCs w:val="28"/>
                <w:u w:val="none"/>
              </w:rPr>
              <w:t xml:space="preserve">       1</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的单位范围包括部门本级及所属</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w:t>
            </w:r>
            <w:r>
              <w:rPr>
                <w:rFonts w:eastAsia="宋体"/>
                <w:color w:val="000000"/>
                <w:kern w:val="0"/>
                <w:sz w:val="28"/>
                <w:szCs w:val="28"/>
                <w:u w:val="none"/>
              </w:rPr>
              <w:t xml:space="preserve"> </w:t>
            </w:r>
            <w:r>
              <w:rPr>
                <w:color w:val="000000"/>
                <w:kern w:val="0"/>
                <w:sz w:val="28"/>
                <w:szCs w:val="28"/>
                <w:u w:val="none"/>
              </w:rPr>
              <w:t>个预算单位。</w:t>
            </w:r>
            <w:r>
              <w:rPr>
                <w:rFonts w:eastAsia="宋体"/>
                <w:color w:val="000000"/>
                <w:kern w:val="0"/>
                <w:sz w:val="28"/>
                <w:szCs w:val="28"/>
                <w:u w:val="none"/>
              </w:rPr>
              <w:t xml:space="preserve">   </w:t>
            </w:r>
          </w:p>
          <w:p>
            <w:pPr>
              <w:widowControl/>
              <w:jc w:val="left"/>
              <w:rPr>
                <w:color w:val="000000"/>
                <w:kern w:val="0"/>
                <w:sz w:val="28"/>
                <w:szCs w:val="28"/>
                <w:u w:val="none"/>
              </w:rPr>
            </w:pPr>
            <w:r>
              <w:rPr>
                <w:rFonts w:eastAsia="宋体"/>
                <w:color w:val="000000"/>
                <w:kern w:val="0"/>
                <w:sz w:val="28"/>
                <w:szCs w:val="28"/>
                <w:u w:val="none"/>
              </w:rPr>
              <w:t xml:space="preserve">       2</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的实有人员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19</w:t>
            </w:r>
            <w:r>
              <w:rPr>
                <w:rFonts w:eastAsia="宋体"/>
                <w:color w:val="000000"/>
                <w:kern w:val="0"/>
                <w:sz w:val="28"/>
                <w:szCs w:val="28"/>
                <w:u w:val="none"/>
              </w:rPr>
              <w:t xml:space="preserve"> </w:t>
            </w:r>
            <w:r>
              <w:rPr>
                <w:color w:val="000000"/>
                <w:kern w:val="0"/>
                <w:sz w:val="28"/>
                <w:szCs w:val="28"/>
                <w:u w:val="none"/>
              </w:rPr>
              <w:t>人，其中：在职人员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12</w:t>
            </w:r>
            <w:r>
              <w:rPr>
                <w:rFonts w:eastAsia="宋体"/>
                <w:color w:val="000000"/>
                <w:kern w:val="0"/>
                <w:sz w:val="28"/>
                <w:szCs w:val="28"/>
                <w:u w:val="none"/>
              </w:rPr>
              <w:t xml:space="preserve"> </w:t>
            </w:r>
            <w:r>
              <w:rPr>
                <w:color w:val="000000"/>
                <w:kern w:val="0"/>
                <w:sz w:val="28"/>
                <w:szCs w:val="28"/>
                <w:u w:val="none"/>
              </w:rPr>
              <w:t>人，离退休人员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7</w:t>
            </w:r>
            <w:r>
              <w:rPr>
                <w:rFonts w:eastAsia="宋体"/>
                <w:color w:val="000000"/>
                <w:kern w:val="0"/>
                <w:sz w:val="28"/>
                <w:szCs w:val="28"/>
                <w:u w:val="none"/>
              </w:rPr>
              <w:t xml:space="preserve"> </w:t>
            </w:r>
            <w:r>
              <w:rPr>
                <w:color w:val="000000"/>
                <w:kern w:val="0"/>
                <w:sz w:val="28"/>
                <w:szCs w:val="28"/>
                <w:u w:val="none"/>
              </w:rPr>
              <w:t>人。</w:t>
            </w:r>
          </w:p>
          <w:p>
            <w:pPr>
              <w:widowControl/>
              <w:jc w:val="left"/>
              <w:rPr>
                <w:rFonts w:hint="eastAsia" w:eastAsia="仿宋_GB2312"/>
                <w:color w:val="000000"/>
                <w:kern w:val="0"/>
                <w:sz w:val="28"/>
                <w:szCs w:val="28"/>
                <w:u w:val="none"/>
                <w:lang w:val="en-US" w:eastAsia="zh-CN"/>
              </w:rPr>
            </w:pPr>
            <w:r>
              <w:rPr>
                <w:rFonts w:hint="eastAsia"/>
                <w:color w:val="000000"/>
                <w:kern w:val="0"/>
                <w:sz w:val="28"/>
                <w:szCs w:val="28"/>
                <w:u w:val="none"/>
                <w:lang w:val="en-US" w:eastAsia="zh-CN"/>
              </w:rPr>
              <w:t xml:space="preserve">       </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注：没有一般公共预算拨款的，公开空表，不得删除。</w:t>
      </w:r>
    </w:p>
    <w:p>
      <w:pPr>
        <w:ind w:firstLine="640" w:firstLineChars="200"/>
        <w:rPr>
          <w:rFonts w:eastAsia="楷体"/>
          <w:kern w:val="0"/>
          <w:szCs w:val="32"/>
          <w:u w:val="none"/>
        </w:rPr>
      </w:pPr>
      <w:r>
        <w:rPr>
          <w:rFonts w:hAnsi="楷体" w:eastAsia="楷体"/>
          <w:u w:val="none"/>
        </w:rPr>
        <w:br w:type="page"/>
      </w:r>
      <w:r>
        <w:rPr>
          <w:rFonts w:eastAsia="楷体"/>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u w:val="none"/>
              </w:rPr>
            </w:pPr>
          </w:p>
          <w:p>
            <w:pPr>
              <w:widowControl/>
              <w:jc w:val="center"/>
              <w:rPr>
                <w:rFonts w:hint="eastAsia" w:ascii="宋体" w:hAnsi="宋体" w:eastAsia="宋体" w:cs="宋体"/>
                <w:kern w:val="0"/>
                <w:sz w:val="20"/>
                <w:szCs w:val="20"/>
                <w:u w:val="none"/>
              </w:rPr>
            </w:pPr>
            <w:r>
              <w:rPr>
                <w:rFonts w:hint="eastAsia" w:ascii="Times New Roman" w:hAnsi="Times New Roman" w:eastAsia="方正小标宋简体" w:cs="Times New Roman"/>
                <w:kern w:val="0"/>
                <w:sz w:val="36"/>
                <w:szCs w:val="36"/>
                <w:u w:val="none"/>
              </w:rPr>
              <w:t>政府性基金预算支出表</w:t>
            </w:r>
          </w:p>
          <w:p>
            <w:pPr>
              <w:widowControl/>
              <w:jc w:val="right"/>
              <w:rPr>
                <w:rFonts w:hint="eastAsia" w:ascii="宋体" w:hAnsi="宋体" w:eastAsia="宋体" w:cs="宋体"/>
                <w:color w:val="000000"/>
                <w:kern w:val="0"/>
                <w:sz w:val="20"/>
                <w:szCs w:val="20"/>
                <w:u w:val="none"/>
              </w:rPr>
            </w:pPr>
          </w:p>
          <w:p>
            <w:pPr>
              <w:widowControl/>
              <w:jc w:val="right"/>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u w:val="none"/>
              </w:rPr>
            </w:pPr>
            <w:r>
              <w:rPr>
                <w:rFonts w:hint="eastAsia" w:ascii="宋体" w:hAnsi="宋体" w:eastAsia="宋体" w:cs="宋体"/>
                <w:color w:val="000000"/>
                <w:sz w:val="20"/>
                <w:szCs w:val="20"/>
                <w:u w:val="none"/>
              </w:rPr>
              <w:t>功能分类</w:t>
            </w:r>
          </w:p>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bl>
    <w:p>
      <w:pPr>
        <w:spacing w:line="700" w:lineRule="exact"/>
        <w:rPr>
          <w:rFonts w:eastAsia="楷体_GB2312"/>
          <w:kern w:val="0"/>
          <w:szCs w:val="32"/>
          <w:u w:val="none"/>
        </w:rPr>
      </w:pPr>
      <w:r>
        <w:rPr>
          <w:rFonts w:eastAsia="楷体_GB2312"/>
          <w:kern w:val="0"/>
          <w:szCs w:val="32"/>
          <w:u w:val="none"/>
        </w:rPr>
        <w:t xml:space="preserve">    </w:t>
      </w: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ind w:firstLine="480" w:firstLineChars="200"/>
        <w:rPr>
          <w:rFonts w:hint="eastAsia" w:ascii="楷体" w:hAnsi="楷体" w:eastAsia="楷体" w:cs="楷体"/>
          <w:kern w:val="0"/>
          <w:sz w:val="24"/>
          <w:szCs w:val="24"/>
          <w:u w:val="none"/>
        </w:rPr>
      </w:pPr>
      <w:r>
        <w:rPr>
          <w:rFonts w:hint="eastAsia" w:ascii="楷体" w:hAnsi="楷体" w:eastAsia="楷体" w:cs="楷体"/>
          <w:kern w:val="0"/>
          <w:sz w:val="24"/>
          <w:szCs w:val="24"/>
          <w:u w:val="none"/>
        </w:rPr>
        <w:t>注：功能科目列至项级。没有政府性基金预算拨款的，公开空表，不得删除。</w:t>
      </w: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ind w:firstLine="640" w:firstLineChars="200"/>
        <w:rPr>
          <w:rFonts w:eastAsia="楷体"/>
          <w:kern w:val="0"/>
          <w:szCs w:val="32"/>
          <w:u w:val="none"/>
        </w:rPr>
      </w:pPr>
      <w:r>
        <w:rPr>
          <w:rFonts w:eastAsia="楷体"/>
          <w:kern w:val="0"/>
          <w:szCs w:val="32"/>
          <w:u w:val="none"/>
        </w:rPr>
        <w:t xml:space="preserve"> </w:t>
      </w:r>
    </w:p>
    <w:p>
      <w:pPr>
        <w:spacing w:line="700" w:lineRule="exact"/>
        <w:rPr>
          <w:rFonts w:hint="eastAsia" w:ascii="楷体" w:hAnsi="楷体" w:eastAsia="楷体" w:cs="楷体"/>
          <w:kern w:val="0"/>
          <w:sz w:val="24"/>
          <w:szCs w:val="24"/>
          <w:u w:val="none"/>
        </w:rPr>
      </w:pPr>
      <w:r>
        <w:rPr>
          <w:rFonts w:eastAsia="楷体_GB2312"/>
          <w:kern w:val="0"/>
          <w:szCs w:val="32"/>
          <w:u w:val="none"/>
        </w:rPr>
        <w:t xml:space="preserve">   </w:t>
      </w:r>
    </w:p>
    <w:tbl>
      <w:tblPr>
        <w:tblStyle w:val="9"/>
        <w:tblpPr w:leftFromText="180" w:rightFromText="180" w:vertAnchor="page" w:horzAnchor="page" w:tblpX="1267" w:tblpY="2285"/>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u w:val="none"/>
              </w:rPr>
            </w:pPr>
            <w:r>
              <w:rPr>
                <w:rFonts w:hint="eastAsia" w:eastAsia="方正小标宋简体"/>
                <w:kern w:val="0"/>
                <w:sz w:val="36"/>
                <w:szCs w:val="36"/>
                <w:u w:val="none"/>
              </w:rPr>
              <w:t>国有资本经营</w:t>
            </w:r>
            <w:r>
              <w:rPr>
                <w:rFonts w:eastAsia="方正小标宋简体"/>
                <w:kern w:val="0"/>
                <w:sz w:val="36"/>
                <w:szCs w:val="36"/>
                <w:u w:val="none"/>
              </w:rPr>
              <w:t>预算支出表</w:t>
            </w:r>
          </w:p>
          <w:p>
            <w:pPr>
              <w:widowControl/>
              <w:jc w:val="center"/>
              <w:rPr>
                <w:rFonts w:hint="eastAsia" w:eastAsia="方正小标宋简体"/>
                <w:kern w:val="0"/>
                <w:sz w:val="36"/>
                <w:szCs w:val="36"/>
                <w:u w:val="none"/>
              </w:rPr>
            </w:pPr>
          </w:p>
          <w:p>
            <w:pPr>
              <w:widowControl/>
              <w:jc w:val="center"/>
              <w:rPr>
                <w:rFonts w:hint="eastAsia" w:eastAsia="方正小标宋简体"/>
                <w:kern w:val="0"/>
                <w:sz w:val="36"/>
                <w:szCs w:val="36"/>
                <w:u w:val="none"/>
              </w:rPr>
            </w:pPr>
          </w:p>
          <w:p>
            <w:pPr>
              <w:widowControl/>
              <w:tabs>
                <w:tab w:val="left" w:pos="7576"/>
                <w:tab w:val="right" w:pos="8879"/>
              </w:tabs>
              <w:jc w:val="left"/>
              <w:rPr>
                <w:rFonts w:eastAsia="华文细黑"/>
                <w:color w:val="000000"/>
                <w:kern w:val="0"/>
                <w:sz w:val="20"/>
                <w:u w:val="none"/>
              </w:rPr>
            </w:pPr>
            <w:r>
              <w:rPr>
                <w:rFonts w:hint="eastAsia" w:eastAsia="华文细黑"/>
                <w:color w:val="000000"/>
                <w:kern w:val="0"/>
                <w:sz w:val="20"/>
                <w:u w:val="none"/>
                <w:lang w:eastAsia="zh-CN"/>
              </w:rPr>
              <w:tab/>
            </w: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bl>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eastAsia="楷体"/>
          <w:kern w:val="0"/>
          <w:szCs w:val="32"/>
          <w:u w:val="none"/>
        </w:rPr>
      </w:pPr>
      <w:r>
        <w:rPr>
          <w:rFonts w:hint="eastAsia" w:ascii="楷体" w:hAnsi="楷体" w:eastAsia="楷体" w:cs="楷体"/>
          <w:kern w:val="0"/>
          <w:sz w:val="24"/>
          <w:szCs w:val="24"/>
          <w:u w:val="none"/>
        </w:rPr>
        <w:t>注：功能科目列至项级。没有国有资本经营预算拨款的，公开空表，不得删除。</w:t>
      </w:r>
      <w:r>
        <w:rPr>
          <w:rFonts w:eastAsia="楷体"/>
          <w:kern w:val="0"/>
          <w:szCs w:val="32"/>
          <w:u w:val="none"/>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u w:val="none"/>
              </w:rPr>
            </w:pPr>
            <w:r>
              <w:rPr>
                <w:rFonts w:hint="eastAsia" w:ascii="Calibri" w:hAnsi="Calibri" w:eastAsia="方正小标宋简体"/>
                <w:kern w:val="0"/>
                <w:sz w:val="36"/>
                <w:szCs w:val="36"/>
                <w:u w:val="none"/>
              </w:rPr>
              <w:t>项目支出</w:t>
            </w:r>
            <w:r>
              <w:rPr>
                <w:rFonts w:ascii="Calibri" w:hAnsi="Calibri" w:eastAsia="方正小标宋简体"/>
                <w:kern w:val="0"/>
                <w:sz w:val="36"/>
                <w:szCs w:val="36"/>
                <w:u w:val="none"/>
              </w:rPr>
              <w:t>表</w:t>
            </w:r>
          </w:p>
          <w:p>
            <w:pPr>
              <w:autoSpaceDN w:val="0"/>
              <w:jc w:val="center"/>
              <w:textAlignment w:val="center"/>
              <w:rPr>
                <w:rFonts w:hint="eastAsia"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u w:val="none"/>
              </w:rPr>
            </w:pPr>
            <w:r>
              <w:rPr>
                <w:rFonts w:hint="eastAsia" w:ascii="宋体" w:hAnsi="宋体" w:eastAsia="宋体" w:cs="宋体"/>
                <w:color w:val="000000"/>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财政专户</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06"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一般</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公共</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国有资本经营</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val="en-US" w:eastAsia="zh-CN" w:bidi="ar-SA"/>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eastAsia" w:ascii="仿宋" w:hAnsi="仿宋" w:eastAsia="仿宋" w:cs="仿宋"/>
                <w:kern w:val="0"/>
                <w:sz w:val="21"/>
                <w:szCs w:val="21"/>
                <w:u w:val="none"/>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u w:val="none"/>
              </w:rPr>
            </w:pPr>
            <w:r>
              <w:rPr>
                <w:rFonts w:hint="eastAsia" w:ascii="Calibri" w:hAnsi="Calibri" w:eastAsia="华文细黑"/>
                <w:color w:val="000000"/>
                <w:sz w:val="20"/>
                <w:szCs w:val="22"/>
                <w:u w:val="none"/>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u w:val="none"/>
                <w:lang w:val="en-US" w:eastAsia="zh-CN"/>
              </w:rPr>
            </w:pPr>
          </w:p>
        </w:tc>
        <w:tc>
          <w:tcPr>
            <w:tcW w:w="1107" w:type="dxa"/>
            <w:noWrap w:val="0"/>
            <w:vAlign w:val="center"/>
          </w:tcPr>
          <w:p>
            <w:pPr>
              <w:spacing w:line="240" w:lineRule="auto"/>
              <w:jc w:val="center"/>
              <w:rPr>
                <w:rFonts w:ascii="Calibri" w:hAnsi="Calibri" w:eastAsia="楷体"/>
                <w:kern w:val="0"/>
                <w:szCs w:val="32"/>
                <w:u w:val="none"/>
              </w:rPr>
            </w:pPr>
          </w:p>
        </w:tc>
        <w:tc>
          <w:tcPr>
            <w:tcW w:w="864" w:type="dxa"/>
            <w:noWrap w:val="0"/>
            <w:vAlign w:val="center"/>
          </w:tcPr>
          <w:p>
            <w:pPr>
              <w:spacing w:line="240" w:lineRule="auto"/>
              <w:jc w:val="center"/>
              <w:rPr>
                <w:rFonts w:ascii="Calibri" w:hAnsi="Calibri" w:eastAsia="楷体"/>
                <w:kern w:val="0"/>
                <w:szCs w:val="32"/>
                <w:u w:val="none"/>
              </w:rPr>
            </w:pPr>
          </w:p>
        </w:tc>
        <w:tc>
          <w:tcPr>
            <w:tcW w:w="545" w:type="dxa"/>
            <w:noWrap w:val="0"/>
            <w:vAlign w:val="center"/>
          </w:tcPr>
          <w:p>
            <w:pPr>
              <w:spacing w:line="240" w:lineRule="auto"/>
              <w:jc w:val="center"/>
              <w:rPr>
                <w:rFonts w:ascii="Calibri" w:hAnsi="Calibri" w:eastAsia="楷体"/>
                <w:kern w:val="0"/>
                <w:szCs w:val="32"/>
                <w:u w:val="none"/>
              </w:rPr>
            </w:pPr>
          </w:p>
        </w:tc>
        <w:tc>
          <w:tcPr>
            <w:tcW w:w="506" w:type="dxa"/>
            <w:noWrap w:val="0"/>
            <w:vAlign w:val="center"/>
          </w:tcPr>
          <w:p>
            <w:pPr>
              <w:spacing w:line="240" w:lineRule="auto"/>
              <w:jc w:val="center"/>
              <w:rPr>
                <w:rFonts w:ascii="Calibri" w:hAnsi="Calibri" w:eastAsia="楷体"/>
                <w:kern w:val="0"/>
                <w:szCs w:val="32"/>
                <w:u w:val="none"/>
              </w:rPr>
            </w:pPr>
          </w:p>
        </w:tc>
        <w:tc>
          <w:tcPr>
            <w:tcW w:w="554" w:type="dxa"/>
            <w:noWrap w:val="0"/>
            <w:vAlign w:val="center"/>
          </w:tcPr>
          <w:p>
            <w:pPr>
              <w:spacing w:line="240" w:lineRule="auto"/>
              <w:jc w:val="center"/>
              <w:rPr>
                <w:rFonts w:ascii="Calibri" w:hAnsi="Calibri" w:eastAsia="楷体"/>
                <w:kern w:val="0"/>
                <w:szCs w:val="32"/>
                <w:u w:val="none"/>
              </w:rPr>
            </w:pPr>
          </w:p>
        </w:tc>
        <w:tc>
          <w:tcPr>
            <w:tcW w:w="521" w:type="dxa"/>
            <w:noWrap w:val="0"/>
            <w:vAlign w:val="center"/>
          </w:tcPr>
          <w:p>
            <w:pPr>
              <w:spacing w:line="240" w:lineRule="auto"/>
              <w:jc w:val="center"/>
              <w:rPr>
                <w:rFonts w:ascii="Calibri" w:hAnsi="Calibri" w:eastAsia="楷体"/>
                <w:kern w:val="0"/>
                <w:szCs w:val="32"/>
                <w:u w:val="none"/>
              </w:rPr>
            </w:pPr>
          </w:p>
        </w:tc>
        <w:tc>
          <w:tcPr>
            <w:tcW w:w="564" w:type="dxa"/>
            <w:noWrap w:val="0"/>
            <w:vAlign w:val="center"/>
          </w:tcPr>
          <w:p>
            <w:pPr>
              <w:spacing w:line="240" w:lineRule="auto"/>
              <w:jc w:val="center"/>
              <w:rPr>
                <w:rFonts w:ascii="Calibri" w:hAnsi="Calibri" w:eastAsia="楷体"/>
                <w:kern w:val="0"/>
                <w:szCs w:val="32"/>
                <w:u w:val="none"/>
              </w:rPr>
            </w:pPr>
          </w:p>
        </w:tc>
        <w:tc>
          <w:tcPr>
            <w:tcW w:w="532" w:type="dxa"/>
            <w:noWrap w:val="0"/>
            <w:vAlign w:val="center"/>
          </w:tcPr>
          <w:p>
            <w:pPr>
              <w:spacing w:line="240" w:lineRule="auto"/>
              <w:jc w:val="center"/>
              <w:rPr>
                <w:rFonts w:ascii="Calibri" w:hAnsi="Calibri" w:eastAsia="楷体"/>
                <w:kern w:val="0"/>
                <w:szCs w:val="32"/>
                <w:u w:val="none"/>
              </w:rPr>
            </w:pPr>
          </w:p>
        </w:tc>
        <w:tc>
          <w:tcPr>
            <w:tcW w:w="598" w:type="dxa"/>
            <w:noWrap w:val="0"/>
            <w:vAlign w:val="center"/>
          </w:tcPr>
          <w:p>
            <w:pPr>
              <w:spacing w:line="240" w:lineRule="auto"/>
              <w:jc w:val="center"/>
              <w:rPr>
                <w:rFonts w:ascii="Calibri" w:hAnsi="Calibri" w:eastAsia="楷体"/>
                <w:kern w:val="0"/>
                <w:szCs w:val="32"/>
                <w:u w:val="none"/>
              </w:rPr>
            </w:pPr>
          </w:p>
        </w:tc>
        <w:tc>
          <w:tcPr>
            <w:tcW w:w="443" w:type="dxa"/>
            <w:noWrap w:val="0"/>
            <w:vAlign w:val="center"/>
          </w:tcPr>
          <w:p>
            <w:pPr>
              <w:spacing w:line="240" w:lineRule="auto"/>
              <w:jc w:val="center"/>
              <w:rPr>
                <w:rFonts w:ascii="Calibri" w:hAnsi="Calibri" w:eastAsia="楷体"/>
                <w:kern w:val="0"/>
                <w:szCs w:val="32"/>
                <w:u w:val="none"/>
              </w:rPr>
            </w:pPr>
          </w:p>
        </w:tc>
        <w:tc>
          <w:tcPr>
            <w:tcW w:w="425" w:type="dxa"/>
            <w:noWrap w:val="0"/>
            <w:vAlign w:val="center"/>
          </w:tcPr>
          <w:p>
            <w:pPr>
              <w:spacing w:line="240" w:lineRule="auto"/>
              <w:jc w:val="center"/>
              <w:rPr>
                <w:rFonts w:ascii="Calibri" w:hAnsi="Calibri" w:eastAsia="楷体"/>
                <w:kern w:val="0"/>
                <w:szCs w:val="32"/>
                <w:u w:val="none"/>
              </w:rPr>
            </w:pPr>
          </w:p>
        </w:tc>
      </w:tr>
    </w:tbl>
    <w:p>
      <w:pPr>
        <w:spacing w:line="700" w:lineRule="exact"/>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二</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bl>
    <w:p>
      <w:pPr>
        <w:spacing w:line="700" w:lineRule="exact"/>
        <w:rPr>
          <w:rFonts w:hint="eastAsia" w:ascii="楷体" w:hAnsi="楷体" w:eastAsia="楷体" w:cs="楷体"/>
          <w:kern w:val="0"/>
          <w:sz w:val="24"/>
          <w:szCs w:val="24"/>
          <w:u w:val="none"/>
        </w:rPr>
      </w:pPr>
    </w:p>
    <w:p>
      <w:pPr>
        <w:spacing w:line="700" w:lineRule="exact"/>
        <w:ind w:firstLine="640" w:firstLineChars="200"/>
        <w:rPr>
          <w:rFonts w:hint="eastAsia" w:eastAsia="楷体"/>
          <w:kern w:val="0"/>
          <w:szCs w:val="32"/>
          <w:u w:val="none"/>
        </w:rPr>
      </w:pPr>
      <w:r>
        <w:rPr>
          <w:rFonts w:hint="eastAsia" w:eastAsia="楷体"/>
          <w:kern w:val="0"/>
          <w:szCs w:val="32"/>
          <w:u w:val="none"/>
        </w:rPr>
        <w:br w:type="page"/>
      </w:r>
    </w:p>
    <w:p>
      <w:pPr>
        <w:ind w:firstLine="720" w:firstLineChars="200"/>
        <w:jc w:val="center"/>
        <w:rPr>
          <w:rFonts w:eastAsia="黑体"/>
          <w:sz w:val="36"/>
          <w:szCs w:val="36"/>
          <w:u w:val="none"/>
        </w:rPr>
      </w:pPr>
      <w:r>
        <w:rPr>
          <w:rFonts w:eastAsia="黑体"/>
          <w:sz w:val="36"/>
          <w:szCs w:val="36"/>
          <w:u w:val="none"/>
        </w:rPr>
        <w:t>第三部分 情况说明</w:t>
      </w:r>
    </w:p>
    <w:p>
      <w:pPr>
        <w:rPr>
          <w:rFonts w:eastAsia="仿宋"/>
          <w:szCs w:val="32"/>
          <w:u w:val="none"/>
        </w:rPr>
      </w:pPr>
    </w:p>
    <w:p>
      <w:pPr>
        <w:ind w:firstLine="640" w:firstLineChars="200"/>
        <w:rPr>
          <w:rFonts w:eastAsia="黑体"/>
          <w:szCs w:val="32"/>
          <w:u w:val="none"/>
        </w:rPr>
      </w:pPr>
      <w:r>
        <w:rPr>
          <w:rFonts w:eastAsia="黑体"/>
          <w:szCs w:val="32"/>
          <w:u w:val="none"/>
        </w:rPr>
        <w:t>一、</w:t>
      </w:r>
      <w:r>
        <w:rPr>
          <w:rFonts w:hint="eastAsia" w:eastAsia="黑体"/>
          <w:szCs w:val="32"/>
          <w:u w:val="none"/>
          <w:lang w:eastAsia="zh-CN"/>
        </w:rPr>
        <w:t>2024年</w:t>
      </w:r>
      <w:r>
        <w:rPr>
          <w:rFonts w:eastAsia="黑体"/>
          <w:szCs w:val="32"/>
          <w:u w:val="none"/>
        </w:rPr>
        <w:t>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收支总预算</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32.44</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2024年</w:t>
      </w:r>
      <w:r>
        <w:rPr>
          <w:rFonts w:hint="eastAsia" w:ascii="黑体" w:hAnsi="黑体" w:eastAsia="黑体" w:cs="黑体"/>
          <w:szCs w:val="32"/>
          <w:u w:val="none"/>
        </w:rPr>
        <w:t>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收入预算</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2024年</w:t>
      </w:r>
      <w:r>
        <w:rPr>
          <w:rFonts w:hint="eastAsia" w:ascii="黑体" w:hAnsi="黑体" w:eastAsia="黑体" w:cs="黑体"/>
          <w:szCs w:val="32"/>
          <w:u w:val="none"/>
        </w:rPr>
        <w:t>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支出预算</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2024年</w:t>
      </w:r>
      <w:r>
        <w:rPr>
          <w:rFonts w:hint="eastAsia" w:ascii="黑体" w:hAnsi="黑体" w:eastAsia="黑体" w:cs="黑体"/>
          <w:szCs w:val="32"/>
          <w:u w:val="none"/>
        </w:rPr>
        <w:t>财政拨款收支预算情况</w:t>
      </w:r>
    </w:p>
    <w:p>
      <w:pPr>
        <w:ind w:firstLine="600"/>
        <w:rPr>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财政拨款收支总预算</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23.15</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7.41</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125.83</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13.47</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一般公共预算拨款</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160.26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94.35</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9.60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5.65</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23.15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13.63</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13.47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7.93</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7.41</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4.36</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125.83</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74.08</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职工工资及福利和公用经费支出</w:t>
      </w:r>
      <w:r>
        <w:rPr>
          <w:rFonts w:hint="eastAsia" w:ascii="仿宋_GB2312" w:hAnsi="仿宋_GB2312" w:eastAsia="仿宋_GB2312" w:cs="仿宋_GB2312"/>
          <w:szCs w:val="32"/>
          <w:u w:val="none"/>
        </w:rPr>
        <w:t>。</w:t>
      </w:r>
    </w:p>
    <w:p>
      <w:pPr>
        <w:rPr>
          <w:rFonts w:hint="eastAsia" w:eastAsia="仿宋_GB2312"/>
          <w:u w:val="none"/>
          <w:lang w:eastAsia="zh-CN"/>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2024年</w:t>
      </w:r>
      <w:r>
        <w:rPr>
          <w:rFonts w:hint="eastAsia" w:ascii="黑体" w:hAnsi="黑体" w:eastAsia="黑体" w:cs="黑体"/>
          <w:szCs w:val="32"/>
          <w:u w:val="none"/>
        </w:rPr>
        <w:t>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一般公共预算基本支出</w:t>
      </w:r>
      <w:r>
        <w:rPr>
          <w:rFonts w:hint="eastAsia" w:ascii="仿宋_GB2312" w:hAnsi="仿宋_GB2312" w:cs="仿宋_GB2312"/>
          <w:szCs w:val="32"/>
          <w:u w:val="none"/>
          <w:lang w:val="en-US" w:eastAsia="zh-CN"/>
        </w:rPr>
        <w:t>169.86</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160.26</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9.60</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“三公”经费预算数为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bookmarkStart w:id="0" w:name="_GoBack"/>
      <w:bookmarkEnd w:id="0"/>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2024年</w:t>
      </w:r>
      <w:r>
        <w:rPr>
          <w:rFonts w:eastAsia="楷体"/>
          <w:szCs w:val="32"/>
          <w:u w:val="none"/>
        </w:rPr>
        <w:t>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等____家</w:t>
      </w:r>
      <w:r>
        <w:rPr>
          <w:rFonts w:hint="eastAsia" w:ascii="仿宋_GB2312" w:hAnsi="仿宋_GB2312" w:cs="仿宋_GB2312"/>
          <w:szCs w:val="32"/>
          <w:lang w:eastAsia="zh-CN"/>
        </w:rPr>
        <w:t>行政</w:t>
      </w:r>
      <w:r>
        <w:rPr>
          <w:rFonts w:hint="eastAsia" w:ascii="仿宋_GB2312" w:hAnsi="仿宋_GB2312" w:eastAsia="仿宋_GB2312" w:cs="仿宋_GB2312"/>
          <w:szCs w:val="32"/>
        </w:rPr>
        <w:t>单位以及_______等____家参公管理事业单位的机关运行经费财政拨款预算__万元，比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w:t>
      </w:r>
      <w:r>
        <w:rPr>
          <w:rFonts w:hint="eastAsia" w:ascii="仿宋_GB2312" w:hAnsi="仿宋_GB2312" w:cs="仿宋_GB2312"/>
          <w:szCs w:val="32"/>
          <w:lang w:eastAsia="zh-CN"/>
        </w:rPr>
        <w:t>减少</w:t>
      </w:r>
      <w:r>
        <w:rPr>
          <w:rFonts w:hint="eastAsia" w:ascii="仿宋_GB2312" w:hAnsi="仿宋_GB2312" w:eastAsia="仿宋_GB2312" w:cs="仿宋_GB2312"/>
          <w:szCs w:val="32"/>
        </w:rPr>
        <w:t>____万元，</w:t>
      </w:r>
      <w:r>
        <w:rPr>
          <w:rFonts w:hint="eastAsia" w:ascii="仿宋_GB2312" w:hAnsi="仿宋_GB2312" w:cs="仿宋_GB2312"/>
          <w:szCs w:val="32"/>
          <w:lang w:eastAsia="zh-CN"/>
        </w:rPr>
        <w:t>降低</w:t>
      </w:r>
      <w:r>
        <w:rPr>
          <w:rFonts w:hint="eastAsia" w:ascii="仿宋_GB2312" w:hAnsi="仿宋_GB2312" w:eastAsia="仿宋_GB2312" w:cs="仿宋_GB2312"/>
          <w:szCs w:val="32"/>
        </w:rPr>
        <w:t>____%，主要原因是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（二）政府采购情况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政府采购预算总额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万元，其中：政府采购货物预算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万元、政府采购工程预算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万元、政府采购服务预算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spacing w:line="540" w:lineRule="exact"/>
        <w:ind w:firstLine="640" w:firstLineChars="200"/>
        <w:rPr>
          <w:rFonts w:eastAsia="楷体"/>
          <w:szCs w:val="32"/>
          <w:u w:val="none"/>
        </w:rPr>
      </w:pPr>
      <w:r>
        <w:rPr>
          <w:rFonts w:eastAsia="楷体"/>
          <w:szCs w:val="32"/>
          <w:u w:val="none"/>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8月底，部门本级和所属各预算单位共有车辆</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部门预算安排购置车辆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平方米，计划新增单价50万元及以上的通用设备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台/套，计划新增单价100万元及以上的专用设备实有数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numPr>
          <w:ilvl w:val="0"/>
          <w:numId w:val="1"/>
        </w:numPr>
        <w:spacing w:line="540" w:lineRule="exact"/>
        <w:ind w:firstLine="640" w:firstLineChars="200"/>
        <w:rPr>
          <w:rFonts w:hint="eastAsia" w:eastAsia="楷体"/>
          <w:szCs w:val="32"/>
          <w:highlight w:val="none"/>
          <w:u w:val="none"/>
        </w:rPr>
      </w:pPr>
      <w:r>
        <w:rPr>
          <w:rFonts w:hint="eastAsia" w:eastAsia="楷体"/>
          <w:szCs w:val="32"/>
          <w:highlight w:val="none"/>
          <w:u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2024年</w:t>
      </w:r>
      <w:r>
        <w:rPr>
          <w:rFonts w:hint="eastAsia" w:ascii="仿宋_GB2312" w:hAnsi="仿宋_GB2312" w:eastAsia="仿宋_GB2312" w:cs="仿宋_GB2312"/>
          <w:highlight w:val="none"/>
          <w:u w:val="none"/>
        </w:rPr>
        <w:t>部门项目支出</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万元，其中：一级项目</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个，二级项目</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u w:val="none"/>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2024年</w:t>
      </w:r>
      <w:r>
        <w:rPr>
          <w:rFonts w:hint="eastAsia" w:ascii="仿宋_GB2312" w:hAnsi="仿宋_GB2312" w:eastAsia="仿宋_GB2312" w:cs="仿宋_GB2312"/>
          <w:u w:val="none"/>
        </w:rPr>
        <w:t>确定</w:t>
      </w:r>
      <w:r>
        <w:rPr>
          <w:rFonts w:hint="eastAsia" w:ascii="仿宋_GB2312" w:hAnsi="仿宋_GB2312" w:cs="仿宋_GB2312"/>
          <w:szCs w:val="32"/>
          <w:u w:val="none"/>
          <w:lang w:val="en-US" w:eastAsia="zh-CN"/>
        </w:rPr>
        <w:t>0</w:t>
      </w:r>
      <w:r>
        <w:rPr>
          <w:rFonts w:hint="eastAsia" w:ascii="仿宋_GB2312" w:hAnsi="仿宋_GB2312" w:eastAsia="仿宋_GB2312" w:cs="仿宋_GB2312"/>
          <w:u w:val="none"/>
        </w:rPr>
        <w:t>个</w:t>
      </w:r>
      <w:r>
        <w:rPr>
          <w:rFonts w:hint="eastAsia" w:ascii="仿宋_GB2312" w:hAnsi="仿宋_GB2312" w:cs="仿宋_GB2312"/>
          <w:u w:val="none"/>
          <w:lang w:eastAsia="zh-CN"/>
        </w:rPr>
        <w:t>二</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0</w:t>
      </w:r>
      <w:r>
        <w:rPr>
          <w:rFonts w:hint="eastAsia" w:ascii="仿宋_GB2312" w:hAnsi="仿宋_GB2312" w:eastAsia="仿宋_GB2312" w:cs="仿宋_GB2312"/>
          <w:u w:val="none"/>
        </w:rPr>
        <w:t>万元。</w:t>
      </w:r>
    </w:p>
    <w:p>
      <w:pPr>
        <w:ind w:firstLine="645"/>
        <w:rPr>
          <w:rFonts w:eastAsia="楷体"/>
          <w:szCs w:val="32"/>
          <w:u w:val="none"/>
        </w:rPr>
      </w:pPr>
    </w:p>
    <w:p>
      <w:pPr>
        <w:spacing w:line="540" w:lineRule="exact"/>
        <w:ind w:firstLine="640" w:firstLineChars="200"/>
        <w:rPr>
          <w:rFonts w:eastAsia="楷体"/>
          <w:szCs w:val="32"/>
          <w:u w:val="none"/>
        </w:rPr>
      </w:pPr>
      <w:r>
        <w:rPr>
          <w:rFonts w:eastAsia="楷体"/>
          <w:szCs w:val="32"/>
          <w:u w:val="none"/>
        </w:rPr>
        <w:t>注：没有需要按规定说明情况的，直接表述为“本部门无”，不得直接删除。</w:t>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jM3YmI1YTk2YmNmY2JlMDBkYjRjNmEyMTQx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214955"/>
    <w:rsid w:val="03530242"/>
    <w:rsid w:val="037E0D4F"/>
    <w:rsid w:val="04022755"/>
    <w:rsid w:val="0486486A"/>
    <w:rsid w:val="04954460"/>
    <w:rsid w:val="04F026C1"/>
    <w:rsid w:val="050D06DA"/>
    <w:rsid w:val="050F3BA7"/>
    <w:rsid w:val="05513E94"/>
    <w:rsid w:val="056F5A6D"/>
    <w:rsid w:val="059B3770"/>
    <w:rsid w:val="059C3AF9"/>
    <w:rsid w:val="063949A0"/>
    <w:rsid w:val="064A1CA8"/>
    <w:rsid w:val="067960C1"/>
    <w:rsid w:val="06BD5BC7"/>
    <w:rsid w:val="06E65C7C"/>
    <w:rsid w:val="07BE54E0"/>
    <w:rsid w:val="07D21289"/>
    <w:rsid w:val="07F544B0"/>
    <w:rsid w:val="08420409"/>
    <w:rsid w:val="09A0082A"/>
    <w:rsid w:val="0A334D52"/>
    <w:rsid w:val="0ABA06FE"/>
    <w:rsid w:val="0B5F5ADA"/>
    <w:rsid w:val="0B710869"/>
    <w:rsid w:val="0BB20E09"/>
    <w:rsid w:val="0C2A5C84"/>
    <w:rsid w:val="0DA001B0"/>
    <w:rsid w:val="0DB6446C"/>
    <w:rsid w:val="0DEB170B"/>
    <w:rsid w:val="0E4C7841"/>
    <w:rsid w:val="0EF037E4"/>
    <w:rsid w:val="0F3E0406"/>
    <w:rsid w:val="0F8B592F"/>
    <w:rsid w:val="0FD62F63"/>
    <w:rsid w:val="107728C7"/>
    <w:rsid w:val="10AE7F82"/>
    <w:rsid w:val="10C93B35"/>
    <w:rsid w:val="11177619"/>
    <w:rsid w:val="112605C8"/>
    <w:rsid w:val="12E711B7"/>
    <w:rsid w:val="130474EB"/>
    <w:rsid w:val="136D62BD"/>
    <w:rsid w:val="13F21722"/>
    <w:rsid w:val="1441443C"/>
    <w:rsid w:val="14C12787"/>
    <w:rsid w:val="15593E10"/>
    <w:rsid w:val="159F7E25"/>
    <w:rsid w:val="15F848D0"/>
    <w:rsid w:val="160E1FA5"/>
    <w:rsid w:val="160F2600"/>
    <w:rsid w:val="17765BCA"/>
    <w:rsid w:val="17A027D8"/>
    <w:rsid w:val="18EA6C09"/>
    <w:rsid w:val="196469ED"/>
    <w:rsid w:val="1A817DF8"/>
    <w:rsid w:val="1ADC594E"/>
    <w:rsid w:val="1AEB5252"/>
    <w:rsid w:val="1B6945D9"/>
    <w:rsid w:val="1BCA30B9"/>
    <w:rsid w:val="1C852172"/>
    <w:rsid w:val="1CA40C0C"/>
    <w:rsid w:val="1CFF4A32"/>
    <w:rsid w:val="1D833200"/>
    <w:rsid w:val="1E2D59A2"/>
    <w:rsid w:val="1E3A3FD0"/>
    <w:rsid w:val="1EB55C07"/>
    <w:rsid w:val="1F351A10"/>
    <w:rsid w:val="1FED47E9"/>
    <w:rsid w:val="206816AC"/>
    <w:rsid w:val="20EF4CAA"/>
    <w:rsid w:val="21096388"/>
    <w:rsid w:val="21581900"/>
    <w:rsid w:val="22A4003E"/>
    <w:rsid w:val="23984063"/>
    <w:rsid w:val="23CE11F0"/>
    <w:rsid w:val="23D048CF"/>
    <w:rsid w:val="23EC61F6"/>
    <w:rsid w:val="242B53BF"/>
    <w:rsid w:val="24457704"/>
    <w:rsid w:val="244C543C"/>
    <w:rsid w:val="24624768"/>
    <w:rsid w:val="2539376C"/>
    <w:rsid w:val="254C6FAD"/>
    <w:rsid w:val="2557798A"/>
    <w:rsid w:val="259B5BC5"/>
    <w:rsid w:val="25C7462E"/>
    <w:rsid w:val="25F62C4E"/>
    <w:rsid w:val="26643D6C"/>
    <w:rsid w:val="26FE109D"/>
    <w:rsid w:val="27073E1E"/>
    <w:rsid w:val="27B04AB3"/>
    <w:rsid w:val="288C424B"/>
    <w:rsid w:val="28A63332"/>
    <w:rsid w:val="29C45F24"/>
    <w:rsid w:val="2DA55C06"/>
    <w:rsid w:val="2DF8796C"/>
    <w:rsid w:val="2EB22F18"/>
    <w:rsid w:val="2EE12108"/>
    <w:rsid w:val="2EED35E3"/>
    <w:rsid w:val="2EF07B60"/>
    <w:rsid w:val="2F250383"/>
    <w:rsid w:val="2F63610B"/>
    <w:rsid w:val="2FB2219A"/>
    <w:rsid w:val="300965A3"/>
    <w:rsid w:val="30730D6E"/>
    <w:rsid w:val="30B91A70"/>
    <w:rsid w:val="32CF2C5D"/>
    <w:rsid w:val="335402B5"/>
    <w:rsid w:val="339466B2"/>
    <w:rsid w:val="34533777"/>
    <w:rsid w:val="34555AF5"/>
    <w:rsid w:val="35616772"/>
    <w:rsid w:val="35EA1663"/>
    <w:rsid w:val="364C598E"/>
    <w:rsid w:val="36C55145"/>
    <w:rsid w:val="36CC2B0F"/>
    <w:rsid w:val="371A614D"/>
    <w:rsid w:val="3838492F"/>
    <w:rsid w:val="384401FB"/>
    <w:rsid w:val="387258D7"/>
    <w:rsid w:val="3887374F"/>
    <w:rsid w:val="38AF6637"/>
    <w:rsid w:val="39041A07"/>
    <w:rsid w:val="39043B77"/>
    <w:rsid w:val="393F0DCD"/>
    <w:rsid w:val="39400042"/>
    <w:rsid w:val="39670895"/>
    <w:rsid w:val="39F5260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2D1637"/>
    <w:rsid w:val="436B1E42"/>
    <w:rsid w:val="43993170"/>
    <w:rsid w:val="44054362"/>
    <w:rsid w:val="449C5E6A"/>
    <w:rsid w:val="44DF1057"/>
    <w:rsid w:val="45551EB3"/>
    <w:rsid w:val="456D114B"/>
    <w:rsid w:val="45EB670F"/>
    <w:rsid w:val="4638045A"/>
    <w:rsid w:val="46AB7C0D"/>
    <w:rsid w:val="46D44808"/>
    <w:rsid w:val="47CF49E6"/>
    <w:rsid w:val="4843587B"/>
    <w:rsid w:val="48674ED2"/>
    <w:rsid w:val="487708E6"/>
    <w:rsid w:val="49645F71"/>
    <w:rsid w:val="497F2572"/>
    <w:rsid w:val="499F5C68"/>
    <w:rsid w:val="4AF16062"/>
    <w:rsid w:val="4B646DDD"/>
    <w:rsid w:val="4B7F44F8"/>
    <w:rsid w:val="4BAC24C5"/>
    <w:rsid w:val="4BFA0656"/>
    <w:rsid w:val="4C5567C9"/>
    <w:rsid w:val="4D5A127B"/>
    <w:rsid w:val="4D730507"/>
    <w:rsid w:val="4D741DD3"/>
    <w:rsid w:val="4D922DC1"/>
    <w:rsid w:val="4DAA5033"/>
    <w:rsid w:val="4DC93207"/>
    <w:rsid w:val="4E2A22FD"/>
    <w:rsid w:val="4E8D5761"/>
    <w:rsid w:val="4EF54A85"/>
    <w:rsid w:val="4F6F75D9"/>
    <w:rsid w:val="4FB01626"/>
    <w:rsid w:val="501B3C66"/>
    <w:rsid w:val="504B40C5"/>
    <w:rsid w:val="50987DC2"/>
    <w:rsid w:val="50A4703E"/>
    <w:rsid w:val="5136104F"/>
    <w:rsid w:val="51E55C99"/>
    <w:rsid w:val="52071113"/>
    <w:rsid w:val="52447C09"/>
    <w:rsid w:val="525A440D"/>
    <w:rsid w:val="53C378F8"/>
    <w:rsid w:val="54104D89"/>
    <w:rsid w:val="54741940"/>
    <w:rsid w:val="54810E66"/>
    <w:rsid w:val="54C2556E"/>
    <w:rsid w:val="551663CF"/>
    <w:rsid w:val="55480EEF"/>
    <w:rsid w:val="56570E30"/>
    <w:rsid w:val="56B750BE"/>
    <w:rsid w:val="56B84941"/>
    <w:rsid w:val="57AE5C26"/>
    <w:rsid w:val="57DD75A9"/>
    <w:rsid w:val="57E05008"/>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D5FB2"/>
    <w:rsid w:val="5D2B52D8"/>
    <w:rsid w:val="5D5A7C63"/>
    <w:rsid w:val="5E256F6F"/>
    <w:rsid w:val="5EF760C9"/>
    <w:rsid w:val="5F6235A9"/>
    <w:rsid w:val="614125C2"/>
    <w:rsid w:val="617F7164"/>
    <w:rsid w:val="624C5C52"/>
    <w:rsid w:val="636F798A"/>
    <w:rsid w:val="63952BB5"/>
    <w:rsid w:val="63DF08E4"/>
    <w:rsid w:val="64127E15"/>
    <w:rsid w:val="64A04202"/>
    <w:rsid w:val="64C04AFD"/>
    <w:rsid w:val="661A7B69"/>
    <w:rsid w:val="664909C1"/>
    <w:rsid w:val="66544FA9"/>
    <w:rsid w:val="66C63EB5"/>
    <w:rsid w:val="677772D0"/>
    <w:rsid w:val="679461D3"/>
    <w:rsid w:val="6858287E"/>
    <w:rsid w:val="68A32AC5"/>
    <w:rsid w:val="69157114"/>
    <w:rsid w:val="691A443E"/>
    <w:rsid w:val="6A093DD7"/>
    <w:rsid w:val="6A80735F"/>
    <w:rsid w:val="6ACC5E47"/>
    <w:rsid w:val="6AD43ED1"/>
    <w:rsid w:val="6B11024D"/>
    <w:rsid w:val="6B3D425E"/>
    <w:rsid w:val="6B637A3C"/>
    <w:rsid w:val="6B7D5B36"/>
    <w:rsid w:val="6CB71DEE"/>
    <w:rsid w:val="6CDD4D14"/>
    <w:rsid w:val="6CF120A8"/>
    <w:rsid w:val="70912EF2"/>
    <w:rsid w:val="714213DD"/>
    <w:rsid w:val="717F272E"/>
    <w:rsid w:val="728027C6"/>
    <w:rsid w:val="72D54D7C"/>
    <w:rsid w:val="737664E0"/>
    <w:rsid w:val="73FE7ACC"/>
    <w:rsid w:val="74053F35"/>
    <w:rsid w:val="74221B26"/>
    <w:rsid w:val="74556746"/>
    <w:rsid w:val="74AB7A24"/>
    <w:rsid w:val="74C202F5"/>
    <w:rsid w:val="75E3405B"/>
    <w:rsid w:val="76BB79B1"/>
    <w:rsid w:val="76C17E06"/>
    <w:rsid w:val="76CA67BD"/>
    <w:rsid w:val="76D9095F"/>
    <w:rsid w:val="774E6400"/>
    <w:rsid w:val="775B0046"/>
    <w:rsid w:val="78796248"/>
    <w:rsid w:val="79700BEF"/>
    <w:rsid w:val="79F85634"/>
    <w:rsid w:val="7A090695"/>
    <w:rsid w:val="7AE175F4"/>
    <w:rsid w:val="7B0C59FB"/>
    <w:rsid w:val="7B417685"/>
    <w:rsid w:val="7B5220F0"/>
    <w:rsid w:val="7BA169C0"/>
    <w:rsid w:val="7BE95D3C"/>
    <w:rsid w:val="7CAD595B"/>
    <w:rsid w:val="7CF65D07"/>
    <w:rsid w:val="7D2975D1"/>
    <w:rsid w:val="7DCC0CD6"/>
    <w:rsid w:val="7E29470A"/>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彦群</cp:lastModifiedBy>
  <cp:lastPrinted>2022-02-21T08:08:00Z</cp:lastPrinted>
  <dcterms:modified xsi:type="dcterms:W3CDTF">2024-01-29T03:25:51Z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