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u w:val="none"/>
        </w:rPr>
      </w:pPr>
      <w:r>
        <w:rPr>
          <w:rFonts w:eastAsia="黑体"/>
          <w:u w:val="none"/>
        </w:rPr>
        <w:t>附件1：</w:t>
      </w: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通榆县国有土地收购储备中心</w:t>
      </w:r>
    </w:p>
    <w:p>
      <w:pPr>
        <w:jc w:val="center"/>
        <w:rPr>
          <w:rFonts w:eastAsia="方正小标宋简体"/>
          <w:sz w:val="44"/>
          <w:szCs w:val="44"/>
          <w:u w:val="none"/>
        </w:rPr>
      </w:pPr>
      <w:r>
        <w:rPr>
          <w:rFonts w:hint="eastAsia" w:eastAsia="方正小标宋简体"/>
          <w:sz w:val="44"/>
          <w:szCs w:val="44"/>
          <w:u w:val="none"/>
          <w:lang w:eastAsia="zh-CN"/>
        </w:rPr>
        <w:t>2024年</w:t>
      </w:r>
      <w:r>
        <w:rPr>
          <w:rFonts w:eastAsia="方正小标宋简体"/>
          <w:sz w:val="44"/>
          <w:szCs w:val="44"/>
          <w:u w:val="none"/>
        </w:rPr>
        <w:t>部门预算</w:t>
      </w:r>
    </w:p>
    <w:p>
      <w:pPr>
        <w:jc w:val="left"/>
        <w:rPr>
          <w:u w:val="none"/>
        </w:rPr>
      </w:pPr>
      <w:r>
        <w:rPr>
          <w:u w:val="none"/>
        </w:rPr>
        <w:tab/>
      </w:r>
      <w:r>
        <w:rPr>
          <w:u w:val="none"/>
        </w:rPr>
        <w:tab/>
      </w:r>
      <w:r>
        <w:rPr>
          <w:u w:val="none"/>
        </w:rPr>
        <w:tab/>
      </w:r>
      <w:r>
        <w:rPr>
          <w:u w:val="none"/>
        </w:rPr>
        <w:tab/>
      </w:r>
      <w:r>
        <w:rPr>
          <w:u w:val="none"/>
        </w:rPr>
        <w:tab/>
      </w:r>
      <w:r>
        <w:rPr>
          <w:u w:val="none"/>
        </w:rPr>
        <w:tab/>
      </w:r>
    </w:p>
    <w:p>
      <w:pPr>
        <w:jc w:val="left"/>
        <w:rPr>
          <w:u w:val="none"/>
        </w:rPr>
      </w:pPr>
    </w:p>
    <w:p>
      <w:pPr>
        <w:jc w:val="left"/>
        <w:rPr>
          <w:u w:val="none"/>
        </w:rPr>
      </w:pPr>
    </w:p>
    <w:p>
      <w:pPr>
        <w:jc w:val="left"/>
        <w:rPr>
          <w:u w:val="none"/>
        </w:rPr>
      </w:pPr>
    </w:p>
    <w:p>
      <w:pPr>
        <w:jc w:val="left"/>
        <w:rPr>
          <w:u w:val="none"/>
        </w:rPr>
      </w:pPr>
    </w:p>
    <w:p>
      <w:pPr>
        <w:jc w:val="center"/>
        <w:rPr>
          <w:u w:val="none"/>
        </w:rPr>
      </w:pPr>
      <w:r>
        <w:rPr>
          <w:rFonts w:hint="eastAsia" w:ascii="黑体" w:hAnsi="黑体" w:eastAsia="黑体" w:cs="黑体"/>
          <w:u w:val="none"/>
          <w:lang w:val="en-US" w:eastAsia="zh-CN"/>
        </w:rPr>
        <w:t>2024年1月30日</w:t>
      </w:r>
    </w:p>
    <w:p>
      <w:pPr>
        <w:jc w:val="left"/>
        <w:rPr>
          <w:u w:val="none"/>
        </w:rPr>
      </w:pPr>
    </w:p>
    <w:p>
      <w:pPr>
        <w:jc w:val="left"/>
        <w:rPr>
          <w:u w:val="none"/>
        </w:rPr>
      </w:pPr>
    </w:p>
    <w:p>
      <w:pPr>
        <w:jc w:val="left"/>
        <w:rPr>
          <w:u w:val="none"/>
        </w:rPr>
      </w:pPr>
    </w:p>
    <w:p>
      <w:pPr>
        <w:rPr>
          <w:rFonts w:eastAsia="黑体"/>
          <w:u w:val="none"/>
        </w:rPr>
      </w:pPr>
    </w:p>
    <w:p>
      <w:pPr>
        <w:ind w:firstLine="640" w:firstLineChars="200"/>
        <w:rPr>
          <w:rFonts w:eastAsia="黑体"/>
          <w:u w:val="none"/>
        </w:rPr>
      </w:pPr>
    </w:p>
    <w:p>
      <w:pPr>
        <w:ind w:firstLine="640" w:firstLineChars="200"/>
        <w:rPr>
          <w:rFonts w:eastAsia="黑体"/>
          <w:u w:val="none"/>
        </w:rPr>
      </w:pPr>
      <w:r>
        <w:rPr>
          <w:rFonts w:eastAsia="黑体"/>
          <w:u w:val="none"/>
        </w:rPr>
        <w:br w:type="page"/>
      </w:r>
    </w:p>
    <w:p>
      <w:pPr>
        <w:ind w:firstLine="640" w:firstLineChars="200"/>
        <w:rPr>
          <w:rFonts w:eastAsia="黑体"/>
          <w:u w:val="none"/>
        </w:rPr>
      </w:pPr>
    </w:p>
    <w:p>
      <w:pPr>
        <w:jc w:val="center"/>
        <w:rPr>
          <w:rFonts w:eastAsia="方正小标宋简体"/>
          <w:sz w:val="44"/>
          <w:szCs w:val="44"/>
          <w:u w:val="none"/>
        </w:rPr>
      </w:pPr>
      <w:r>
        <w:rPr>
          <w:rFonts w:eastAsia="方正小标宋简体"/>
          <w:sz w:val="44"/>
          <w:szCs w:val="44"/>
          <w:u w:val="none"/>
        </w:rPr>
        <w:t>目  录</w:t>
      </w:r>
    </w:p>
    <w:p>
      <w:pPr>
        <w:rPr>
          <w:rFonts w:eastAsia="黑体"/>
          <w:u w:val="none"/>
        </w:rPr>
      </w:pP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rPr>
          <w:rFonts w:eastAsia="黑体"/>
          <w:u w:val="none"/>
        </w:rPr>
      </w:pPr>
      <w:r>
        <w:rPr>
          <w:rFonts w:eastAsia="黑体"/>
          <w:u w:val="none"/>
        </w:rPr>
        <w:t>第一部分  部门概况</w:t>
      </w: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ind w:left="320" w:leftChars="100" w:firstLine="320" w:firstLineChars="100"/>
        <w:rPr>
          <w:u w:val="none"/>
        </w:rPr>
      </w:pPr>
      <w:r>
        <w:rPr>
          <w:u w:val="none"/>
        </w:rPr>
        <w:t>一、主要职能</w:t>
      </w:r>
    </w:p>
    <w:p>
      <w:pPr>
        <w:ind w:left="320" w:leftChars="100" w:firstLine="320" w:firstLineChars="100"/>
        <w:rPr>
          <w:u w:val="none"/>
        </w:rPr>
      </w:pPr>
      <w:r>
        <w:rPr>
          <w:u w:val="none"/>
        </w:rPr>
        <w:t>二、机构设置</w:t>
      </w:r>
    </w:p>
    <w:p>
      <w:pPr>
        <w:rPr>
          <w:rFonts w:eastAsia="黑体"/>
          <w:u w:val="none"/>
        </w:rPr>
      </w:pPr>
      <w:r>
        <w:rPr>
          <w:rFonts w:eastAsia="黑体"/>
          <w:u w:val="none"/>
        </w:rPr>
        <w:t>第二部分  预算表格</w:t>
      </w:r>
    </w:p>
    <w:p>
      <w:pPr>
        <w:ind w:left="320" w:leftChars="100" w:firstLine="320" w:firstLineChars="100"/>
        <w:rPr>
          <w:u w:val="none"/>
        </w:rPr>
      </w:pPr>
      <w:r>
        <w:rPr>
          <w:u w:val="none"/>
        </w:rPr>
        <w:t>一、收支</w:t>
      </w:r>
      <w:r>
        <w:rPr>
          <w:rFonts w:hint="eastAsia"/>
          <w:u w:val="none"/>
        </w:rPr>
        <w:t>总</w:t>
      </w:r>
      <w:r>
        <w:rPr>
          <w:u w:val="none"/>
        </w:rPr>
        <w:t>表</w:t>
      </w:r>
    </w:p>
    <w:p>
      <w:pPr>
        <w:ind w:left="320" w:leftChars="100" w:firstLine="320" w:firstLineChars="100"/>
        <w:rPr>
          <w:u w:val="none"/>
        </w:rPr>
      </w:pPr>
      <w:r>
        <w:rPr>
          <w:u w:val="none"/>
        </w:rPr>
        <w:t>二、收入</w:t>
      </w:r>
      <w:r>
        <w:rPr>
          <w:rFonts w:hint="eastAsia"/>
          <w:u w:val="none"/>
        </w:rPr>
        <w:t>总</w:t>
      </w:r>
      <w:r>
        <w:rPr>
          <w:u w:val="none"/>
        </w:rPr>
        <w:t>表</w:t>
      </w:r>
    </w:p>
    <w:p>
      <w:pPr>
        <w:ind w:left="320" w:leftChars="100" w:firstLine="320" w:firstLineChars="100"/>
        <w:rPr>
          <w:u w:val="none"/>
        </w:rPr>
      </w:pPr>
      <w:r>
        <w:rPr>
          <w:u w:val="none"/>
        </w:rPr>
        <w:t>三、支出</w:t>
      </w:r>
      <w:r>
        <w:rPr>
          <w:rFonts w:hint="eastAsia"/>
          <w:u w:val="none"/>
        </w:rPr>
        <w:t>总</w:t>
      </w:r>
      <w:r>
        <w:rPr>
          <w:u w:val="none"/>
        </w:rPr>
        <w:t>表</w:t>
      </w:r>
    </w:p>
    <w:p>
      <w:pPr>
        <w:ind w:left="320" w:leftChars="100" w:firstLine="320" w:firstLineChars="100"/>
        <w:rPr>
          <w:u w:val="none"/>
        </w:rPr>
      </w:pPr>
      <w:r>
        <w:rPr>
          <w:u w:val="none"/>
        </w:rPr>
        <w:t>四、财政拨款收支</w:t>
      </w:r>
      <w:r>
        <w:rPr>
          <w:rFonts w:hint="eastAsia"/>
          <w:u w:val="none"/>
        </w:rPr>
        <w:t>总</w:t>
      </w:r>
      <w:r>
        <w:rPr>
          <w:u w:val="none"/>
        </w:rPr>
        <w:t>表</w:t>
      </w:r>
    </w:p>
    <w:p>
      <w:pPr>
        <w:ind w:left="320" w:leftChars="100" w:firstLine="320" w:firstLineChars="100"/>
        <w:rPr>
          <w:rFonts w:hint="eastAsia"/>
          <w:u w:val="none"/>
        </w:rPr>
      </w:pPr>
      <w:r>
        <w:rPr>
          <w:u w:val="none"/>
        </w:rPr>
        <w:t>五、</w:t>
      </w:r>
      <w:r>
        <w:rPr>
          <w:rFonts w:hint="eastAsia"/>
          <w:u w:val="none"/>
        </w:rPr>
        <w:t>一般公共预算支出表</w:t>
      </w:r>
    </w:p>
    <w:p>
      <w:pPr>
        <w:ind w:left="320" w:leftChars="100" w:firstLine="320" w:firstLineChars="100"/>
        <w:rPr>
          <w:rFonts w:hint="eastAsia"/>
          <w:u w:val="none"/>
        </w:rPr>
      </w:pPr>
      <w:r>
        <w:rPr>
          <w:u w:val="none"/>
        </w:rPr>
        <w:t>六、</w:t>
      </w:r>
      <w:r>
        <w:rPr>
          <w:rFonts w:hint="eastAsia"/>
          <w:u w:val="none"/>
        </w:rPr>
        <w:t>一般公共预算基本支出表</w:t>
      </w:r>
    </w:p>
    <w:p>
      <w:pPr>
        <w:ind w:left="320" w:leftChars="100" w:firstLine="320" w:firstLineChars="100"/>
        <w:rPr>
          <w:u w:val="none"/>
        </w:rPr>
      </w:pPr>
      <w:r>
        <w:rPr>
          <w:u w:val="none"/>
        </w:rPr>
        <w:t>七、一般公共预算“三公”经费支出表</w:t>
      </w:r>
    </w:p>
    <w:p>
      <w:pPr>
        <w:ind w:left="320" w:leftChars="100" w:firstLine="320" w:firstLineChars="100"/>
        <w:rPr>
          <w:u w:val="none"/>
        </w:rPr>
      </w:pPr>
      <w:r>
        <w:rPr>
          <w:u w:val="none"/>
        </w:rPr>
        <w:t>八、政府性基金预算支出表</w:t>
      </w:r>
    </w:p>
    <w:p>
      <w:pPr>
        <w:ind w:left="320" w:leftChars="100" w:firstLine="320" w:firstLineChars="100"/>
        <w:rPr>
          <w:rFonts w:hint="eastAsia"/>
          <w:u w:val="none"/>
        </w:rPr>
      </w:pPr>
      <w:r>
        <w:rPr>
          <w:rFonts w:hint="eastAsia"/>
          <w:u w:val="none"/>
        </w:rPr>
        <w:t>九、国有资本经营</w:t>
      </w:r>
      <w:r>
        <w:rPr>
          <w:u w:val="none"/>
        </w:rPr>
        <w:t>预算支出表</w:t>
      </w:r>
    </w:p>
    <w:p>
      <w:pPr>
        <w:ind w:left="320" w:leftChars="100" w:firstLine="320" w:firstLineChars="100"/>
        <w:rPr>
          <w:rFonts w:hint="eastAsia"/>
          <w:u w:val="none"/>
        </w:rPr>
      </w:pPr>
      <w:r>
        <w:rPr>
          <w:rFonts w:hint="eastAsia"/>
          <w:u w:val="none"/>
        </w:rPr>
        <w:t>十、项目支出表</w:t>
      </w:r>
    </w:p>
    <w:p>
      <w:pPr>
        <w:ind w:left="320" w:leftChars="100" w:firstLine="320" w:firstLineChars="100"/>
        <w:rPr>
          <w:rFonts w:hint="eastAsia"/>
          <w:u w:val="none"/>
        </w:rPr>
      </w:pPr>
      <w:r>
        <w:rPr>
          <w:rFonts w:hint="eastAsia"/>
          <w:u w:val="none"/>
        </w:rPr>
        <w:t>十一、项目支出绩效目标表</w:t>
      </w:r>
    </w:p>
    <w:p>
      <w:pPr>
        <w:rPr>
          <w:rFonts w:eastAsia="黑体"/>
          <w:u w:val="none"/>
        </w:rPr>
      </w:pPr>
      <w:r>
        <w:rPr>
          <w:rFonts w:eastAsia="黑体"/>
          <w:u w:val="none"/>
        </w:rPr>
        <w:t>第三部分  情况说明</w:t>
      </w:r>
    </w:p>
    <w:p>
      <w:pPr>
        <w:rPr>
          <w:rFonts w:eastAsia="黑体"/>
          <w:u w:val="none"/>
        </w:rPr>
      </w:pPr>
      <w:r>
        <w:rPr>
          <w:rFonts w:eastAsia="黑体"/>
          <w:u w:val="none"/>
        </w:rPr>
        <w:t>第四部分  名词解释</w:t>
      </w:r>
    </w:p>
    <w:p>
      <w:pPr>
        <w:rPr>
          <w:rFonts w:eastAsia="黑体"/>
          <w:u w:val="none"/>
        </w:rPr>
      </w:pPr>
      <w:r>
        <w:rPr>
          <w:rFonts w:eastAsia="黑体"/>
          <w:u w:val="none"/>
        </w:rPr>
        <w:br w:type="page"/>
      </w:r>
    </w:p>
    <w:p>
      <w:pPr>
        <w:ind w:firstLine="720" w:firstLineChars="200"/>
        <w:jc w:val="center"/>
        <w:rPr>
          <w:rFonts w:eastAsia="黑体"/>
          <w:sz w:val="36"/>
          <w:szCs w:val="36"/>
          <w:u w:val="none"/>
        </w:rPr>
      </w:pPr>
      <w:r>
        <w:rPr>
          <w:rFonts w:eastAsia="黑体"/>
          <w:sz w:val="36"/>
          <w:szCs w:val="36"/>
          <w:u w:val="none"/>
        </w:rPr>
        <w:t>第一部分 部门概况</w:t>
      </w:r>
    </w:p>
    <w:p>
      <w:pPr>
        <w:ind w:firstLine="640" w:firstLineChars="200"/>
        <w:rPr>
          <w:rFonts w:eastAsia="楷体_GB2312"/>
          <w:u w:val="none"/>
        </w:rPr>
      </w:pP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一、主要职能</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(一)负责根据土地利用总体规划</w:t>
      </w:r>
      <w:r>
        <w:rPr>
          <w:rFonts w:hint="eastAsia" w:ascii="仿宋_GB2312" w:hAnsi="仿宋_GB2312" w:eastAsia="仿宋_GB2312" w:cs="仿宋_GB2312"/>
          <w:u w:val="none"/>
          <w:lang w:eastAsia="zh-CN"/>
        </w:rPr>
        <w:t>，城</w:t>
      </w:r>
      <w:r>
        <w:rPr>
          <w:rFonts w:hint="eastAsia" w:ascii="仿宋_GB2312" w:hAnsi="仿宋_GB2312" w:eastAsia="仿宋_GB2312" w:cs="仿宋_GB2312"/>
          <w:u w:val="none"/>
        </w:rPr>
        <w:t>市规划和土地市场</w:t>
      </w:r>
      <w:r>
        <w:rPr>
          <w:rFonts w:hint="eastAsia" w:ascii="仿宋_GB2312" w:hAnsi="仿宋_GB2312" w:eastAsia="仿宋_GB2312" w:cs="仿宋_GB2312"/>
          <w:u w:val="none"/>
          <w:lang w:eastAsia="zh-CN"/>
        </w:rPr>
        <w:t>著</w:t>
      </w:r>
      <w:r>
        <w:rPr>
          <w:rFonts w:hint="eastAsia" w:ascii="仿宋_GB2312" w:hAnsi="仿宋_GB2312" w:eastAsia="仿宋_GB2312" w:cs="仿宋_GB2312"/>
          <w:u w:val="none"/>
        </w:rPr>
        <w:t>要、制定土地收购、储备计划和闲置土地处置方案等</w:t>
      </w:r>
      <w:r>
        <w:rPr>
          <w:rFonts w:hint="eastAsia" w:ascii="仿宋_GB2312" w:hAnsi="仿宋_GB2312" w:eastAsia="仿宋_GB2312" w:cs="仿宋_GB2312"/>
          <w:u w:val="none"/>
          <w:lang w:eastAsia="zh-CN"/>
        </w:rPr>
        <w:t>；</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(二)根据年度收储计划负责对全市范围内符合土地使用权收回、收购、置换的土地进行收回、收购和置换</w:t>
      </w:r>
      <w:r>
        <w:rPr>
          <w:rFonts w:hint="eastAsia" w:ascii="仿宋_GB2312" w:hAnsi="仿宋_GB2312" w:eastAsia="仿宋_GB2312" w:cs="仿宋_GB2312"/>
          <w:u w:val="none"/>
          <w:lang w:eastAsia="zh-CN"/>
        </w:rPr>
        <w:t>；</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(三)负责对依法收回、收购、置换的土地进行注册建档并纳入政府土地储备库</w:t>
      </w:r>
      <w:r>
        <w:rPr>
          <w:rFonts w:hint="eastAsia" w:ascii="仿宋_GB2312" w:hAnsi="仿宋_GB2312" w:eastAsia="仿宋_GB2312" w:cs="仿宋_GB2312"/>
          <w:u w:val="none"/>
          <w:lang w:eastAsia="zh-CN"/>
        </w:rPr>
        <w:t>；</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w:t>
      </w:r>
      <w:r>
        <w:rPr>
          <w:rFonts w:hint="eastAsia" w:ascii="仿宋_GB2312" w:hAnsi="仿宋_GB2312" w:eastAsia="仿宋_GB2312" w:cs="仿宋_GB2312"/>
          <w:u w:val="none"/>
          <w:lang w:eastAsia="zh-CN"/>
        </w:rPr>
        <w:t>四</w:t>
      </w:r>
      <w:r>
        <w:rPr>
          <w:rFonts w:hint="eastAsia" w:ascii="仿宋_GB2312" w:hAnsi="仿宋_GB2312" w:eastAsia="仿宋_GB2312" w:cs="仿宋_GB2312"/>
          <w:u w:val="none"/>
        </w:rPr>
        <w:t>)负责对储备土地进行前期开发、保护、管理、临时利用，以及为储备土地实施前期开发进行融资等活动</w:t>
      </w:r>
      <w:r>
        <w:rPr>
          <w:rFonts w:hint="eastAsia" w:ascii="仿宋_GB2312" w:hAnsi="仿宋_GB2312" w:eastAsia="仿宋_GB2312" w:cs="仿宋_GB2312"/>
          <w:u w:val="none"/>
          <w:lang w:eastAsia="zh-CN"/>
        </w:rPr>
        <w:t>；</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(五)负责筹集、运作和管理土地收购、储备的专项资</w:t>
      </w:r>
      <w:r>
        <w:rPr>
          <w:rFonts w:hint="eastAsia" w:ascii="仿宋_GB2312" w:hAnsi="仿宋_GB2312" w:eastAsia="仿宋_GB2312" w:cs="仿宋_GB2312"/>
          <w:u w:val="none"/>
          <w:lang w:eastAsia="zh-CN"/>
        </w:rPr>
        <w:t>金；</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lang w:eastAsia="zh-CN"/>
        </w:rPr>
        <w:t>（六）</w:t>
      </w:r>
      <w:r>
        <w:rPr>
          <w:rFonts w:hint="eastAsia" w:ascii="仿宋_GB2312" w:hAnsi="仿宋_GB2312" w:eastAsia="仿宋_GB2312" w:cs="仿宋_GB2312"/>
          <w:u w:val="none"/>
        </w:rPr>
        <w:t>负责全县国土资源信息化建设</w:t>
      </w:r>
      <w:r>
        <w:rPr>
          <w:rFonts w:hint="eastAsia" w:ascii="仿宋_GB2312" w:hAnsi="仿宋_GB2312" w:eastAsia="仿宋_GB2312" w:cs="仿宋_GB2312"/>
          <w:u w:val="none"/>
          <w:lang w:eastAsia="zh-CN"/>
        </w:rPr>
        <w:t>；</w:t>
      </w:r>
    </w:p>
    <w:p>
      <w:pPr>
        <w:pStyle w:val="51"/>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(七)负责全县国土资源基础信息及动态信息和数据的收集,汇总、技术处理及预测分析</w:t>
      </w:r>
      <w:r>
        <w:rPr>
          <w:rFonts w:hint="eastAsia" w:ascii="仿宋_GB2312" w:hAnsi="仿宋_GB2312" w:eastAsia="仿宋_GB2312" w:cs="仿宋_GB2312"/>
          <w:u w:val="none"/>
          <w:lang w:eastAsia="zh-CN"/>
        </w:rPr>
        <w:t>；</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(八)负责全县国土资源信息化工作技术支持和业务服务</w:t>
      </w:r>
      <w:r>
        <w:rPr>
          <w:rFonts w:hint="eastAsia" w:ascii="仿宋_GB2312" w:hAnsi="仿宋_GB2312" w:eastAsia="仿宋_GB2312" w:cs="仿宋_GB2312"/>
          <w:u w:val="none"/>
          <w:lang w:eastAsia="zh-CN"/>
        </w:rPr>
        <w:t>；</w:t>
      </w:r>
      <w:r>
        <w:rPr>
          <w:rFonts w:hint="eastAsia" w:ascii="仿宋_GB2312" w:hAnsi="仿宋_GB2312" w:eastAsia="仿宋_GB2312" w:cs="仿宋_GB2312"/>
          <w:u w:val="none"/>
        </w:rPr>
        <w:t>(九)负责县级国土资源信息工作规划、方案设计、计划编制组织实施;</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(十)参与全县国土资源信息化有关管理政策、工作规范和技术标准的拟定;</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(十一)负责县级国土资源应用系统开发和管理;</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(十二)负责为局机关自动化网络系统提供运行维护和安</w:t>
      </w:r>
      <w:r>
        <w:rPr>
          <w:rFonts w:hint="eastAsia" w:ascii="仿宋_GB2312" w:hAnsi="仿宋_GB2312" w:eastAsia="仿宋_GB2312" w:cs="仿宋_GB2312"/>
          <w:u w:val="none"/>
          <w:lang w:eastAsia="zh-CN"/>
        </w:rPr>
        <w:t>全</w:t>
      </w:r>
      <w:r>
        <w:rPr>
          <w:rFonts w:hint="eastAsia" w:ascii="仿宋_GB2312" w:hAnsi="仿宋_GB2312" w:eastAsia="仿宋_GB2312" w:cs="仿宋_GB2312"/>
          <w:u w:val="none"/>
        </w:rPr>
        <w:t>管理;</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(十三)建立县级数据中心</w:t>
      </w:r>
      <w:r>
        <w:rPr>
          <w:rFonts w:hint="eastAsia" w:ascii="仿宋_GB2312" w:hAnsi="仿宋_GB2312" w:eastAsia="仿宋_GB2312" w:cs="仿宋_GB2312"/>
          <w:u w:val="none"/>
          <w:lang w:eastAsia="zh-CN"/>
        </w:rPr>
        <w:t>，</w:t>
      </w:r>
      <w:r>
        <w:rPr>
          <w:rFonts w:hint="eastAsia" w:ascii="仿宋_GB2312" w:hAnsi="仿宋_GB2312" w:eastAsia="仿宋_GB2312" w:cs="仿宋_GB2312"/>
          <w:u w:val="none"/>
        </w:rPr>
        <w:t>统一管理县级国土资源数据库;</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(十四)负责全县矿产储量和国土资源综合统计、分析工作;</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(十五)承担县信息化领导小组及其办公室交办的相关任务</w:t>
      </w:r>
      <w:r>
        <w:rPr>
          <w:rFonts w:hint="eastAsia" w:ascii="仿宋_GB2312" w:hAnsi="仿宋_GB2312" w:eastAsia="仿宋_GB2312" w:cs="仿宋_GB2312"/>
          <w:u w:val="none"/>
          <w:lang w:eastAsia="zh-CN"/>
        </w:rPr>
        <w:t>。</w:t>
      </w:r>
      <w:r>
        <w:rPr>
          <w:rFonts w:hint="eastAsia" w:ascii="仿宋_GB2312" w:hAnsi="仿宋_GB2312" w:eastAsia="仿宋_GB2312" w:cs="仿宋_GB2312"/>
          <w:u w:val="none"/>
        </w:rPr>
        <w:t>二、机构设置</w:t>
      </w:r>
    </w:p>
    <w:p>
      <w:pPr>
        <w:pStyle w:val="51"/>
        <w:ind w:firstLine="640" w:firstLineChars="200"/>
        <w:rPr>
          <w:rFonts w:hint="eastAsia" w:ascii="仿宋_GB2312" w:hAnsi="仿宋_GB2312" w:eastAsia="仿宋_GB2312" w:cs="仿宋_GB2312"/>
          <w:u w:val="none"/>
        </w:rPr>
      </w:pPr>
      <w:r>
        <w:rPr>
          <w:rFonts w:hint="eastAsia" w:ascii="仿宋_GB2312" w:hAnsi="仿宋_GB2312" w:eastAsia="仿宋_GB2312" w:cs="仿宋_GB2312"/>
          <w:u w:val="none"/>
        </w:rPr>
        <w:t>根据上述职责，</w:t>
      </w:r>
      <w:r>
        <w:rPr>
          <w:rFonts w:hint="eastAsia" w:ascii="仿宋_GB2312" w:hAnsi="仿宋_GB2312" w:eastAsia="仿宋_GB2312" w:cs="仿宋_GB2312"/>
          <w:u w:val="none"/>
          <w:lang w:eastAsia="zh-CN"/>
        </w:rPr>
        <w:t>通榆县国有土地收购储备中心</w:t>
      </w:r>
      <w:r>
        <w:rPr>
          <w:rFonts w:hint="eastAsia" w:ascii="仿宋_GB2312" w:hAnsi="仿宋_GB2312" w:eastAsia="仿宋_GB2312" w:cs="仿宋_GB2312"/>
          <w:u w:val="none"/>
        </w:rPr>
        <w:t>内设</w:t>
      </w:r>
      <w:r>
        <w:rPr>
          <w:rFonts w:hint="eastAsia" w:ascii="仿宋_GB2312" w:hAnsi="仿宋_GB2312" w:eastAsia="仿宋_GB2312" w:cs="仿宋_GB2312"/>
          <w:u w:val="none"/>
          <w:lang w:val="en-US" w:eastAsia="zh-CN"/>
        </w:rPr>
        <w:t>1</w:t>
      </w:r>
      <w:r>
        <w:rPr>
          <w:rFonts w:hint="eastAsia" w:ascii="仿宋_GB2312" w:hAnsi="仿宋_GB2312" w:eastAsia="仿宋_GB2312" w:cs="仿宋_GB2312"/>
          <w:u w:val="none"/>
        </w:rPr>
        <w:t xml:space="preserve">个机构，下设 </w:t>
      </w:r>
      <w:r>
        <w:rPr>
          <w:rFonts w:hint="eastAsia" w:ascii="仿宋_GB2312" w:hAnsi="仿宋_GB2312" w:eastAsia="仿宋_GB2312" w:cs="仿宋_GB2312"/>
          <w:u w:val="none"/>
          <w:lang w:val="en-US" w:eastAsia="zh-CN"/>
        </w:rPr>
        <w:t>1</w:t>
      </w:r>
      <w:r>
        <w:rPr>
          <w:rFonts w:hint="eastAsia" w:ascii="仿宋_GB2312" w:hAnsi="仿宋_GB2312" w:eastAsia="仿宋_GB2312" w:cs="仿宋_GB2312"/>
          <w:u w:val="none"/>
        </w:rPr>
        <w:t xml:space="preserve"> 家预算单位，为</w:t>
      </w:r>
      <w:r>
        <w:rPr>
          <w:rFonts w:hint="eastAsia" w:ascii="仿宋_GB2312" w:hAnsi="仿宋_GB2312" w:eastAsia="仿宋_GB2312" w:cs="仿宋_GB2312"/>
          <w:u w:val="none"/>
          <w:lang w:eastAsia="zh-CN"/>
        </w:rPr>
        <w:t>通榆县国有土地收购储备中心</w:t>
      </w:r>
      <w:r>
        <w:rPr>
          <w:rFonts w:hint="eastAsia" w:ascii="仿宋_GB2312" w:hAnsi="仿宋_GB2312" w:eastAsia="仿宋_GB2312" w:cs="仿宋_GB2312"/>
          <w:u w:val="none"/>
        </w:rPr>
        <w:t>。</w:t>
      </w: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pStyle w:val="51"/>
        <w:ind w:firstLine="640" w:firstLineChars="200"/>
        <w:rPr>
          <w:rFonts w:hint="eastAsia" w:ascii="仿宋_GB2312" w:hAnsi="仿宋_GB2312" w:eastAsia="仿宋_GB2312" w:cs="仿宋_GB2312"/>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r>
        <w:rPr>
          <w:rFonts w:eastAsia="黑体"/>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u w:val="none"/>
              </w:rPr>
            </w:pPr>
            <w:r>
              <w:rPr>
                <w:rFonts w:eastAsia="方正小标宋简体"/>
                <w:kern w:val="0"/>
                <w:sz w:val="36"/>
                <w:szCs w:val="36"/>
                <w:u w:val="none"/>
              </w:rPr>
              <w:t>收支</w:t>
            </w:r>
            <w:r>
              <w:rPr>
                <w:rFonts w:hint="eastAsia" w:eastAsia="方正小标宋简体"/>
                <w:kern w:val="0"/>
                <w:sz w:val="36"/>
                <w:szCs w:val="36"/>
                <w:u w:val="none"/>
              </w:rPr>
              <w:t>总</w:t>
            </w:r>
            <w:r>
              <w:rPr>
                <w:rFonts w:eastAsia="方正小标宋简体"/>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u w:val="none"/>
              </w:rPr>
            </w:pPr>
          </w:p>
        </w:tc>
        <w:tc>
          <w:tcPr>
            <w:tcW w:w="1200" w:type="dxa"/>
            <w:tcBorders>
              <w:top w:val="nil"/>
              <w:left w:val="nil"/>
              <w:bottom w:val="nil"/>
              <w:right w:val="nil"/>
            </w:tcBorders>
            <w:noWrap w:val="0"/>
            <w:vAlign w:val="center"/>
          </w:tcPr>
          <w:p>
            <w:pPr>
              <w:widowControl/>
              <w:jc w:val="center"/>
              <w:rPr>
                <w:rFonts w:eastAsia="宋体"/>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kern w:val="0"/>
                <w:sz w:val="20"/>
                <w:u w:val="none"/>
              </w:rPr>
            </w:pPr>
            <w:r>
              <w:rPr>
                <w:rFonts w:eastAsia="宋体"/>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 xml:space="preserve">支 </w:t>
            </w:r>
            <w:r>
              <w:rPr>
                <w:rFonts w:eastAsia="宋体"/>
                <w:kern w:val="0"/>
                <w:sz w:val="20"/>
                <w:u w:val="none"/>
              </w:rPr>
              <w:t xml:space="preserve">       </w:t>
            </w:r>
            <w:r>
              <w:rPr>
                <w:rFonts w:hint="eastAsia" w:eastAsia="宋体"/>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eastAsia="宋体"/>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hint="eastAsia" w:eastAsia="宋体"/>
                <w:kern w:val="0"/>
                <w:sz w:val="20"/>
                <w:u w:val="none"/>
              </w:rPr>
              <w:t>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当年</w:t>
            </w:r>
            <w:r>
              <w:rPr>
                <w:rFonts w:eastAsia="宋体"/>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248.65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248.65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u w:val="none"/>
              </w:rPr>
            </w:pPr>
            <w:r>
              <w:rPr>
                <w:rFonts w:hint="eastAsia" w:ascii="仿宋_GB2312"/>
                <w:b w:val="0"/>
                <w:bCs/>
                <w:color w:val="000000"/>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248.65</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r>
              <w:rPr>
                <w:rFonts w:hint="eastAsia" w:eastAsia="宋体"/>
                <w:kern w:val="0"/>
                <w:sz w:val="20"/>
                <w:u w:val="none"/>
                <w:lang w:val="en-US" w:eastAsia="zh-CN"/>
              </w:rPr>
              <w:t>248.65</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u w:val="none"/>
              </w:rPr>
            </w:pPr>
            <w:r>
              <w:rPr>
                <w:rFonts w:hint="eastAsia" w:eastAsia="宋体"/>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u w:val="none"/>
              </w:rPr>
            </w:pPr>
            <w:r>
              <w:rPr>
                <w:rFonts w:hint="eastAsia" w:eastAsia="宋体"/>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33.90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33.90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19.73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19.73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10.85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10.85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u w:val="none"/>
              </w:rPr>
            </w:pPr>
            <w:r>
              <w:rPr>
                <w:rFonts w:hint="eastAsia" w:ascii="仿宋_GB2312"/>
                <w:b w:val="0"/>
                <w:bCs/>
                <w:color w:val="000000"/>
                <w:kern w:val="0"/>
                <w:sz w:val="20"/>
                <w:u w:val="none"/>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r>
              <w:rPr>
                <w:rFonts w:hint="eastAsia" w:ascii="仿宋_GB2312"/>
                <w:b w:val="0"/>
                <w:bCs/>
                <w:color w:val="000000"/>
                <w:kern w:val="0"/>
                <w:sz w:val="20"/>
                <w:u w:val="none"/>
                <w:lang w:eastAsia="zh-CN"/>
              </w:rPr>
              <w:t>十二、</w:t>
            </w:r>
            <w:r>
              <w:rPr>
                <w:rFonts w:hint="eastAsia" w:ascii="仿宋_GB2312"/>
                <w:b w:val="0"/>
                <w:bCs/>
                <w:color w:val="000000"/>
                <w:kern w:val="0"/>
                <w:sz w:val="20"/>
                <w:u w:val="none"/>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184.17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184.17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本年收入</w:t>
            </w:r>
            <w:r>
              <w:rPr>
                <w:rFonts w:hint="eastAsia" w:eastAsia="宋体"/>
                <w:b/>
                <w:bCs/>
                <w:kern w:val="0"/>
                <w:sz w:val="20"/>
                <w:u w:val="none"/>
                <w:lang w:val="en-US" w:eastAsia="zh-CN"/>
              </w:rPr>
              <w:t xml:space="preserve">       </w:t>
            </w:r>
            <w:r>
              <w:rPr>
                <w:rFonts w:eastAsia="宋体"/>
                <w:b/>
                <w:bCs/>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248.65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248.65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本年支出</w:t>
            </w:r>
            <w:r>
              <w:rPr>
                <w:rFonts w:hint="eastAsia" w:eastAsia="宋体"/>
                <w:b/>
                <w:bCs/>
                <w:kern w:val="0"/>
                <w:sz w:val="20"/>
                <w:u w:val="none"/>
                <w:lang w:val="en-US" w:eastAsia="zh-CN"/>
              </w:rPr>
              <w:t xml:space="preserve">  </w:t>
            </w:r>
            <w:r>
              <w:rPr>
                <w:rFonts w:eastAsia="宋体"/>
                <w:b/>
                <w:bCs/>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248.65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248.65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结转下年</w:t>
            </w:r>
            <w:r>
              <w:rPr>
                <w:rFonts w:hint="eastAsia" w:eastAsia="宋体"/>
                <w:kern w:val="0"/>
                <w:sz w:val="20"/>
                <w:u w:val="none"/>
                <w:lang w:val="en-US" w:eastAsia="zh-CN"/>
              </w:rPr>
              <w:t xml:space="preserve">  </w:t>
            </w:r>
            <w:r>
              <w:rPr>
                <w:rFonts w:hint="eastAsia" w:eastAsia="宋体"/>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黑体"/>
                <w:b/>
                <w:bCs/>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248.65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248.65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黑体"/>
                <w:b/>
                <w:bCs/>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248.65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bl>
    <w:p>
      <w:pPr>
        <w:ind w:firstLine="640" w:firstLineChars="200"/>
        <w:rPr>
          <w:rFonts w:eastAsia="楷体_GB2312"/>
          <w:strike/>
          <w:u w:val="none"/>
        </w:rPr>
      </w:pPr>
    </w:p>
    <w:p>
      <w:pPr>
        <w:ind w:firstLine="645"/>
        <w:rPr>
          <w:rFonts w:eastAsia="方正小标宋简体"/>
          <w:sz w:val="36"/>
          <w:szCs w:val="36"/>
          <w:u w:val="none"/>
        </w:rPr>
      </w:pPr>
      <w:r>
        <w:rPr>
          <w:rFonts w:hAnsi="楷体" w:eastAsia="楷体"/>
          <w:u w:val="none"/>
        </w:rPr>
        <w:br w:type="page"/>
      </w:r>
      <w:r>
        <w:rPr>
          <w:rFonts w:hint="eastAsia" w:hAnsi="楷体" w:eastAsia="楷体"/>
          <w:u w:val="none"/>
          <w:lang w:val="en-US" w:eastAsia="zh-CN"/>
        </w:rPr>
        <w:t xml:space="preserve">                     </w:t>
      </w:r>
      <w:r>
        <w:rPr>
          <w:rFonts w:eastAsia="方正小标宋简体"/>
          <w:sz w:val="36"/>
          <w:szCs w:val="36"/>
          <w:u w:val="none"/>
        </w:rPr>
        <w:t>收入</w:t>
      </w:r>
      <w:r>
        <w:rPr>
          <w:rFonts w:hint="eastAsia" w:eastAsia="方正小标宋简体"/>
          <w:sz w:val="36"/>
          <w:szCs w:val="36"/>
          <w:u w:val="none"/>
        </w:rPr>
        <w:t>总</w:t>
      </w:r>
      <w:r>
        <w:rPr>
          <w:rFonts w:eastAsia="方正小标宋简体"/>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u w:val="none"/>
              </w:rPr>
            </w:pPr>
          </w:p>
        </w:tc>
        <w:tc>
          <w:tcPr>
            <w:tcW w:w="1061" w:type="dxa"/>
            <w:gridSpan w:val="4"/>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bottom"/>
          </w:tcPr>
          <w:p>
            <w:pPr>
              <w:autoSpaceDN w:val="0"/>
              <w:jc w:val="left"/>
              <w:textAlignment w:val="bottom"/>
              <w:rPr>
                <w:rFonts w:eastAsia="宋体"/>
                <w:color w:val="000000"/>
                <w:sz w:val="20"/>
                <w:u w:val="none"/>
              </w:rPr>
            </w:pPr>
          </w:p>
        </w:tc>
        <w:tc>
          <w:tcPr>
            <w:tcW w:w="1716" w:type="dxa"/>
            <w:gridSpan w:val="5"/>
            <w:noWrap w:val="0"/>
            <w:vAlign w:val="top"/>
          </w:tcPr>
          <w:p>
            <w:pPr>
              <w:wordWrap w:val="0"/>
              <w:autoSpaceDN w:val="0"/>
              <w:jc w:val="right"/>
              <w:textAlignment w:val="center"/>
              <w:rPr>
                <w:rFonts w:eastAsia="宋体"/>
                <w:color w:val="000000"/>
                <w:sz w:val="20"/>
                <w:u w:val="none"/>
              </w:rPr>
            </w:pPr>
            <w:r>
              <w:rPr>
                <w:rFonts w:eastAsia="宋体"/>
                <w:color w:val="000000"/>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u w:val="none"/>
              </w:rPr>
            </w:pPr>
            <w:r>
              <w:rPr>
                <w:rFonts w:hint="eastAsia" w:eastAsia="宋体"/>
                <w:color w:val="000000"/>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lang w:eastAsia="zh-CN"/>
              </w:rPr>
            </w:pPr>
            <w:r>
              <w:rPr>
                <w:rFonts w:hint="eastAsia" w:eastAsia="宋体"/>
                <w:color w:val="000000"/>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一般公</w:t>
            </w:r>
          </w:p>
          <w:p>
            <w:pPr>
              <w:autoSpaceDN w:val="0"/>
              <w:jc w:val="center"/>
              <w:rPr>
                <w:rFonts w:hint="eastAsia" w:eastAsia="宋体"/>
                <w:sz w:val="20"/>
                <w:u w:val="none"/>
              </w:rPr>
            </w:pPr>
            <w:r>
              <w:rPr>
                <w:rFonts w:hint="eastAsia" w:eastAsia="宋体"/>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政府性基</w:t>
            </w:r>
          </w:p>
          <w:p>
            <w:pPr>
              <w:autoSpaceDN w:val="0"/>
              <w:jc w:val="center"/>
              <w:rPr>
                <w:rFonts w:hint="eastAsia" w:eastAsia="宋体"/>
                <w:sz w:val="20"/>
                <w:u w:val="none"/>
              </w:rPr>
            </w:pPr>
            <w:r>
              <w:rPr>
                <w:rFonts w:hint="eastAsia" w:eastAsia="宋体"/>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国有资本</w:t>
            </w:r>
          </w:p>
          <w:p>
            <w:pPr>
              <w:autoSpaceDN w:val="0"/>
              <w:jc w:val="center"/>
              <w:rPr>
                <w:rFonts w:hint="eastAsia" w:eastAsia="宋体"/>
                <w:sz w:val="20"/>
                <w:u w:val="none"/>
              </w:rPr>
            </w:pPr>
            <w:r>
              <w:rPr>
                <w:rFonts w:hint="eastAsia" w:eastAsia="宋体"/>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财政专户</w:t>
            </w:r>
          </w:p>
          <w:p>
            <w:pPr>
              <w:autoSpaceDN w:val="0"/>
              <w:jc w:val="center"/>
              <w:rPr>
                <w:rFonts w:hint="eastAsia" w:eastAsia="宋体"/>
                <w:sz w:val="20"/>
                <w:u w:val="none"/>
              </w:rPr>
            </w:pPr>
            <w:r>
              <w:rPr>
                <w:rFonts w:hint="eastAsia" w:eastAsia="宋体"/>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事业单位</w:t>
            </w:r>
          </w:p>
          <w:p>
            <w:pPr>
              <w:autoSpaceDN w:val="0"/>
              <w:jc w:val="center"/>
              <w:rPr>
                <w:rFonts w:hint="eastAsia" w:eastAsia="宋体"/>
                <w:sz w:val="20"/>
                <w:u w:val="none"/>
              </w:rPr>
            </w:pPr>
            <w:r>
              <w:rPr>
                <w:rFonts w:hint="eastAsia" w:eastAsia="宋体"/>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上级</w:t>
            </w:r>
          </w:p>
          <w:p>
            <w:pPr>
              <w:autoSpaceDN w:val="0"/>
              <w:jc w:val="center"/>
              <w:rPr>
                <w:rFonts w:hint="eastAsia" w:eastAsia="宋体"/>
                <w:sz w:val="20"/>
                <w:u w:val="none"/>
                <w:lang w:eastAsia="zh-CN"/>
              </w:rPr>
            </w:pPr>
            <w:r>
              <w:rPr>
                <w:rFonts w:hint="eastAsia" w:eastAsia="宋体"/>
                <w:sz w:val="20"/>
                <w:u w:val="none"/>
              </w:rPr>
              <w:t>补助</w:t>
            </w:r>
          </w:p>
          <w:p>
            <w:pPr>
              <w:autoSpaceDN w:val="0"/>
              <w:jc w:val="center"/>
              <w:rPr>
                <w:rFonts w:hint="eastAsia" w:eastAsia="宋体"/>
                <w:sz w:val="20"/>
                <w:u w:val="none"/>
              </w:rPr>
            </w:pPr>
            <w:r>
              <w:rPr>
                <w:rFonts w:hint="eastAsia" w:eastAsia="宋体"/>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附属单位</w:t>
            </w:r>
          </w:p>
          <w:p>
            <w:pPr>
              <w:autoSpaceDN w:val="0"/>
              <w:jc w:val="center"/>
              <w:rPr>
                <w:rFonts w:hint="eastAsia" w:eastAsia="宋体"/>
                <w:sz w:val="20"/>
                <w:u w:val="none"/>
              </w:rPr>
            </w:pPr>
            <w:r>
              <w:rPr>
                <w:rFonts w:hint="eastAsia" w:eastAsia="宋体"/>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其他</w:t>
            </w:r>
          </w:p>
          <w:p>
            <w:pPr>
              <w:autoSpaceDN w:val="0"/>
              <w:jc w:val="center"/>
              <w:rPr>
                <w:rFonts w:hint="eastAsia" w:eastAsia="宋体"/>
                <w:sz w:val="20"/>
                <w:u w:val="none"/>
              </w:rPr>
            </w:pPr>
            <w:r>
              <w:rPr>
                <w:rFonts w:hint="eastAsia" w:eastAsia="宋体"/>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u w:val="none"/>
              </w:rPr>
            </w:pPr>
            <w:r>
              <w:rPr>
                <w:rFonts w:hint="eastAsia" w:ascii="华文细黑" w:hAnsi="华文细黑" w:eastAsia="华文细黑" w:cs="华文细黑"/>
                <w:color w:val="000000"/>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u w:val="none"/>
                <w:lang w:eastAsia="zh-CN"/>
              </w:rPr>
            </w:pPr>
            <w:r>
              <w:rPr>
                <w:rFonts w:hint="eastAsia" w:eastAsia="宋体"/>
                <w:sz w:val="20"/>
                <w:u w:val="none"/>
              </w:rPr>
              <w:t>用事业基</w:t>
            </w:r>
          </w:p>
          <w:p>
            <w:pPr>
              <w:autoSpaceDN w:val="0"/>
              <w:jc w:val="center"/>
              <w:rPr>
                <w:rFonts w:hint="eastAsia" w:eastAsia="宋体"/>
                <w:sz w:val="20"/>
                <w:u w:val="none"/>
                <w:lang w:eastAsia="zh-CN"/>
              </w:rPr>
            </w:pPr>
            <w:r>
              <w:rPr>
                <w:rFonts w:hint="eastAsia" w:eastAsia="宋体"/>
                <w:sz w:val="20"/>
                <w:u w:val="none"/>
              </w:rPr>
              <w:t>金弥补收</w:t>
            </w:r>
          </w:p>
          <w:p>
            <w:pPr>
              <w:autoSpaceDN w:val="0"/>
              <w:jc w:val="center"/>
              <w:rPr>
                <w:rFonts w:hint="eastAsia" w:eastAsia="宋体"/>
                <w:sz w:val="20"/>
                <w:u w:val="none"/>
              </w:rPr>
            </w:pPr>
            <w:r>
              <w:rPr>
                <w:rFonts w:hint="eastAsia" w:eastAsia="宋体"/>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u w:val="none"/>
                <w:lang w:eastAsia="zh-CN"/>
              </w:rPr>
            </w:pPr>
            <w:r>
              <w:rPr>
                <w:rFonts w:hint="eastAsia" w:eastAsia="宋体"/>
                <w:color w:val="000000"/>
                <w:sz w:val="20"/>
                <w:u w:val="none"/>
                <w:lang w:eastAsia="zh-CN"/>
              </w:rPr>
              <w:t>通榆县国有土地收购储备中心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248.65</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248.65</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248.65</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u w:val="none"/>
                <w:shd w:val="clear" w:color="auto" w:fill="FFFFFF"/>
              </w:rPr>
            </w:pPr>
            <w:r>
              <w:rPr>
                <w:rFonts w:eastAsia="宋体"/>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248.65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248.65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248.65</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u w:val="none"/>
              </w:rPr>
            </w:pPr>
            <w:r>
              <w:rPr>
                <w:rFonts w:eastAsia="方正小标宋简体"/>
                <w:kern w:val="0"/>
                <w:sz w:val="36"/>
                <w:szCs w:val="36"/>
                <w:u w:val="none"/>
              </w:rPr>
              <w:t>支出</w:t>
            </w:r>
            <w:r>
              <w:rPr>
                <w:rFonts w:hint="eastAsia" w:eastAsia="方正小标宋简体"/>
                <w:kern w:val="0"/>
                <w:sz w:val="36"/>
                <w:szCs w:val="36"/>
                <w:u w:val="none"/>
              </w:rPr>
              <w:t>总</w:t>
            </w:r>
            <w:r>
              <w:rPr>
                <w:rFonts w:eastAsia="方正小标宋简体"/>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r>
                    <w:rPr>
                      <w:rFonts w:eastAsia="华文细黑"/>
                      <w:color w:val="000000"/>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eastAsia="宋体"/>
                      <w:color w:val="000000"/>
                      <w:sz w:val="20"/>
                      <w:u w:val="none"/>
                    </w:rPr>
                    <w:t>功能分类</w:t>
                  </w:r>
                </w:p>
                <w:p>
                  <w:pPr>
                    <w:widowControl/>
                    <w:jc w:val="center"/>
                    <w:rPr>
                      <w:rFonts w:eastAsia="华文细黑"/>
                      <w:color w:val="000000"/>
                      <w:kern w:val="0"/>
                      <w:sz w:val="20"/>
                      <w:u w:val="none"/>
                    </w:rPr>
                  </w:pPr>
                  <w:r>
                    <w:rPr>
                      <w:rFonts w:eastAsia="宋体"/>
                      <w:color w:val="000000"/>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u w:val="none"/>
                    </w:rPr>
                  </w:pP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基本</w:t>
                  </w: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支出</w:t>
                  </w:r>
                </w:p>
                <w:p>
                  <w:pPr>
                    <w:widowControl/>
                    <w:jc w:val="center"/>
                    <w:rPr>
                      <w:rFonts w:eastAsia="华文细黑"/>
                      <w:color w:val="000000"/>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u w:val="none"/>
                    </w:rPr>
                  </w:pPr>
                  <w:r>
                    <w:rPr>
                      <w:rFonts w:hint="eastAsia" w:ascii="Times New Roman" w:hAnsi="Times New Roman" w:eastAsia="宋体" w:cs="Times New Roman"/>
                      <w:color w:val="000000"/>
                      <w:sz w:val="20"/>
                      <w:u w:val="none"/>
                    </w:rPr>
                    <w:t>事业单位</w:t>
                  </w:r>
                </w:p>
                <w:p>
                  <w:pPr>
                    <w:widowControl/>
                    <w:jc w:val="center"/>
                    <w:rPr>
                      <w:rFonts w:hint="eastAsia" w:eastAsia="华文细黑"/>
                      <w:color w:val="000000"/>
                      <w:kern w:val="0"/>
                      <w:sz w:val="20"/>
                      <w:u w:val="none"/>
                    </w:rPr>
                  </w:pPr>
                  <w:r>
                    <w:rPr>
                      <w:rFonts w:hint="eastAsia" w:ascii="Times New Roman" w:hAnsi="Times New Roman" w:eastAsia="宋体" w:cs="Times New Roman"/>
                      <w:color w:val="000000"/>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33.90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33.90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33.90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33.90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26.30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26.30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6.44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10.85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u w:val="none"/>
                      <w:lang w:eastAsia="zh-CN"/>
                    </w:rPr>
                  </w:pPr>
                  <w:r>
                    <w:rPr>
                      <w:rFonts w:hint="eastAsia" w:eastAsia="华文细黑"/>
                      <w:color w:val="000000"/>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248.65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248.65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bl>
          <w:p>
            <w:pPr>
              <w:widowControl/>
              <w:jc w:val="center"/>
              <w:rPr>
                <w:rFonts w:eastAsia="方正小标宋简体"/>
                <w:kern w:val="0"/>
                <w:sz w:val="44"/>
                <w:szCs w:val="44"/>
                <w:u w:val="none"/>
              </w:rPr>
            </w:pPr>
          </w:p>
        </w:tc>
      </w:tr>
    </w:tbl>
    <w:p>
      <w:pPr>
        <w:rPr>
          <w:rFonts w:hAnsi="楷体" w:eastAsia="楷体"/>
          <w:sz w:val="24"/>
          <w:szCs w:val="24"/>
          <w:u w:val="none"/>
        </w:rPr>
      </w:pPr>
      <w:r>
        <w:rPr>
          <w:rFonts w:hint="eastAsia" w:hAnsi="楷体" w:eastAsia="楷体"/>
          <w:sz w:val="24"/>
          <w:szCs w:val="24"/>
          <w:u w:val="none"/>
          <w:lang w:val="en-US" w:eastAsia="zh-CN"/>
        </w:rPr>
        <w:t>注：</w:t>
      </w:r>
      <w:r>
        <w:rPr>
          <w:rFonts w:hAnsi="楷体" w:eastAsia="楷体"/>
          <w:sz w:val="24"/>
          <w:szCs w:val="24"/>
          <w:u w:val="none"/>
        </w:rPr>
        <w:t>功能科目填列至项级。</w:t>
      </w: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1"/>
              <w:gridCol w:w="565"/>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u w:val="none"/>
                    </w:rPr>
                  </w:pPr>
                  <w:r>
                    <w:rPr>
                      <w:rFonts w:eastAsia="方正小标宋简体"/>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u w:val="none"/>
                    </w:rPr>
                  </w:pPr>
                  <w:r>
                    <w:rPr>
                      <w:rFonts w:hint="eastAsia" w:eastAsia="华文细黑"/>
                      <w:color w:val="000000"/>
                      <w:kern w:val="0"/>
                      <w:sz w:val="20"/>
                      <w:u w:val="none"/>
                    </w:rPr>
                    <w:t xml:space="preserve"> </w:t>
                  </w:r>
                  <w:r>
                    <w:rPr>
                      <w:rFonts w:eastAsia="华文细黑"/>
                      <w:color w:val="000000"/>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val="en-US"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56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56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w:t>
                  </w:r>
                  <w:r>
                    <w:rPr>
                      <w:rFonts w:hint="eastAsia" w:ascii="宋体" w:hAnsi="宋体" w:eastAsia="宋体" w:cs="宋体"/>
                      <w:kern w:val="0"/>
                      <w:sz w:val="20"/>
                      <w:u w:val="none"/>
                      <w:lang w:val="en-US" w:eastAsia="zh-CN"/>
                    </w:rPr>
                    <w:t xml:space="preserve">  </w:t>
                  </w:r>
                  <w:r>
                    <w:rPr>
                      <w:rFonts w:hint="eastAsia" w:ascii="宋体" w:hAnsi="宋体" w:eastAsia="宋体" w:cs="宋体"/>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248.65</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248.65</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33.90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33.90</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10.85</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10.85</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19.73</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19.73</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u w:val="none"/>
                      <w:lang w:val="en-US" w:eastAsia="zh-CN"/>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u w:val="none"/>
                      <w:lang w:val="en-US" w:eastAsia="zh-CN"/>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hint="eastAsia" w:eastAsia="宋体"/>
                      <w:b w:val="0"/>
                      <w:bCs w:val="0"/>
                      <w:kern w:val="0"/>
                      <w:sz w:val="20"/>
                      <w:u w:val="none"/>
                      <w:lang w:eastAsia="zh-CN"/>
                    </w:rPr>
                    <w:t>二十一</w:t>
                  </w:r>
                  <w:r>
                    <w:rPr>
                      <w:rFonts w:hint="eastAsia" w:eastAsia="宋体"/>
                      <w:b w:val="0"/>
                      <w:bCs w:val="0"/>
                      <w:kern w:val="0"/>
                      <w:sz w:val="20"/>
                      <w:u w:val="none"/>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184.17</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184.17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宋体"/>
                      <w:b/>
                      <w:bCs/>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r>
                    <w:rPr>
                      <w:rFonts w:hint="eastAsia" w:eastAsia="宋体"/>
                      <w:kern w:val="0"/>
                      <w:sz w:val="20"/>
                      <w:u w:val="none"/>
                      <w:lang w:val="en-US" w:eastAsia="zh-CN"/>
                    </w:rPr>
                    <w:t>248.65</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b/>
                      <w:bCs/>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248.65</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u w:val="none"/>
                    </w:rPr>
                  </w:pPr>
                  <w:r>
                    <w:rPr>
                      <w:rFonts w:hint="eastAsia" w:eastAsia="宋体"/>
                      <w:bCs/>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u w:val="none"/>
                    </w:rPr>
                  </w:pPr>
                  <w:r>
                    <w:rPr>
                      <w:rFonts w:eastAsia="宋体"/>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r>
                    <w:rPr>
                      <w:rFonts w:eastAsia="宋体"/>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hint="eastAsia" w:eastAsia="宋体"/>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r>
                    <w:rPr>
                      <w:rFonts w:hint="eastAsia" w:eastAsia="宋体"/>
                      <w:kern w:val="0"/>
                      <w:sz w:val="20"/>
                      <w:u w:val="none"/>
                      <w:lang w:val="en-US" w:eastAsia="zh-CN"/>
                    </w:rPr>
                    <w:t>248.65</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248.65</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248.65</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u w:val="none"/>
                    </w:rPr>
                  </w:pPr>
                </w:p>
              </w:tc>
              <w:tc>
                <w:tcPr>
                  <w:tcW w:w="0" w:type="auto"/>
                  <w:vAlign w:val="center"/>
                </w:tcPr>
                <w:p>
                  <w:pPr>
                    <w:widowControl/>
                    <w:jc w:val="center"/>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Pr>
                <w:p>
                  <w:pPr>
                    <w:widowControl/>
                    <w:jc w:val="right"/>
                    <w:rPr>
                      <w:rFonts w:eastAsia="黑体"/>
                      <w:kern w:val="0"/>
                      <w:sz w:val="20"/>
                      <w:u w:val="none"/>
                    </w:rPr>
                  </w:pPr>
                </w:p>
              </w:tc>
              <w:tc>
                <w:tcPr>
                  <w:tcW w:w="565" w:type="dxa"/>
                </w:tcPr>
                <w:p>
                  <w:pPr>
                    <w:widowControl/>
                    <w:jc w:val="right"/>
                    <w:rPr>
                      <w:rFonts w:eastAsia="黑体"/>
                      <w:kern w:val="0"/>
                      <w:sz w:val="20"/>
                      <w:u w:val="none"/>
                    </w:rPr>
                  </w:pPr>
                </w:p>
              </w:tc>
              <w:tc>
                <w:tcPr>
                  <w:tcW w:w="0" w:type="auto"/>
                </w:tcPr>
                <w:p>
                  <w:pPr>
                    <w:widowControl/>
                    <w:jc w:val="center"/>
                    <w:rPr>
                      <w:rFonts w:eastAsia="黑体"/>
                      <w:b/>
                      <w:bCs/>
                      <w:kern w:val="0"/>
                      <w:sz w:val="20"/>
                      <w:u w:val="none"/>
                    </w:rPr>
                  </w:pPr>
                </w:p>
              </w:tc>
              <w:tc>
                <w:tcPr>
                  <w:tcW w:w="0" w:type="auto"/>
                </w:tcPr>
                <w:p>
                  <w:pPr>
                    <w:widowControl/>
                    <w:jc w:val="right"/>
                    <w:rPr>
                      <w:rFonts w:eastAsia="宋体"/>
                      <w:kern w:val="0"/>
                      <w:sz w:val="20"/>
                      <w:u w:val="none"/>
                    </w:rPr>
                  </w:pPr>
                </w:p>
              </w:tc>
              <w:tc>
                <w:tcPr>
                  <w:tcW w:w="810" w:type="dxa"/>
                </w:tcPr>
                <w:p>
                  <w:pPr>
                    <w:widowControl/>
                    <w:jc w:val="right"/>
                    <w:rPr>
                      <w:rFonts w:eastAsia="宋体"/>
                      <w:kern w:val="0"/>
                      <w:sz w:val="20"/>
                      <w:u w:val="none"/>
                    </w:rPr>
                  </w:pPr>
                </w:p>
              </w:tc>
              <w:tc>
                <w:tcPr>
                  <w:tcW w:w="678" w:type="dxa"/>
                </w:tcPr>
                <w:p>
                  <w:pPr>
                    <w:widowControl/>
                    <w:jc w:val="right"/>
                    <w:rPr>
                      <w:rFonts w:eastAsia="宋体"/>
                      <w:kern w:val="0"/>
                      <w:sz w:val="20"/>
                      <w:u w:val="none"/>
                    </w:rPr>
                  </w:pPr>
                </w:p>
              </w:tc>
              <w:tc>
                <w:tcPr>
                  <w:tcW w:w="804" w:type="dxa"/>
                </w:tcPr>
                <w:p>
                  <w:pPr>
                    <w:widowControl/>
                    <w:jc w:val="right"/>
                    <w:rPr>
                      <w:rFonts w:eastAsia="宋体"/>
                      <w:kern w:val="0"/>
                      <w:sz w:val="20"/>
                      <w:u w:val="none"/>
                    </w:rPr>
                  </w:pPr>
                </w:p>
              </w:tc>
              <w:tc>
                <w:tcPr>
                  <w:tcW w:w="0" w:type="auto"/>
                </w:tcPr>
                <w:p>
                  <w:pPr>
                    <w:widowControl/>
                    <w:jc w:val="right"/>
                    <w:rPr>
                      <w:rFonts w:eastAsia="宋体"/>
                      <w:kern w:val="0"/>
                      <w:sz w:val="20"/>
                      <w:u w:val="none"/>
                    </w:rPr>
                  </w:pPr>
                </w:p>
              </w:tc>
            </w:tr>
          </w:tbl>
          <w:p>
            <w:pPr>
              <w:widowControl/>
              <w:rPr>
                <w:rFonts w:eastAsia="方正小标宋简体"/>
                <w:kern w:val="0"/>
                <w:sz w:val="44"/>
                <w:szCs w:val="44"/>
                <w:u w:val="none"/>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u w:val="none"/>
                    </w:rPr>
                  </w:pPr>
                  <w:r>
                    <w:rPr>
                      <w:rFonts w:eastAsia="方正小标宋简体"/>
                      <w:kern w:val="0"/>
                      <w:sz w:val="36"/>
                      <w:szCs w:val="36"/>
                      <w:u w:val="none"/>
                    </w:rPr>
                    <w:t>一般公共预算</w:t>
                  </w:r>
                  <w:r>
                    <w:rPr>
                      <w:rFonts w:hint="eastAsia" w:eastAsia="方正小标宋简体"/>
                      <w:kern w:val="0"/>
                      <w:sz w:val="36"/>
                      <w:szCs w:val="36"/>
                      <w:u w:val="none"/>
                    </w:rPr>
                    <w:t>支出</w:t>
                  </w:r>
                  <w:r>
                    <w:rPr>
                      <w:rFonts w:eastAsia="方正小标宋简体"/>
                      <w:kern w:val="0"/>
                      <w:sz w:val="36"/>
                      <w:szCs w:val="36"/>
                      <w:u w:val="none"/>
                    </w:rPr>
                    <w:t>表</w:t>
                  </w:r>
                </w:p>
                <w:p>
                  <w:pPr>
                    <w:widowControl/>
                    <w:jc w:val="right"/>
                    <w:rPr>
                      <w:rFonts w:eastAsia="华文细黑"/>
                      <w:color w:val="000000"/>
                      <w:kern w:val="0"/>
                      <w:sz w:val="20"/>
                      <w:u w:val="none"/>
                    </w:rPr>
                  </w:pP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33.90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33.90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33.90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33.90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33.90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33.90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26.30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26.30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26.30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10.85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10.85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184.17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166.89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166.89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166.89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248.65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248.65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231.37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bl>
          <w:p>
            <w:pPr>
              <w:widowControl/>
              <w:jc w:val="center"/>
              <w:rPr>
                <w:rFonts w:eastAsia="方正小标宋简体"/>
                <w:kern w:val="0"/>
                <w:sz w:val="44"/>
                <w:szCs w:val="44"/>
                <w:u w:val="none"/>
              </w:rPr>
            </w:pPr>
          </w:p>
        </w:tc>
      </w:tr>
    </w:tbl>
    <w:p>
      <w:pPr>
        <w:ind w:firstLine="480" w:firstLineChars="200"/>
        <w:rPr>
          <w:rFonts w:hAnsi="楷体" w:eastAsia="楷体"/>
          <w:sz w:val="24"/>
          <w:szCs w:val="24"/>
          <w:u w:val="none"/>
        </w:rPr>
      </w:pPr>
      <w:r>
        <w:rPr>
          <w:rFonts w:hAnsi="楷体" w:eastAsia="楷体"/>
          <w:sz w:val="24"/>
          <w:szCs w:val="24"/>
          <w:u w:val="none"/>
        </w:rPr>
        <w:t>注：功能科目填列至项级。没有一般公共预算拨款的，公开空表，不得删除。</w:t>
      </w:r>
    </w:p>
    <w:p>
      <w:pPr>
        <w:ind w:firstLine="640" w:firstLineChars="200"/>
        <w:rPr>
          <w:rFonts w:eastAsia="楷体"/>
          <w:u w:val="none"/>
        </w:rPr>
      </w:pPr>
      <w:r>
        <w:rPr>
          <w:rFonts w:hAnsi="楷体" w:eastAsia="楷体"/>
          <w:u w:val="none"/>
        </w:rPr>
        <w:br w:type="page"/>
      </w:r>
    </w:p>
    <w:tbl>
      <w:tblPr>
        <w:tblStyle w:val="9"/>
        <w:tblW w:w="5000" w:type="pct"/>
        <w:jc w:val="center"/>
        <w:tblLayout w:type="autofit"/>
        <w:tblCellMar>
          <w:top w:w="0" w:type="dxa"/>
          <w:left w:w="108" w:type="dxa"/>
          <w:bottom w:w="0" w:type="dxa"/>
          <w:right w:w="108" w:type="dxa"/>
        </w:tblCellMar>
      </w:tblPr>
      <w:tblGrid>
        <w:gridCol w:w="3172"/>
        <w:gridCol w:w="2221"/>
        <w:gridCol w:w="1704"/>
        <w:gridCol w:w="1850"/>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u w:val="none"/>
              </w:rPr>
            </w:pPr>
            <w:r>
              <w:rPr>
                <w:rFonts w:eastAsia="方正小标宋简体"/>
                <w:kern w:val="0"/>
                <w:sz w:val="36"/>
                <w:szCs w:val="36"/>
                <w:u w:val="none"/>
              </w:rPr>
              <w:t>一般公共预算</w:t>
            </w:r>
            <w:r>
              <w:rPr>
                <w:rFonts w:hint="eastAsia" w:eastAsia="方正小标宋简体"/>
                <w:kern w:val="0"/>
                <w:sz w:val="36"/>
                <w:szCs w:val="36"/>
                <w:u w:val="none"/>
              </w:rPr>
              <w:t>基本</w:t>
            </w:r>
            <w:r>
              <w:rPr>
                <w:rFonts w:eastAsia="方正小标宋简体"/>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1773" w:type="pct"/>
            <w:tcBorders>
              <w:top w:val="nil"/>
              <w:left w:val="nil"/>
              <w:bottom w:val="single" w:color="auto" w:sz="4" w:space="0"/>
              <w:right w:val="nil"/>
            </w:tcBorders>
            <w:noWrap w:val="0"/>
            <w:vAlign w:val="center"/>
          </w:tcPr>
          <w:p>
            <w:pPr>
              <w:widowControl/>
              <w:jc w:val="left"/>
              <w:rPr>
                <w:rFonts w:eastAsia="宋体"/>
                <w:kern w:val="0"/>
                <w:sz w:val="20"/>
                <w:u w:val="none"/>
              </w:rPr>
            </w:pPr>
            <w:r>
              <w:rPr>
                <w:rFonts w:eastAsia="宋体"/>
                <w:kern w:val="0"/>
                <w:sz w:val="20"/>
                <w:u w:val="none"/>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u w:val="none"/>
              </w:rPr>
            </w:pPr>
            <w:r>
              <w:rPr>
                <w:rFonts w:eastAsia="宋体"/>
                <w:kern w:val="0"/>
                <w:sz w:val="20"/>
                <w:u w:val="none"/>
              </w:rPr>
              <w:t>　</w:t>
            </w:r>
          </w:p>
        </w:tc>
        <w:tc>
          <w:tcPr>
            <w:tcW w:w="1985" w:type="pct"/>
            <w:gridSpan w:val="2"/>
            <w:tcBorders>
              <w:top w:val="nil"/>
              <w:left w:val="nil"/>
              <w:bottom w:val="single" w:color="auto" w:sz="4" w:space="0"/>
              <w:right w:val="nil"/>
            </w:tcBorders>
            <w:noWrap w:val="0"/>
            <w:vAlign w:val="center"/>
          </w:tcPr>
          <w:p>
            <w:pPr>
              <w:widowControl/>
              <w:jc w:val="right"/>
              <w:rPr>
                <w:rFonts w:eastAsia="华文细黑"/>
                <w:kern w:val="0"/>
                <w:sz w:val="20"/>
                <w:u w:val="none"/>
              </w:rPr>
            </w:pPr>
            <w:r>
              <w:rPr>
                <w:rFonts w:hint="eastAsia" w:ascii="宋体" w:hAnsi="宋体" w:eastAsia="宋体" w:cs="宋体"/>
                <w:kern w:val="0"/>
                <w:sz w:val="20"/>
                <w:u w:val="none"/>
              </w:rPr>
              <w:t>　单位：万元</w:t>
            </w:r>
          </w:p>
        </w:tc>
      </w:tr>
      <w:tr>
        <w:tblPrEx>
          <w:tblCellMar>
            <w:top w:w="0" w:type="dxa"/>
            <w:left w:w="108" w:type="dxa"/>
            <w:bottom w:w="0" w:type="dxa"/>
            <w:right w:w="108" w:type="dxa"/>
          </w:tblCellMar>
        </w:tblPrEx>
        <w:trPr>
          <w:trHeight w:val="602" w:hRule="atLeast"/>
          <w:jc w:val="center"/>
        </w:trPr>
        <w:tc>
          <w:tcPr>
            <w:tcW w:w="1773"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kern w:val="0"/>
                <w:sz w:val="20"/>
                <w:szCs w:val="20"/>
                <w:u w:val="none"/>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color w:val="000000"/>
                <w:kern w:val="0"/>
                <w:sz w:val="20"/>
                <w:szCs w:val="20"/>
                <w:u w:val="none"/>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人员经费</w:t>
            </w:r>
          </w:p>
        </w:tc>
        <w:tc>
          <w:tcPr>
            <w:tcW w:w="103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u w:val="none"/>
              </w:rPr>
            </w:pPr>
            <w:r>
              <w:rPr>
                <w:rFonts w:eastAsia="宋体"/>
                <w:color w:val="000000"/>
                <w:sz w:val="20"/>
                <w:u w:val="none"/>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16"/>
                <w:szCs w:val="16"/>
                <w:u w:val="none"/>
                <w:lang w:val="en-US" w:eastAsia="zh-CN"/>
              </w:rPr>
            </w:pPr>
            <w:r>
              <w:rPr>
                <w:rFonts w:hint="eastAsia" w:ascii="宋体" w:hAnsi="宋体" w:eastAsia="宋体" w:cs="宋体"/>
                <w:kern w:val="0"/>
                <w:sz w:val="22"/>
                <w:szCs w:val="22"/>
                <w:highlight w:val="none"/>
                <w:u w:val="none"/>
                <w:lang w:val="en-US" w:eastAsia="zh-CN"/>
              </w:rPr>
              <w:t>231.01</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4"/>
                <w:szCs w:val="16"/>
                <w:u w:val="none"/>
                <w:lang w:val="en-US" w:eastAsia="zh-CN"/>
              </w:rPr>
            </w:pPr>
            <w:r>
              <w:rPr>
                <w:rFonts w:hint="eastAsia" w:ascii="宋体" w:hAnsi="宋体" w:eastAsia="宋体" w:cs="宋体"/>
                <w:sz w:val="24"/>
                <w:szCs w:val="16"/>
                <w:u w:val="none"/>
                <w:lang w:val="en-US" w:eastAsia="zh-CN"/>
              </w:rPr>
              <w:t>231.01</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4"/>
                <w:szCs w:val="16"/>
                <w:u w:val="none"/>
                <w:lang w:val="en-US" w:eastAsia="zh-CN"/>
              </w:rPr>
            </w:pPr>
          </w:p>
        </w:tc>
      </w:tr>
      <w:tr>
        <w:tblPrEx>
          <w:tblCellMar>
            <w:top w:w="0" w:type="dxa"/>
            <w:left w:w="108" w:type="dxa"/>
            <w:bottom w:w="0" w:type="dxa"/>
            <w:right w:w="108" w:type="dxa"/>
          </w:tblCellMar>
        </w:tblPrEx>
        <w:trPr>
          <w:trHeight w:val="515"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基本工资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92.93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92.93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485"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津贴补贴</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5.66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5.66</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奖金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18.02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18.02</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绩效工资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47.8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47.8</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26.3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26.3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职业年金缴费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6.44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6.44</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10.52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10.52</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0"/>
                <w:szCs w:val="10"/>
                <w:u w:val="none"/>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1.48</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5"/>
                <w:szCs w:val="15"/>
                <w:u w:val="none"/>
                <w:lang w:val="en-US" w:eastAsia="zh-CN" w:bidi="ar"/>
              </w:rPr>
            </w:pPr>
            <w:r>
              <w:rPr>
                <w:rFonts w:hint="default" w:ascii="Verdana" w:hAnsi="Verdana" w:eastAsia="宋体" w:cs="Verdana"/>
                <w:i w:val="0"/>
                <w:iCs w:val="0"/>
                <w:color w:val="000000"/>
                <w:kern w:val="0"/>
                <w:sz w:val="20"/>
                <w:szCs w:val="20"/>
                <w:u w:val="none"/>
                <w:lang w:val="en-US" w:eastAsia="zh-CN" w:bidi="ar"/>
              </w:rPr>
              <w:t>　住房公积金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19.73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19.73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2.13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2.13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u w:val="none"/>
              </w:rPr>
            </w:pPr>
            <w:r>
              <w:rPr>
                <w:rFonts w:eastAsia="宋体"/>
                <w:color w:val="000000"/>
                <w:sz w:val="20"/>
                <w:u w:val="none"/>
              </w:rPr>
              <w:t>二、商品和服务支出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17.28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0</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17.28</w:t>
            </w: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办公费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default" w:ascii="宋体" w:hAnsi="宋体" w:eastAsia="宋体" w:cs="宋体"/>
                <w:kern w:val="0"/>
                <w:sz w:val="22"/>
                <w:szCs w:val="22"/>
                <w:u w:val="none"/>
                <w:lang w:val="en-US" w:eastAsia="zh-CN"/>
              </w:rPr>
              <w:t>11.96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rPr>
            </w:pPr>
          </w:p>
        </w:tc>
        <w:tc>
          <w:tcPr>
            <w:tcW w:w="18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rPr>
            </w:pPr>
            <w:r>
              <w:rPr>
                <w:rFonts w:hint="default" w:ascii="宋体" w:hAnsi="宋体" w:eastAsia="宋体" w:cs="宋体"/>
                <w:kern w:val="0"/>
                <w:sz w:val="22"/>
                <w:szCs w:val="22"/>
                <w:u w:val="none"/>
                <w:lang w:val="en-US" w:eastAsia="zh-CN"/>
              </w:rPr>
              <w:t>11.96</w:t>
            </w: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差旅费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default" w:ascii="宋体" w:hAnsi="宋体" w:eastAsia="宋体" w:cs="宋体"/>
                <w:kern w:val="0"/>
                <w:sz w:val="22"/>
                <w:szCs w:val="22"/>
                <w:u w:val="none"/>
                <w:lang w:val="en-US" w:eastAsia="zh-CN"/>
              </w:rPr>
              <w:t>2</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rPr>
            </w:pPr>
          </w:p>
        </w:tc>
        <w:tc>
          <w:tcPr>
            <w:tcW w:w="1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default" w:ascii="宋体" w:hAnsi="宋体" w:eastAsia="宋体" w:cs="宋体"/>
                <w:kern w:val="0"/>
                <w:sz w:val="22"/>
                <w:szCs w:val="22"/>
                <w:u w:val="none"/>
                <w:lang w:val="en-US" w:eastAsia="zh-CN"/>
              </w:rPr>
              <w:t>2</w:t>
            </w:r>
          </w:p>
        </w:tc>
      </w:tr>
      <w:tr>
        <w:tblPrEx>
          <w:tblCellMar>
            <w:top w:w="0" w:type="dxa"/>
            <w:left w:w="108" w:type="dxa"/>
            <w:bottom w:w="0" w:type="dxa"/>
            <w:right w:w="108" w:type="dxa"/>
          </w:tblCellMar>
        </w:tblPrEx>
        <w:trPr>
          <w:trHeight w:val="600" w:hRule="atLeast"/>
          <w:jc w:val="center"/>
        </w:trPr>
        <w:tc>
          <w:tcPr>
            <w:tcW w:w="1773"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工会经费</w:t>
            </w:r>
          </w:p>
        </w:tc>
        <w:tc>
          <w:tcPr>
            <w:tcW w:w="22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default" w:ascii="宋体" w:hAnsi="宋体" w:eastAsia="宋体" w:cs="宋体"/>
                <w:kern w:val="0"/>
                <w:sz w:val="22"/>
                <w:szCs w:val="22"/>
                <w:u w:val="none"/>
                <w:lang w:val="en-US" w:eastAsia="zh-CN"/>
              </w:rPr>
              <w:t>3.32</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rPr>
            </w:pPr>
          </w:p>
        </w:tc>
        <w:tc>
          <w:tcPr>
            <w:tcW w:w="1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rPr>
            </w:pPr>
            <w:r>
              <w:rPr>
                <w:rFonts w:hint="default" w:ascii="宋体" w:hAnsi="宋体" w:eastAsia="宋体" w:cs="宋体"/>
                <w:kern w:val="0"/>
                <w:sz w:val="22"/>
                <w:szCs w:val="22"/>
                <w:u w:val="none"/>
                <w:lang w:val="en-US" w:eastAsia="zh-CN"/>
              </w:rPr>
              <w:t>3.32</w:t>
            </w:r>
          </w:p>
        </w:tc>
      </w:tr>
      <w:tr>
        <w:tblPrEx>
          <w:tblCellMar>
            <w:top w:w="0" w:type="dxa"/>
            <w:left w:w="108" w:type="dxa"/>
            <w:bottom w:w="0" w:type="dxa"/>
            <w:right w:w="108" w:type="dxa"/>
          </w:tblCellMar>
        </w:tblPrEx>
        <w:trPr>
          <w:trHeight w:val="485" w:hRule="atLeast"/>
          <w:jc w:val="center"/>
        </w:trPr>
        <w:tc>
          <w:tcPr>
            <w:tcW w:w="1773"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sz w:val="20"/>
                <w:u w:val="none"/>
              </w:rPr>
            </w:pPr>
            <w:r>
              <w:rPr>
                <w:rFonts w:hint="eastAsia" w:eastAsia="宋体"/>
                <w:color w:val="000000"/>
                <w:sz w:val="20"/>
                <w:u w:val="none"/>
                <w:lang w:val="en-US" w:eastAsia="zh-CN"/>
              </w:rPr>
              <w:t>三、</w:t>
            </w:r>
            <w:r>
              <w:rPr>
                <w:rFonts w:hint="default" w:eastAsia="宋体"/>
                <w:color w:val="000000"/>
                <w:sz w:val="20"/>
                <w:u w:val="none"/>
                <w:lang w:val="en-US" w:eastAsia="zh-CN"/>
              </w:rPr>
              <w:t>退休费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0"/>
                <w:u w:val="none"/>
                <w:lang w:val="en-US" w:eastAsia="zh-CN"/>
              </w:rPr>
            </w:pPr>
            <w:r>
              <w:rPr>
                <w:rFonts w:hint="eastAsia" w:ascii="宋体" w:hAnsi="宋体" w:eastAsia="宋体" w:cs="宋体"/>
                <w:kern w:val="0"/>
                <w:sz w:val="22"/>
                <w:szCs w:val="22"/>
                <w:u w:val="none"/>
                <w:lang w:val="en-US" w:eastAsia="zh-CN"/>
              </w:rPr>
              <w:t>0.36</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u w:val="none"/>
                <w:lang w:val="en-US" w:eastAsia="zh-CN"/>
              </w:rPr>
            </w:pPr>
            <w:r>
              <w:rPr>
                <w:rFonts w:hint="eastAsia" w:ascii="宋体" w:hAnsi="宋体" w:eastAsia="宋体" w:cs="宋体"/>
                <w:sz w:val="24"/>
                <w:szCs w:val="16"/>
                <w:u w:val="none"/>
                <w:lang w:val="en-US" w:eastAsia="zh-CN"/>
              </w:rPr>
              <w:t>0.36</w:t>
            </w:r>
          </w:p>
        </w:tc>
        <w:tc>
          <w:tcPr>
            <w:tcW w:w="10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u w:val="none"/>
              </w:rPr>
            </w:pPr>
            <w:r>
              <w:rPr>
                <w:rFonts w:hAnsi="楷体" w:eastAsia="楷体"/>
                <w:u w:val="none"/>
              </w:rPr>
              <w:br w:type="page"/>
            </w:r>
            <w:r>
              <w:rPr>
                <w:rFonts w:hint="eastAsia" w:hAnsi="楷体" w:eastAsia="楷体"/>
                <w:u w:val="none"/>
                <w:lang w:val="en-US" w:eastAsia="zh-CN"/>
              </w:rPr>
              <w:t xml:space="preserve">       </w:t>
            </w:r>
            <w:r>
              <w:rPr>
                <w:rFonts w:ascii="Times New Roman" w:hAnsi="Times New Roman" w:eastAsia="方正小标宋简体" w:cs="Times New Roman"/>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u w:val="none"/>
              </w:rPr>
            </w:pPr>
            <w:r>
              <w:rPr>
                <w:rFonts w:hAnsi="华文细黑" w:eastAsia="华文细黑"/>
                <w:color w:val="000000"/>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Ansi="华文细黑" w:eastAsia="华文细黑"/>
                <w:color w:val="000000"/>
                <w:kern w:val="0"/>
                <w:sz w:val="20"/>
                <w:u w:val="none"/>
              </w:rPr>
              <w:t>项</w:t>
            </w:r>
            <w:r>
              <w:rPr>
                <w:rFonts w:eastAsia="华文细黑"/>
                <w:color w:val="000000"/>
                <w:kern w:val="0"/>
                <w:sz w:val="20"/>
                <w:u w:val="none"/>
              </w:rPr>
              <w:t xml:space="preserve">    </w:t>
            </w:r>
            <w:r>
              <w:rPr>
                <w:rFonts w:hAnsi="华文细黑" w:eastAsia="华文细黑"/>
                <w:color w:val="000000"/>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val="en-US" w:eastAsia="zh-CN"/>
              </w:rPr>
              <w:t>2024</w:t>
            </w:r>
            <w:r>
              <w:rPr>
                <w:rFonts w:hAnsi="华文细黑" w:eastAsia="华文细黑"/>
                <w:color w:val="000000"/>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color w:val="000000"/>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u w:val="none"/>
              </w:rPr>
            </w:pPr>
            <w:r>
              <w:rPr>
                <w:rFonts w:eastAsia="宋体"/>
                <w:color w:val="000000"/>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u w:val="none"/>
                <w:lang w:val="en-US" w:eastAsia="zh-CN"/>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eastAsia="宋体"/>
                <w:color w:val="000000"/>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u w:val="none"/>
                <w:lang w:eastAsia="zh-CN"/>
              </w:rPr>
            </w:pPr>
            <w:r>
              <w:rPr>
                <w:rFonts w:eastAsia="宋体"/>
                <w:color w:val="000000"/>
                <w:kern w:val="0"/>
                <w:sz w:val="28"/>
                <w:szCs w:val="28"/>
                <w:u w:val="none"/>
              </w:rPr>
              <w:t xml:space="preserve">  </w:t>
            </w:r>
            <w:r>
              <w:rPr>
                <w:color w:val="000000"/>
                <w:kern w:val="0"/>
                <w:sz w:val="28"/>
                <w:szCs w:val="28"/>
                <w:u w:val="none"/>
              </w:rPr>
              <w:t>说明：</w:t>
            </w:r>
          </w:p>
          <w:p>
            <w:pPr>
              <w:widowControl/>
              <w:jc w:val="left"/>
              <w:rPr>
                <w:rFonts w:hint="eastAsia" w:eastAsia="宋体"/>
                <w:color w:val="000000"/>
                <w:kern w:val="0"/>
                <w:sz w:val="28"/>
                <w:szCs w:val="28"/>
                <w:u w:val="none"/>
                <w:lang w:eastAsia="zh-CN"/>
              </w:rPr>
            </w:pPr>
            <w:r>
              <w:rPr>
                <w:rFonts w:eastAsia="宋体"/>
                <w:color w:val="000000"/>
                <w:kern w:val="0"/>
                <w:sz w:val="28"/>
                <w:szCs w:val="28"/>
                <w:u w:val="none"/>
              </w:rPr>
              <w:t xml:space="preserve">       1</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的单位范围包括部门本级及所属</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w:t>
            </w:r>
            <w:r>
              <w:rPr>
                <w:rFonts w:eastAsia="宋体"/>
                <w:color w:val="000000"/>
                <w:kern w:val="0"/>
                <w:sz w:val="28"/>
                <w:szCs w:val="28"/>
                <w:u w:val="none"/>
              </w:rPr>
              <w:t xml:space="preserve"> </w:t>
            </w:r>
            <w:r>
              <w:rPr>
                <w:color w:val="000000"/>
                <w:kern w:val="0"/>
                <w:sz w:val="28"/>
                <w:szCs w:val="28"/>
                <w:u w:val="none"/>
              </w:rPr>
              <w:t>个预算单位。</w:t>
            </w:r>
            <w:r>
              <w:rPr>
                <w:rFonts w:eastAsia="宋体"/>
                <w:color w:val="000000"/>
                <w:kern w:val="0"/>
                <w:sz w:val="28"/>
                <w:szCs w:val="28"/>
                <w:u w:val="none"/>
              </w:rPr>
              <w:t xml:space="preserve">   </w:t>
            </w:r>
          </w:p>
          <w:p>
            <w:pPr>
              <w:widowControl/>
              <w:jc w:val="left"/>
              <w:rPr>
                <w:color w:val="000000"/>
                <w:kern w:val="0"/>
                <w:sz w:val="28"/>
                <w:szCs w:val="28"/>
                <w:u w:val="none"/>
              </w:rPr>
            </w:pPr>
            <w:r>
              <w:rPr>
                <w:rFonts w:eastAsia="宋体"/>
                <w:color w:val="000000"/>
                <w:kern w:val="0"/>
                <w:sz w:val="28"/>
                <w:szCs w:val="28"/>
                <w:u w:val="none"/>
              </w:rPr>
              <w:t xml:space="preserve">       2</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的实有人员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19</w:t>
            </w:r>
            <w:r>
              <w:rPr>
                <w:rFonts w:eastAsia="宋体"/>
                <w:color w:val="000000"/>
                <w:kern w:val="0"/>
                <w:sz w:val="28"/>
                <w:szCs w:val="28"/>
                <w:u w:val="none"/>
              </w:rPr>
              <w:t xml:space="preserve"> </w:t>
            </w:r>
            <w:r>
              <w:rPr>
                <w:color w:val="000000"/>
                <w:kern w:val="0"/>
                <w:sz w:val="28"/>
                <w:szCs w:val="28"/>
                <w:u w:val="none"/>
              </w:rPr>
              <w:t>人，其中：在职人员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18</w:t>
            </w:r>
            <w:r>
              <w:rPr>
                <w:color w:val="000000"/>
                <w:kern w:val="0"/>
                <w:sz w:val="28"/>
                <w:szCs w:val="28"/>
                <w:u w:val="none"/>
              </w:rPr>
              <w:t>人，离退休人员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w:t>
            </w:r>
            <w:r>
              <w:rPr>
                <w:rFonts w:eastAsia="宋体"/>
                <w:color w:val="000000"/>
                <w:kern w:val="0"/>
                <w:sz w:val="28"/>
                <w:szCs w:val="28"/>
                <w:u w:val="none"/>
              </w:rPr>
              <w:t xml:space="preserve"> </w:t>
            </w:r>
            <w:r>
              <w:rPr>
                <w:color w:val="000000"/>
                <w:kern w:val="0"/>
                <w:sz w:val="28"/>
                <w:szCs w:val="28"/>
                <w:u w:val="none"/>
              </w:rPr>
              <w:t>人。</w:t>
            </w:r>
          </w:p>
          <w:p>
            <w:pPr>
              <w:widowControl/>
              <w:jc w:val="left"/>
              <w:rPr>
                <w:rFonts w:hint="eastAsia" w:eastAsia="仿宋_GB2312"/>
                <w:color w:val="000000"/>
                <w:kern w:val="0"/>
                <w:sz w:val="28"/>
                <w:szCs w:val="28"/>
                <w:u w:val="none"/>
                <w:lang w:val="en-US" w:eastAsia="zh-CN"/>
              </w:rPr>
            </w:pPr>
            <w:r>
              <w:rPr>
                <w:rFonts w:hint="eastAsia"/>
                <w:color w:val="000000"/>
                <w:kern w:val="0"/>
                <w:sz w:val="28"/>
                <w:szCs w:val="28"/>
                <w:u w:val="none"/>
                <w:lang w:val="en-US" w:eastAsia="zh-CN"/>
              </w:rPr>
              <w:t xml:space="preserve">       </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注：没有一般公共预算拨款的，公开空表，不得删除。</w:t>
      </w:r>
    </w:p>
    <w:p>
      <w:pPr>
        <w:ind w:firstLine="640" w:firstLineChars="200"/>
        <w:rPr>
          <w:rFonts w:eastAsia="楷体"/>
          <w:kern w:val="0"/>
          <w:szCs w:val="32"/>
          <w:u w:val="none"/>
        </w:rPr>
      </w:pPr>
      <w:r>
        <w:rPr>
          <w:rFonts w:hAnsi="楷体" w:eastAsia="楷体"/>
          <w:u w:val="none"/>
        </w:rPr>
        <w:br w:type="page"/>
      </w:r>
      <w:r>
        <w:rPr>
          <w:rFonts w:eastAsia="楷体"/>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u w:val="none"/>
              </w:rPr>
            </w:pPr>
          </w:p>
          <w:p>
            <w:pPr>
              <w:widowControl/>
              <w:jc w:val="center"/>
              <w:rPr>
                <w:rFonts w:hint="eastAsia" w:ascii="宋体" w:hAnsi="宋体" w:eastAsia="宋体" w:cs="宋体"/>
                <w:kern w:val="0"/>
                <w:sz w:val="20"/>
                <w:szCs w:val="20"/>
                <w:u w:val="none"/>
              </w:rPr>
            </w:pPr>
            <w:r>
              <w:rPr>
                <w:rFonts w:hint="eastAsia" w:ascii="Times New Roman" w:hAnsi="Times New Roman" w:eastAsia="方正小标宋简体" w:cs="Times New Roman"/>
                <w:kern w:val="0"/>
                <w:sz w:val="36"/>
                <w:szCs w:val="36"/>
                <w:u w:val="none"/>
              </w:rPr>
              <w:t>政府性基金预算支出表</w:t>
            </w:r>
          </w:p>
          <w:p>
            <w:pPr>
              <w:widowControl/>
              <w:jc w:val="right"/>
              <w:rPr>
                <w:rFonts w:hint="eastAsia" w:ascii="宋体" w:hAnsi="宋体" w:eastAsia="宋体" w:cs="宋体"/>
                <w:color w:val="000000"/>
                <w:kern w:val="0"/>
                <w:sz w:val="20"/>
                <w:szCs w:val="20"/>
                <w:u w:val="none"/>
              </w:rPr>
            </w:pPr>
          </w:p>
          <w:p>
            <w:pPr>
              <w:widowControl/>
              <w:jc w:val="right"/>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u w:val="none"/>
              </w:rPr>
            </w:pPr>
            <w:r>
              <w:rPr>
                <w:rFonts w:hint="eastAsia" w:ascii="宋体" w:hAnsi="宋体" w:eastAsia="宋体" w:cs="宋体"/>
                <w:color w:val="000000"/>
                <w:sz w:val="20"/>
                <w:szCs w:val="20"/>
                <w:u w:val="none"/>
              </w:rPr>
              <w:t>功能分类</w:t>
            </w:r>
          </w:p>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bl>
    <w:p>
      <w:pPr>
        <w:spacing w:line="700" w:lineRule="exact"/>
        <w:rPr>
          <w:rFonts w:eastAsia="楷体_GB2312"/>
          <w:kern w:val="0"/>
          <w:szCs w:val="32"/>
          <w:u w:val="none"/>
        </w:rPr>
      </w:pPr>
      <w:r>
        <w:rPr>
          <w:rFonts w:eastAsia="楷体_GB2312"/>
          <w:kern w:val="0"/>
          <w:szCs w:val="32"/>
          <w:u w:val="none"/>
        </w:rPr>
        <w:t xml:space="preserve">    </w:t>
      </w: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ind w:firstLine="480" w:firstLineChars="200"/>
        <w:rPr>
          <w:rFonts w:hint="eastAsia" w:ascii="楷体" w:hAnsi="楷体" w:eastAsia="楷体" w:cs="楷体"/>
          <w:kern w:val="0"/>
          <w:sz w:val="24"/>
          <w:szCs w:val="24"/>
          <w:u w:val="none"/>
        </w:rPr>
      </w:pPr>
      <w:r>
        <w:rPr>
          <w:rFonts w:hint="eastAsia" w:ascii="楷体" w:hAnsi="楷体" w:eastAsia="楷体" w:cs="楷体"/>
          <w:kern w:val="0"/>
          <w:sz w:val="24"/>
          <w:szCs w:val="24"/>
          <w:u w:val="none"/>
        </w:rPr>
        <w:t>注：功能科目列至项级。没有政府性基金预算拨款的，公开空表，不得删除。</w:t>
      </w: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ind w:firstLine="640" w:firstLineChars="200"/>
        <w:rPr>
          <w:rFonts w:eastAsia="楷体"/>
          <w:kern w:val="0"/>
          <w:szCs w:val="32"/>
          <w:u w:val="none"/>
        </w:rPr>
      </w:pPr>
      <w:r>
        <w:rPr>
          <w:rFonts w:eastAsia="楷体"/>
          <w:kern w:val="0"/>
          <w:szCs w:val="32"/>
          <w:u w:val="none"/>
        </w:rPr>
        <w:t xml:space="preserve"> </w:t>
      </w:r>
    </w:p>
    <w:p>
      <w:pPr>
        <w:spacing w:line="700" w:lineRule="exact"/>
        <w:rPr>
          <w:rFonts w:hint="eastAsia" w:ascii="楷体" w:hAnsi="楷体" w:eastAsia="楷体" w:cs="楷体"/>
          <w:kern w:val="0"/>
          <w:sz w:val="24"/>
          <w:szCs w:val="24"/>
          <w:u w:val="none"/>
        </w:rPr>
      </w:pPr>
      <w:r>
        <w:rPr>
          <w:rFonts w:eastAsia="楷体_GB2312"/>
          <w:kern w:val="0"/>
          <w:szCs w:val="32"/>
          <w:u w:val="none"/>
        </w:rPr>
        <w:t xml:space="preserve">   </w:t>
      </w:r>
    </w:p>
    <w:tbl>
      <w:tblPr>
        <w:tblStyle w:val="9"/>
        <w:tblpPr w:leftFromText="180" w:rightFromText="180" w:vertAnchor="page" w:horzAnchor="page" w:tblpX="1267" w:tblpY="2285"/>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u w:val="none"/>
              </w:rPr>
            </w:pPr>
            <w:r>
              <w:rPr>
                <w:rFonts w:hint="eastAsia" w:eastAsia="方正小标宋简体"/>
                <w:kern w:val="0"/>
                <w:sz w:val="36"/>
                <w:szCs w:val="36"/>
                <w:u w:val="none"/>
              </w:rPr>
              <w:t>国有资本经营</w:t>
            </w:r>
            <w:r>
              <w:rPr>
                <w:rFonts w:eastAsia="方正小标宋简体"/>
                <w:kern w:val="0"/>
                <w:sz w:val="36"/>
                <w:szCs w:val="36"/>
                <w:u w:val="none"/>
              </w:rPr>
              <w:t>预算支出表</w:t>
            </w:r>
          </w:p>
          <w:p>
            <w:pPr>
              <w:widowControl/>
              <w:jc w:val="center"/>
              <w:rPr>
                <w:rFonts w:hint="eastAsia" w:eastAsia="方正小标宋简体"/>
                <w:kern w:val="0"/>
                <w:sz w:val="36"/>
                <w:szCs w:val="36"/>
                <w:u w:val="none"/>
              </w:rPr>
            </w:pPr>
          </w:p>
          <w:p>
            <w:pPr>
              <w:widowControl/>
              <w:jc w:val="center"/>
              <w:rPr>
                <w:rFonts w:hint="eastAsia" w:eastAsia="方正小标宋简体"/>
                <w:kern w:val="0"/>
                <w:sz w:val="36"/>
                <w:szCs w:val="36"/>
                <w:u w:val="none"/>
              </w:rPr>
            </w:pPr>
          </w:p>
          <w:p>
            <w:pPr>
              <w:widowControl/>
              <w:tabs>
                <w:tab w:val="left" w:pos="7576"/>
                <w:tab w:val="right" w:pos="8879"/>
              </w:tabs>
              <w:jc w:val="left"/>
              <w:rPr>
                <w:rFonts w:eastAsia="华文细黑"/>
                <w:color w:val="000000"/>
                <w:kern w:val="0"/>
                <w:sz w:val="20"/>
                <w:u w:val="none"/>
              </w:rPr>
            </w:pPr>
            <w:r>
              <w:rPr>
                <w:rFonts w:hint="eastAsia" w:eastAsia="华文细黑"/>
                <w:color w:val="000000"/>
                <w:kern w:val="0"/>
                <w:sz w:val="20"/>
                <w:u w:val="none"/>
                <w:lang w:eastAsia="zh-CN"/>
              </w:rPr>
              <w:tab/>
            </w: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bl>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eastAsia="楷体"/>
          <w:kern w:val="0"/>
          <w:szCs w:val="32"/>
          <w:u w:val="none"/>
        </w:rPr>
      </w:pPr>
      <w:r>
        <w:rPr>
          <w:rFonts w:hint="eastAsia" w:ascii="楷体" w:hAnsi="楷体" w:eastAsia="楷体" w:cs="楷体"/>
          <w:kern w:val="0"/>
          <w:sz w:val="24"/>
          <w:szCs w:val="24"/>
          <w:u w:val="none"/>
        </w:rPr>
        <w:t>注：功能科目列至项级。没有国有资本经营预算拨款的，公开空表，不得删除。</w:t>
      </w:r>
      <w:r>
        <w:rPr>
          <w:rFonts w:eastAsia="楷体"/>
          <w:kern w:val="0"/>
          <w:szCs w:val="32"/>
          <w:u w:val="none"/>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u w:val="none"/>
              </w:rPr>
            </w:pPr>
            <w:r>
              <w:rPr>
                <w:rFonts w:hint="eastAsia" w:ascii="Calibri" w:hAnsi="Calibri" w:eastAsia="方正小标宋简体"/>
                <w:kern w:val="0"/>
                <w:sz w:val="36"/>
                <w:szCs w:val="36"/>
                <w:u w:val="none"/>
              </w:rPr>
              <w:t>项目支出</w:t>
            </w:r>
            <w:r>
              <w:rPr>
                <w:rFonts w:ascii="Calibri" w:hAnsi="Calibri" w:eastAsia="方正小标宋简体"/>
                <w:kern w:val="0"/>
                <w:sz w:val="36"/>
                <w:szCs w:val="36"/>
                <w:u w:val="none"/>
              </w:rPr>
              <w:t>表</w:t>
            </w:r>
          </w:p>
          <w:p>
            <w:pPr>
              <w:autoSpaceDN w:val="0"/>
              <w:jc w:val="center"/>
              <w:textAlignment w:val="center"/>
              <w:rPr>
                <w:rFonts w:hint="eastAsia"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u w:val="none"/>
              </w:rPr>
            </w:pPr>
            <w:r>
              <w:rPr>
                <w:rFonts w:hint="eastAsia" w:ascii="宋体" w:hAnsi="宋体" w:eastAsia="宋体" w:cs="宋体"/>
                <w:color w:val="000000"/>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财政专户</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06"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一般</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公共</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国有资本经营</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val="en-US" w:eastAsia="zh-CN" w:bidi="ar-SA"/>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eastAsia" w:ascii="仿宋" w:hAnsi="仿宋" w:eastAsia="仿宋" w:cs="仿宋"/>
                <w:kern w:val="0"/>
                <w:sz w:val="21"/>
                <w:szCs w:val="21"/>
                <w:u w:val="none"/>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u w:val="none"/>
              </w:rPr>
            </w:pPr>
            <w:r>
              <w:rPr>
                <w:rFonts w:hint="eastAsia" w:ascii="Calibri" w:hAnsi="Calibri" w:eastAsia="华文细黑"/>
                <w:color w:val="000000"/>
                <w:sz w:val="20"/>
                <w:szCs w:val="22"/>
                <w:u w:val="none"/>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u w:val="none"/>
                <w:lang w:val="en-US" w:eastAsia="zh-CN"/>
              </w:rPr>
            </w:pPr>
          </w:p>
        </w:tc>
        <w:tc>
          <w:tcPr>
            <w:tcW w:w="1107" w:type="dxa"/>
            <w:noWrap w:val="0"/>
            <w:vAlign w:val="center"/>
          </w:tcPr>
          <w:p>
            <w:pPr>
              <w:spacing w:line="240" w:lineRule="auto"/>
              <w:jc w:val="center"/>
              <w:rPr>
                <w:rFonts w:ascii="Calibri" w:hAnsi="Calibri" w:eastAsia="楷体"/>
                <w:kern w:val="0"/>
                <w:szCs w:val="32"/>
                <w:u w:val="none"/>
              </w:rPr>
            </w:pPr>
          </w:p>
        </w:tc>
        <w:tc>
          <w:tcPr>
            <w:tcW w:w="864" w:type="dxa"/>
            <w:noWrap w:val="0"/>
            <w:vAlign w:val="center"/>
          </w:tcPr>
          <w:p>
            <w:pPr>
              <w:spacing w:line="240" w:lineRule="auto"/>
              <w:jc w:val="center"/>
              <w:rPr>
                <w:rFonts w:ascii="Calibri" w:hAnsi="Calibri" w:eastAsia="楷体"/>
                <w:kern w:val="0"/>
                <w:szCs w:val="32"/>
                <w:u w:val="none"/>
              </w:rPr>
            </w:pPr>
          </w:p>
        </w:tc>
        <w:tc>
          <w:tcPr>
            <w:tcW w:w="545" w:type="dxa"/>
            <w:noWrap w:val="0"/>
            <w:vAlign w:val="center"/>
          </w:tcPr>
          <w:p>
            <w:pPr>
              <w:spacing w:line="240" w:lineRule="auto"/>
              <w:jc w:val="center"/>
              <w:rPr>
                <w:rFonts w:ascii="Calibri" w:hAnsi="Calibri" w:eastAsia="楷体"/>
                <w:kern w:val="0"/>
                <w:szCs w:val="32"/>
                <w:u w:val="none"/>
              </w:rPr>
            </w:pPr>
          </w:p>
        </w:tc>
        <w:tc>
          <w:tcPr>
            <w:tcW w:w="506" w:type="dxa"/>
            <w:noWrap w:val="0"/>
            <w:vAlign w:val="center"/>
          </w:tcPr>
          <w:p>
            <w:pPr>
              <w:spacing w:line="240" w:lineRule="auto"/>
              <w:jc w:val="center"/>
              <w:rPr>
                <w:rFonts w:ascii="Calibri" w:hAnsi="Calibri" w:eastAsia="楷体"/>
                <w:kern w:val="0"/>
                <w:szCs w:val="32"/>
                <w:u w:val="none"/>
              </w:rPr>
            </w:pPr>
          </w:p>
        </w:tc>
        <w:tc>
          <w:tcPr>
            <w:tcW w:w="554" w:type="dxa"/>
            <w:noWrap w:val="0"/>
            <w:vAlign w:val="center"/>
          </w:tcPr>
          <w:p>
            <w:pPr>
              <w:spacing w:line="240" w:lineRule="auto"/>
              <w:jc w:val="center"/>
              <w:rPr>
                <w:rFonts w:ascii="Calibri" w:hAnsi="Calibri" w:eastAsia="楷体"/>
                <w:kern w:val="0"/>
                <w:szCs w:val="32"/>
                <w:u w:val="none"/>
              </w:rPr>
            </w:pPr>
          </w:p>
        </w:tc>
        <w:tc>
          <w:tcPr>
            <w:tcW w:w="521" w:type="dxa"/>
            <w:noWrap w:val="0"/>
            <w:vAlign w:val="center"/>
          </w:tcPr>
          <w:p>
            <w:pPr>
              <w:spacing w:line="240" w:lineRule="auto"/>
              <w:jc w:val="center"/>
              <w:rPr>
                <w:rFonts w:ascii="Calibri" w:hAnsi="Calibri" w:eastAsia="楷体"/>
                <w:kern w:val="0"/>
                <w:szCs w:val="32"/>
                <w:u w:val="none"/>
              </w:rPr>
            </w:pPr>
          </w:p>
        </w:tc>
        <w:tc>
          <w:tcPr>
            <w:tcW w:w="564" w:type="dxa"/>
            <w:noWrap w:val="0"/>
            <w:vAlign w:val="center"/>
          </w:tcPr>
          <w:p>
            <w:pPr>
              <w:spacing w:line="240" w:lineRule="auto"/>
              <w:jc w:val="center"/>
              <w:rPr>
                <w:rFonts w:ascii="Calibri" w:hAnsi="Calibri" w:eastAsia="楷体"/>
                <w:kern w:val="0"/>
                <w:szCs w:val="32"/>
                <w:u w:val="none"/>
              </w:rPr>
            </w:pPr>
          </w:p>
        </w:tc>
        <w:tc>
          <w:tcPr>
            <w:tcW w:w="532" w:type="dxa"/>
            <w:noWrap w:val="0"/>
            <w:vAlign w:val="center"/>
          </w:tcPr>
          <w:p>
            <w:pPr>
              <w:spacing w:line="240" w:lineRule="auto"/>
              <w:jc w:val="center"/>
              <w:rPr>
                <w:rFonts w:ascii="Calibri" w:hAnsi="Calibri" w:eastAsia="楷体"/>
                <w:kern w:val="0"/>
                <w:szCs w:val="32"/>
                <w:u w:val="none"/>
              </w:rPr>
            </w:pPr>
          </w:p>
        </w:tc>
        <w:tc>
          <w:tcPr>
            <w:tcW w:w="598" w:type="dxa"/>
            <w:noWrap w:val="0"/>
            <w:vAlign w:val="center"/>
          </w:tcPr>
          <w:p>
            <w:pPr>
              <w:spacing w:line="240" w:lineRule="auto"/>
              <w:jc w:val="center"/>
              <w:rPr>
                <w:rFonts w:ascii="Calibri" w:hAnsi="Calibri" w:eastAsia="楷体"/>
                <w:kern w:val="0"/>
                <w:szCs w:val="32"/>
                <w:u w:val="none"/>
              </w:rPr>
            </w:pPr>
          </w:p>
        </w:tc>
        <w:tc>
          <w:tcPr>
            <w:tcW w:w="443" w:type="dxa"/>
            <w:noWrap w:val="0"/>
            <w:vAlign w:val="center"/>
          </w:tcPr>
          <w:p>
            <w:pPr>
              <w:spacing w:line="240" w:lineRule="auto"/>
              <w:jc w:val="center"/>
              <w:rPr>
                <w:rFonts w:ascii="Calibri" w:hAnsi="Calibri" w:eastAsia="楷体"/>
                <w:kern w:val="0"/>
                <w:szCs w:val="32"/>
                <w:u w:val="none"/>
              </w:rPr>
            </w:pPr>
          </w:p>
        </w:tc>
        <w:tc>
          <w:tcPr>
            <w:tcW w:w="425" w:type="dxa"/>
            <w:noWrap w:val="0"/>
            <w:vAlign w:val="center"/>
          </w:tcPr>
          <w:p>
            <w:pPr>
              <w:spacing w:line="240" w:lineRule="auto"/>
              <w:jc w:val="center"/>
              <w:rPr>
                <w:rFonts w:ascii="Calibri" w:hAnsi="Calibri" w:eastAsia="楷体"/>
                <w:kern w:val="0"/>
                <w:szCs w:val="32"/>
                <w:u w:val="none"/>
              </w:rPr>
            </w:pPr>
          </w:p>
        </w:tc>
      </w:tr>
    </w:tbl>
    <w:p>
      <w:pPr>
        <w:spacing w:line="700" w:lineRule="exact"/>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二</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bl>
    <w:p>
      <w:pPr>
        <w:spacing w:line="700" w:lineRule="exact"/>
        <w:rPr>
          <w:rFonts w:hint="eastAsia" w:ascii="楷体" w:hAnsi="楷体" w:eastAsia="楷体" w:cs="楷体"/>
          <w:kern w:val="0"/>
          <w:sz w:val="24"/>
          <w:szCs w:val="24"/>
          <w:u w:val="none"/>
        </w:rPr>
      </w:pPr>
    </w:p>
    <w:p>
      <w:pPr>
        <w:spacing w:line="700" w:lineRule="exact"/>
        <w:ind w:firstLine="640" w:firstLineChars="200"/>
        <w:rPr>
          <w:rFonts w:hint="eastAsia" w:eastAsia="楷体"/>
          <w:kern w:val="0"/>
          <w:szCs w:val="32"/>
          <w:u w:val="none"/>
        </w:rPr>
      </w:pPr>
      <w:r>
        <w:rPr>
          <w:rFonts w:hint="eastAsia" w:eastAsia="楷体"/>
          <w:kern w:val="0"/>
          <w:szCs w:val="32"/>
          <w:u w:val="none"/>
        </w:rPr>
        <w:br w:type="page"/>
      </w:r>
    </w:p>
    <w:p>
      <w:pPr>
        <w:ind w:firstLine="720" w:firstLineChars="200"/>
        <w:jc w:val="center"/>
        <w:rPr>
          <w:rFonts w:eastAsia="黑体"/>
          <w:sz w:val="36"/>
          <w:szCs w:val="36"/>
          <w:u w:val="none"/>
        </w:rPr>
      </w:pPr>
      <w:r>
        <w:rPr>
          <w:rFonts w:eastAsia="黑体"/>
          <w:sz w:val="36"/>
          <w:szCs w:val="36"/>
          <w:u w:val="none"/>
        </w:rPr>
        <w:t>第三部分 情况说明</w:t>
      </w:r>
    </w:p>
    <w:p>
      <w:pPr>
        <w:rPr>
          <w:rFonts w:eastAsia="仿宋"/>
          <w:szCs w:val="32"/>
          <w:u w:val="none"/>
        </w:rPr>
      </w:pPr>
    </w:p>
    <w:p>
      <w:pPr>
        <w:ind w:firstLine="640" w:firstLineChars="200"/>
        <w:rPr>
          <w:rFonts w:eastAsia="黑体"/>
          <w:szCs w:val="32"/>
          <w:u w:val="none"/>
        </w:rPr>
      </w:pPr>
      <w:r>
        <w:rPr>
          <w:rFonts w:eastAsia="黑体"/>
          <w:szCs w:val="32"/>
          <w:u w:val="none"/>
        </w:rPr>
        <w:t>一、</w:t>
      </w:r>
      <w:r>
        <w:rPr>
          <w:rFonts w:hint="eastAsia" w:eastAsia="黑体"/>
          <w:szCs w:val="32"/>
          <w:u w:val="none"/>
          <w:lang w:eastAsia="zh-CN"/>
        </w:rPr>
        <w:t>2024年</w:t>
      </w:r>
      <w:r>
        <w:rPr>
          <w:rFonts w:eastAsia="黑体"/>
          <w:szCs w:val="32"/>
          <w:u w:val="none"/>
        </w:rPr>
        <w:t>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收支总预算</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37.53</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2024年</w:t>
      </w:r>
      <w:r>
        <w:rPr>
          <w:rFonts w:hint="eastAsia" w:ascii="黑体" w:hAnsi="黑体" w:eastAsia="黑体" w:cs="黑体"/>
          <w:szCs w:val="32"/>
          <w:u w:val="none"/>
        </w:rPr>
        <w:t>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收入预算</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2024年</w:t>
      </w:r>
      <w:r>
        <w:rPr>
          <w:rFonts w:hint="eastAsia" w:ascii="黑体" w:hAnsi="黑体" w:eastAsia="黑体" w:cs="黑体"/>
          <w:szCs w:val="32"/>
          <w:u w:val="none"/>
        </w:rPr>
        <w:t>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支出预算</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2024年</w:t>
      </w:r>
      <w:r>
        <w:rPr>
          <w:rFonts w:hint="eastAsia" w:ascii="黑体" w:hAnsi="黑体" w:eastAsia="黑体" w:cs="黑体"/>
          <w:szCs w:val="32"/>
          <w:u w:val="none"/>
        </w:rPr>
        <w:t>财政拨款收支预算情况</w:t>
      </w:r>
    </w:p>
    <w:p>
      <w:pPr>
        <w:ind w:firstLine="600"/>
        <w:rPr>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财政拨款收支总预算</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33.90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10.85</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184.17</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19.73</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一般公共预算拨款</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231.37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93.05</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17.28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6.95</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33.90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13.63</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19.73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7.94</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10.85</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4.36</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184.17</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74.07</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职工工资及福利和公用经费支出</w:t>
      </w:r>
      <w:r>
        <w:rPr>
          <w:rFonts w:hint="eastAsia" w:ascii="仿宋_GB2312" w:hAnsi="仿宋_GB2312" w:eastAsia="仿宋_GB2312" w:cs="仿宋_GB2312"/>
          <w:szCs w:val="32"/>
          <w:u w:val="none"/>
        </w:rPr>
        <w:t>。</w:t>
      </w:r>
    </w:p>
    <w:p>
      <w:pPr>
        <w:rPr>
          <w:rFonts w:hint="eastAsia" w:eastAsia="仿宋_GB2312"/>
          <w:u w:val="none"/>
          <w:lang w:eastAsia="zh-CN"/>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2024年</w:t>
      </w:r>
      <w:r>
        <w:rPr>
          <w:rFonts w:hint="eastAsia" w:ascii="黑体" w:hAnsi="黑体" w:eastAsia="黑体" w:cs="黑体"/>
          <w:szCs w:val="32"/>
          <w:u w:val="none"/>
        </w:rPr>
        <w:t>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一般公共预算基本支出</w:t>
      </w:r>
      <w:r>
        <w:rPr>
          <w:rFonts w:hint="eastAsia" w:ascii="仿宋_GB2312" w:hAnsi="仿宋_GB2312" w:cs="仿宋_GB2312"/>
          <w:szCs w:val="32"/>
          <w:u w:val="none"/>
          <w:lang w:val="en-US" w:eastAsia="zh-CN"/>
        </w:rPr>
        <w:t>248.65</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231.37</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17.28</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“三公”经费预算数为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rPr>
        <w:t>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bookmarkStart w:id="0" w:name="_GoBack"/>
      <w:bookmarkEnd w:id="0"/>
      <w:r>
        <w:rPr>
          <w:rFonts w:hint="eastAsia" w:ascii="仿宋_GB2312" w:hAnsi="仿宋_GB2312" w:eastAsia="仿宋_GB2312" w:cs="仿宋_GB2312"/>
          <w:szCs w:val="32"/>
          <w:u w:val="none"/>
        </w:rPr>
        <w:t>。</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2024年</w:t>
      </w:r>
      <w:r>
        <w:rPr>
          <w:rFonts w:eastAsia="楷体"/>
          <w:szCs w:val="32"/>
          <w:u w:val="none"/>
        </w:rPr>
        <w:t>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楷体"/>
          <w:szCs w:val="32"/>
          <w:u w:val="none"/>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等____家</w:t>
      </w:r>
      <w:r>
        <w:rPr>
          <w:rFonts w:hint="eastAsia" w:ascii="仿宋_GB2312" w:hAnsi="仿宋_GB2312" w:cs="仿宋_GB2312"/>
          <w:szCs w:val="32"/>
          <w:lang w:eastAsia="zh-CN"/>
        </w:rPr>
        <w:t>行政</w:t>
      </w:r>
      <w:r>
        <w:rPr>
          <w:rFonts w:hint="eastAsia" w:ascii="仿宋_GB2312" w:hAnsi="仿宋_GB2312" w:eastAsia="仿宋_GB2312" w:cs="仿宋_GB2312"/>
          <w:szCs w:val="32"/>
        </w:rPr>
        <w:t>单位以及_______等____家参公管理事业单位的机关运行经费财政拨款预算__万元，比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w:t>
      </w:r>
      <w:r>
        <w:rPr>
          <w:rFonts w:hint="eastAsia" w:ascii="仿宋_GB2312" w:hAnsi="仿宋_GB2312" w:cs="仿宋_GB2312"/>
          <w:szCs w:val="32"/>
          <w:lang w:eastAsia="zh-CN"/>
        </w:rPr>
        <w:t>减少</w:t>
      </w:r>
      <w:r>
        <w:rPr>
          <w:rFonts w:hint="eastAsia" w:ascii="仿宋_GB2312" w:hAnsi="仿宋_GB2312" w:eastAsia="仿宋_GB2312" w:cs="仿宋_GB2312"/>
          <w:szCs w:val="32"/>
        </w:rPr>
        <w:t>____万元，</w:t>
      </w:r>
      <w:r>
        <w:rPr>
          <w:rFonts w:hint="eastAsia" w:ascii="仿宋_GB2312" w:hAnsi="仿宋_GB2312" w:cs="仿宋_GB2312"/>
          <w:szCs w:val="32"/>
          <w:lang w:eastAsia="zh-CN"/>
        </w:rPr>
        <w:t>降低</w:t>
      </w:r>
      <w:r>
        <w:rPr>
          <w:rFonts w:hint="eastAsia" w:ascii="仿宋_GB2312" w:hAnsi="仿宋_GB2312" w:eastAsia="仿宋_GB2312" w:cs="仿宋_GB2312"/>
          <w:szCs w:val="32"/>
        </w:rPr>
        <w:t>____%，主要原因是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（二）政府采购情况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政府采购预算总额</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万元，其中：政府采购货物预算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万元、政府采购工程预算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万元、政府采购服务预算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p>
    <w:p>
      <w:pPr>
        <w:spacing w:line="540" w:lineRule="exact"/>
        <w:ind w:firstLine="640" w:firstLineChars="200"/>
        <w:rPr>
          <w:rFonts w:eastAsia="楷体"/>
          <w:szCs w:val="32"/>
          <w:u w:val="none"/>
        </w:rPr>
      </w:pPr>
      <w:r>
        <w:rPr>
          <w:rFonts w:eastAsia="楷体"/>
          <w:szCs w:val="32"/>
          <w:u w:val="none"/>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8月底，部门本级和所属各预算单位共有车辆</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平方米，单价50万元及以上的通用设备</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台/套，单价100万元及以上的专用设备实有数</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部门预算安排购置车辆</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平方米，计划新增单价50万元及以上的通用设备</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台/套，计划新增单价100万元及以上的专用设备实有数</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台/套。</w:t>
      </w:r>
    </w:p>
    <w:p>
      <w:pPr>
        <w:numPr>
          <w:ilvl w:val="0"/>
          <w:numId w:val="1"/>
        </w:numPr>
        <w:spacing w:line="540" w:lineRule="exact"/>
        <w:ind w:firstLine="640" w:firstLineChars="200"/>
        <w:rPr>
          <w:rFonts w:hint="eastAsia" w:eastAsia="楷体"/>
          <w:szCs w:val="32"/>
          <w:highlight w:val="none"/>
          <w:u w:val="none"/>
        </w:rPr>
      </w:pPr>
      <w:r>
        <w:rPr>
          <w:rFonts w:hint="eastAsia" w:eastAsia="楷体"/>
          <w:szCs w:val="32"/>
          <w:highlight w:val="none"/>
          <w:u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2024年</w:t>
      </w:r>
      <w:r>
        <w:rPr>
          <w:rFonts w:hint="eastAsia" w:ascii="仿宋_GB2312" w:hAnsi="仿宋_GB2312" w:eastAsia="仿宋_GB2312" w:cs="仿宋_GB2312"/>
          <w:highlight w:val="none"/>
          <w:u w:val="none"/>
        </w:rPr>
        <w:t>部门项目支出</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万元，其中：一级项目</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个，二级项目</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u w:val="none"/>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2024年</w:t>
      </w:r>
      <w:r>
        <w:rPr>
          <w:rFonts w:hint="eastAsia" w:ascii="仿宋_GB2312" w:hAnsi="仿宋_GB2312" w:eastAsia="仿宋_GB2312" w:cs="仿宋_GB2312"/>
          <w:u w:val="none"/>
        </w:rPr>
        <w:t>确定</w:t>
      </w:r>
      <w:r>
        <w:rPr>
          <w:rFonts w:hint="eastAsia" w:ascii="仿宋_GB2312" w:hAnsi="仿宋_GB2312" w:cs="仿宋_GB2312"/>
          <w:szCs w:val="32"/>
          <w:u w:val="none"/>
          <w:lang w:val="en-US" w:eastAsia="zh-CN"/>
        </w:rPr>
        <w:t>0</w:t>
      </w:r>
      <w:r>
        <w:rPr>
          <w:rFonts w:hint="eastAsia" w:ascii="仿宋_GB2312" w:hAnsi="仿宋_GB2312" w:eastAsia="仿宋_GB2312" w:cs="仿宋_GB2312"/>
          <w:u w:val="none"/>
        </w:rPr>
        <w:t>个</w:t>
      </w:r>
      <w:r>
        <w:rPr>
          <w:rFonts w:hint="eastAsia" w:ascii="仿宋_GB2312" w:hAnsi="仿宋_GB2312" w:cs="仿宋_GB2312"/>
          <w:u w:val="none"/>
          <w:lang w:eastAsia="zh-CN"/>
        </w:rPr>
        <w:t>二</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0</w:t>
      </w:r>
      <w:r>
        <w:rPr>
          <w:rFonts w:hint="eastAsia" w:ascii="仿宋_GB2312" w:hAnsi="仿宋_GB2312" w:eastAsia="仿宋_GB2312" w:cs="仿宋_GB2312"/>
          <w:u w:val="none"/>
        </w:rPr>
        <w:t>万元。</w:t>
      </w:r>
    </w:p>
    <w:p>
      <w:pPr>
        <w:ind w:firstLine="645"/>
        <w:rPr>
          <w:rFonts w:eastAsia="楷体"/>
          <w:szCs w:val="32"/>
          <w:u w:val="none"/>
        </w:rPr>
      </w:pPr>
    </w:p>
    <w:p>
      <w:pPr>
        <w:spacing w:line="540" w:lineRule="exact"/>
        <w:ind w:firstLine="640" w:firstLineChars="200"/>
        <w:rPr>
          <w:rFonts w:eastAsia="楷体"/>
          <w:szCs w:val="32"/>
          <w:u w:val="none"/>
        </w:rPr>
      </w:pPr>
      <w:r>
        <w:rPr>
          <w:rFonts w:eastAsia="楷体"/>
          <w:szCs w:val="32"/>
          <w:u w:val="none"/>
        </w:rPr>
        <w:t>注：没有需要按规定说明情况的，直接表述为“本部门无”，不得直接删除。</w:t>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jM3YmI1YTk2YmNmY2JlMDBkYjRjNmEyMTQx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214955"/>
    <w:rsid w:val="033854EA"/>
    <w:rsid w:val="03530242"/>
    <w:rsid w:val="037E0D4F"/>
    <w:rsid w:val="04022755"/>
    <w:rsid w:val="0486486A"/>
    <w:rsid w:val="04954460"/>
    <w:rsid w:val="04F026C1"/>
    <w:rsid w:val="050D06DA"/>
    <w:rsid w:val="050F3BA7"/>
    <w:rsid w:val="05513E94"/>
    <w:rsid w:val="056F5A6D"/>
    <w:rsid w:val="059B3770"/>
    <w:rsid w:val="059C3AF9"/>
    <w:rsid w:val="063949A0"/>
    <w:rsid w:val="064A1CA8"/>
    <w:rsid w:val="067960C1"/>
    <w:rsid w:val="06BD5BC7"/>
    <w:rsid w:val="06E65C7C"/>
    <w:rsid w:val="07BE54E0"/>
    <w:rsid w:val="07D21289"/>
    <w:rsid w:val="07F544B0"/>
    <w:rsid w:val="08420409"/>
    <w:rsid w:val="09A0082A"/>
    <w:rsid w:val="0A334D52"/>
    <w:rsid w:val="0ABA06FE"/>
    <w:rsid w:val="0B5F5ADA"/>
    <w:rsid w:val="0B710869"/>
    <w:rsid w:val="0BB20E0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0474EB"/>
    <w:rsid w:val="136D62BD"/>
    <w:rsid w:val="13F21722"/>
    <w:rsid w:val="1441443C"/>
    <w:rsid w:val="14C12787"/>
    <w:rsid w:val="15593E10"/>
    <w:rsid w:val="159F7E25"/>
    <w:rsid w:val="15F848D0"/>
    <w:rsid w:val="160E1FA5"/>
    <w:rsid w:val="160F2600"/>
    <w:rsid w:val="17765BCA"/>
    <w:rsid w:val="17A027D8"/>
    <w:rsid w:val="18EA6C09"/>
    <w:rsid w:val="1A817DF8"/>
    <w:rsid w:val="1ADC594E"/>
    <w:rsid w:val="1AEB5252"/>
    <w:rsid w:val="1B6945D9"/>
    <w:rsid w:val="1BCA30B9"/>
    <w:rsid w:val="1C852172"/>
    <w:rsid w:val="1CA40C0C"/>
    <w:rsid w:val="1CFF4A32"/>
    <w:rsid w:val="1D833200"/>
    <w:rsid w:val="1E2D59A2"/>
    <w:rsid w:val="1E3A3FD0"/>
    <w:rsid w:val="1EB55C07"/>
    <w:rsid w:val="1F351A10"/>
    <w:rsid w:val="1FED47E9"/>
    <w:rsid w:val="206816AC"/>
    <w:rsid w:val="20EF4CAA"/>
    <w:rsid w:val="21096388"/>
    <w:rsid w:val="21581900"/>
    <w:rsid w:val="22A4003E"/>
    <w:rsid w:val="23984063"/>
    <w:rsid w:val="23CE11F0"/>
    <w:rsid w:val="23EC61F6"/>
    <w:rsid w:val="242B53BF"/>
    <w:rsid w:val="24457704"/>
    <w:rsid w:val="244C543C"/>
    <w:rsid w:val="24624768"/>
    <w:rsid w:val="2539376C"/>
    <w:rsid w:val="254C6FAD"/>
    <w:rsid w:val="2557798A"/>
    <w:rsid w:val="259B5BC5"/>
    <w:rsid w:val="25C7462E"/>
    <w:rsid w:val="25F62C4E"/>
    <w:rsid w:val="26643D6C"/>
    <w:rsid w:val="26FE109D"/>
    <w:rsid w:val="27073E1E"/>
    <w:rsid w:val="27B04AB3"/>
    <w:rsid w:val="288C424B"/>
    <w:rsid w:val="28A63332"/>
    <w:rsid w:val="29C45F24"/>
    <w:rsid w:val="2A2642BB"/>
    <w:rsid w:val="2DA55C06"/>
    <w:rsid w:val="2DF8796C"/>
    <w:rsid w:val="2EB22F18"/>
    <w:rsid w:val="2EE12108"/>
    <w:rsid w:val="2EED35E3"/>
    <w:rsid w:val="2EF07B60"/>
    <w:rsid w:val="2F250383"/>
    <w:rsid w:val="2F63610B"/>
    <w:rsid w:val="2FB2219A"/>
    <w:rsid w:val="300965A3"/>
    <w:rsid w:val="30730D6E"/>
    <w:rsid w:val="30B91A70"/>
    <w:rsid w:val="31237440"/>
    <w:rsid w:val="32CF2C5D"/>
    <w:rsid w:val="335402B5"/>
    <w:rsid w:val="339466B2"/>
    <w:rsid w:val="34533777"/>
    <w:rsid w:val="34555AF5"/>
    <w:rsid w:val="35616772"/>
    <w:rsid w:val="35EA1663"/>
    <w:rsid w:val="364C598E"/>
    <w:rsid w:val="36C55145"/>
    <w:rsid w:val="36CC2B0F"/>
    <w:rsid w:val="371A614D"/>
    <w:rsid w:val="3838492F"/>
    <w:rsid w:val="384401FB"/>
    <w:rsid w:val="387258D7"/>
    <w:rsid w:val="3887374F"/>
    <w:rsid w:val="38AF6637"/>
    <w:rsid w:val="39041A07"/>
    <w:rsid w:val="39043B77"/>
    <w:rsid w:val="393F0DCD"/>
    <w:rsid w:val="39400042"/>
    <w:rsid w:val="39670895"/>
    <w:rsid w:val="39F5260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2D1637"/>
    <w:rsid w:val="436B1E42"/>
    <w:rsid w:val="43993170"/>
    <w:rsid w:val="44054362"/>
    <w:rsid w:val="449C5E6A"/>
    <w:rsid w:val="44DF1057"/>
    <w:rsid w:val="44E45795"/>
    <w:rsid w:val="45551EB3"/>
    <w:rsid w:val="456D114B"/>
    <w:rsid w:val="45EB670F"/>
    <w:rsid w:val="4638045A"/>
    <w:rsid w:val="46AB7C0D"/>
    <w:rsid w:val="46D44808"/>
    <w:rsid w:val="47CF49E6"/>
    <w:rsid w:val="4843587B"/>
    <w:rsid w:val="48674ED2"/>
    <w:rsid w:val="487708E6"/>
    <w:rsid w:val="492D703A"/>
    <w:rsid w:val="49645F71"/>
    <w:rsid w:val="497F2572"/>
    <w:rsid w:val="499F5C68"/>
    <w:rsid w:val="4AF16062"/>
    <w:rsid w:val="4B646DDD"/>
    <w:rsid w:val="4B7F44F8"/>
    <w:rsid w:val="4BAC24C5"/>
    <w:rsid w:val="4BFA0656"/>
    <w:rsid w:val="4BFE351E"/>
    <w:rsid w:val="4C5567C9"/>
    <w:rsid w:val="4D5A127B"/>
    <w:rsid w:val="4D730507"/>
    <w:rsid w:val="4D741DD3"/>
    <w:rsid w:val="4D922DC1"/>
    <w:rsid w:val="4DAA5033"/>
    <w:rsid w:val="4DC93207"/>
    <w:rsid w:val="4E2A22FD"/>
    <w:rsid w:val="4E8D5761"/>
    <w:rsid w:val="4EF54A85"/>
    <w:rsid w:val="4F6F75D9"/>
    <w:rsid w:val="4FB01626"/>
    <w:rsid w:val="4FC556C7"/>
    <w:rsid w:val="501B3C66"/>
    <w:rsid w:val="504B40C5"/>
    <w:rsid w:val="50987DC2"/>
    <w:rsid w:val="50A4703E"/>
    <w:rsid w:val="5136104F"/>
    <w:rsid w:val="51E55C99"/>
    <w:rsid w:val="52071113"/>
    <w:rsid w:val="52447C09"/>
    <w:rsid w:val="525A440D"/>
    <w:rsid w:val="53C378F8"/>
    <w:rsid w:val="54104D89"/>
    <w:rsid w:val="54741940"/>
    <w:rsid w:val="54810E66"/>
    <w:rsid w:val="54C2556E"/>
    <w:rsid w:val="551663CF"/>
    <w:rsid w:val="55480EEF"/>
    <w:rsid w:val="55842E64"/>
    <w:rsid w:val="56570E30"/>
    <w:rsid w:val="56B750BE"/>
    <w:rsid w:val="56B84941"/>
    <w:rsid w:val="57AE5C26"/>
    <w:rsid w:val="57DD75A9"/>
    <w:rsid w:val="57E05008"/>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D5FB2"/>
    <w:rsid w:val="5D2B52D8"/>
    <w:rsid w:val="5D5A7C63"/>
    <w:rsid w:val="5E256F6F"/>
    <w:rsid w:val="5EF760C9"/>
    <w:rsid w:val="5F6235A9"/>
    <w:rsid w:val="614125C2"/>
    <w:rsid w:val="624C5C52"/>
    <w:rsid w:val="636F798A"/>
    <w:rsid w:val="63952BB5"/>
    <w:rsid w:val="63DF08E4"/>
    <w:rsid w:val="64127E15"/>
    <w:rsid w:val="64A04202"/>
    <w:rsid w:val="64C04AFD"/>
    <w:rsid w:val="661A7B69"/>
    <w:rsid w:val="664909C1"/>
    <w:rsid w:val="66544FA9"/>
    <w:rsid w:val="66C63EB5"/>
    <w:rsid w:val="677772D0"/>
    <w:rsid w:val="679461D3"/>
    <w:rsid w:val="6858287E"/>
    <w:rsid w:val="68A32AC5"/>
    <w:rsid w:val="68BC4392"/>
    <w:rsid w:val="69157114"/>
    <w:rsid w:val="691A443E"/>
    <w:rsid w:val="6A093DD7"/>
    <w:rsid w:val="6A80735F"/>
    <w:rsid w:val="6ACC5E47"/>
    <w:rsid w:val="6AD43ED1"/>
    <w:rsid w:val="6B11024D"/>
    <w:rsid w:val="6B3D425E"/>
    <w:rsid w:val="6B637A3C"/>
    <w:rsid w:val="6B787E97"/>
    <w:rsid w:val="6B7D5B36"/>
    <w:rsid w:val="6CB71DEE"/>
    <w:rsid w:val="6CDD4D14"/>
    <w:rsid w:val="6CF120A8"/>
    <w:rsid w:val="70912EF2"/>
    <w:rsid w:val="714213DD"/>
    <w:rsid w:val="717F272E"/>
    <w:rsid w:val="721630B4"/>
    <w:rsid w:val="728027C6"/>
    <w:rsid w:val="72D54D7C"/>
    <w:rsid w:val="737664E0"/>
    <w:rsid w:val="73FE7ACC"/>
    <w:rsid w:val="74053F35"/>
    <w:rsid w:val="74221B26"/>
    <w:rsid w:val="74556746"/>
    <w:rsid w:val="74AB7A24"/>
    <w:rsid w:val="74C202F5"/>
    <w:rsid w:val="75E3405B"/>
    <w:rsid w:val="765661D4"/>
    <w:rsid w:val="76BB79B1"/>
    <w:rsid w:val="76C17E06"/>
    <w:rsid w:val="76CA67BD"/>
    <w:rsid w:val="76D9095F"/>
    <w:rsid w:val="774E6400"/>
    <w:rsid w:val="775B0046"/>
    <w:rsid w:val="775F2C73"/>
    <w:rsid w:val="78796248"/>
    <w:rsid w:val="79700BEF"/>
    <w:rsid w:val="79F85634"/>
    <w:rsid w:val="7A090695"/>
    <w:rsid w:val="7AE175F4"/>
    <w:rsid w:val="7B0C59FB"/>
    <w:rsid w:val="7B417685"/>
    <w:rsid w:val="7B5220F0"/>
    <w:rsid w:val="7BA169C0"/>
    <w:rsid w:val="7BE95D3C"/>
    <w:rsid w:val="7CAD595B"/>
    <w:rsid w:val="7CF65D07"/>
    <w:rsid w:val="7D2975D1"/>
    <w:rsid w:val="7DCC0CD6"/>
    <w:rsid w:val="7DFB19FF"/>
    <w:rsid w:val="7E29470A"/>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彦群</cp:lastModifiedBy>
  <cp:lastPrinted>2022-02-21T08:08:00Z</cp:lastPrinted>
  <dcterms:modified xsi:type="dcterms:W3CDTF">2024-01-29T03:24:32Z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