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none"/>
        </w:rPr>
      </w:pPr>
      <w:r>
        <w:rPr>
          <w:rFonts w:hint="eastAsia" w:eastAsia="方正小标宋简体"/>
          <w:sz w:val="44"/>
          <w:szCs w:val="44"/>
          <w:u w:val="none"/>
        </w:rPr>
        <w:t>通榆县青少年事业发展中心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color w:val="auto"/>
          <w:highlight w:val="none"/>
        </w:rPr>
      </w:pPr>
      <w:r>
        <w:rPr>
          <w:rFonts w:eastAsia="楷体_GB2312"/>
          <w:color w:val="auto"/>
          <w:highlight w:val="none"/>
        </w:rPr>
        <w:t>一、主要职能</w:t>
      </w:r>
    </w:p>
    <w:p>
      <w:pPr>
        <w:ind w:firstLine="640" w:firstLineChars="200"/>
        <w:rPr>
          <w:rFonts w:hint="eastAsia" w:ascii="仿宋_GB2312" w:hAnsi="仿宋_GB2312" w:cs="仿宋_GB2312"/>
          <w:color w:val="auto"/>
          <w:szCs w:val="32"/>
          <w:highlight w:val="none"/>
          <w:lang w:eastAsia="zh-CN"/>
        </w:rPr>
      </w:pPr>
      <w:r>
        <w:rPr>
          <w:rFonts w:hint="eastAsia" w:ascii="仿宋_GB2312" w:hAnsi="仿宋_GB2312" w:cs="仿宋_GB2312"/>
          <w:color w:val="auto"/>
          <w:szCs w:val="32"/>
          <w:highlight w:val="none"/>
          <w:lang w:eastAsia="zh-CN"/>
        </w:rPr>
        <w:t>负责青少年事业发展相关服务保障等工作</w:t>
      </w:r>
    </w:p>
    <w:p>
      <w:pPr>
        <w:ind w:firstLine="640" w:firstLineChars="200"/>
        <w:rPr>
          <w:color w:val="auto"/>
          <w:highlight w:val="none"/>
        </w:rPr>
      </w:pPr>
      <w:r>
        <w:rPr>
          <w:rFonts w:eastAsia="楷体_GB2312"/>
          <w:color w:val="auto"/>
          <w:highlight w:val="none"/>
        </w:rPr>
        <w:t>二、机构设置</w:t>
      </w:r>
    </w:p>
    <w:p>
      <w:pPr>
        <w:pStyle w:val="51"/>
        <w:ind w:firstLine="640" w:firstLineChars="200"/>
        <w:rPr>
          <w:rFonts w:hint="eastAsia" w:eastAsia="仿宋_GB2312"/>
          <w:lang w:val="en-US" w:eastAsia="zh-CN"/>
        </w:rPr>
      </w:pPr>
      <w:r>
        <w:rPr>
          <w:rFonts w:hint="eastAsia" w:ascii="仿宋_GB2312" w:hAnsi="仿宋_GB2312" w:eastAsia="仿宋_GB2312" w:cs="仿宋_GB2312"/>
          <w:color w:val="auto"/>
          <w:highlight w:val="none"/>
        </w:rPr>
        <w:t>根据职责任务，核定通榆县青少年事业发展中心5名事业编制。编制结构比例:行政管理岗位编制1名，专业技术岗位编制</w:t>
      </w:r>
      <w:r>
        <w:rPr>
          <w:rFonts w:hint="eastAsia" w:ascii="仿宋_GB2312" w:hAnsi="仿宋_GB2312" w:eastAsia="仿宋_GB2312" w:cs="仿宋_GB2312"/>
          <w:color w:val="auto"/>
          <w:highlight w:val="none"/>
          <w:lang w:val="en-US" w:eastAsia="zh-CN"/>
        </w:rPr>
        <w:t>4名。</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19.57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19.57</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14.66</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19.57</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19.57</w:t>
            </w: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2.58</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1.5</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0.83</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0.83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19.57</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19.57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19.57</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19.57</w:t>
            </w: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19.57</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19.57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19.57</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中国共产主义青年团通榆县委员会</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19.57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19.57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19.57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r>
              <w:rPr>
                <w:rFonts w:hint="eastAsia" w:eastAsia="宋体"/>
                <w:color w:val="000000"/>
                <w:sz w:val="20"/>
                <w:shd w:val="clear" w:color="auto" w:fill="FFFFFF"/>
              </w:rPr>
              <w:t>通榆县青少年事业发展中心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19.57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19.57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19.57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19.57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19.57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19.57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11140" w:type="dxa"/>
              <w:tblInd w:w="445" w:type="dxa"/>
              <w:tblLayout w:type="fixed"/>
              <w:tblCellMar>
                <w:top w:w="15" w:type="dxa"/>
                <w:left w:w="15" w:type="dxa"/>
                <w:bottom w:w="15" w:type="dxa"/>
                <w:right w:w="15" w:type="dxa"/>
              </w:tblCellMar>
            </w:tblPr>
            <w:tblGrid>
              <w:gridCol w:w="2535"/>
              <w:gridCol w:w="882"/>
              <w:gridCol w:w="1306"/>
              <w:gridCol w:w="1090"/>
              <w:gridCol w:w="1297"/>
              <w:gridCol w:w="1267"/>
              <w:gridCol w:w="30"/>
              <w:gridCol w:w="1297"/>
              <w:gridCol w:w="139"/>
              <w:gridCol w:w="1158"/>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r>
            <w:tr>
              <w:tblPrEx>
                <w:tblCellMar>
                  <w:top w:w="15" w:type="dxa"/>
                  <w:left w:w="15" w:type="dxa"/>
                  <w:bottom w:w="15" w:type="dxa"/>
                  <w:right w:w="15" w:type="dxa"/>
                </w:tblCellMar>
              </w:tblPrEx>
              <w:trPr>
                <w:trHeight w:val="1420" w:hRule="atLeast"/>
              </w:trPr>
              <w:tc>
                <w:tcPr>
                  <w:tcW w:w="2535"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882"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c>
                <w:tcPr>
                  <w:tcW w:w="129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p>
              </w:tc>
            </w:tr>
            <w:tr>
              <w:tblPrEx>
                <w:tblCellMar>
                  <w:top w:w="15" w:type="dxa"/>
                  <w:left w:w="15" w:type="dxa"/>
                  <w:bottom w:w="15" w:type="dxa"/>
                  <w:right w:w="15" w:type="dxa"/>
                </w:tblCellMar>
              </w:tblPrEx>
              <w:trPr>
                <w:trHeight w:val="423"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rPr>
                    <w:t>一般公共服务支出</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19.57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　群众团体事务</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14.66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14.66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14.66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0.49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0.09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0.83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0.83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0.80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0.03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35"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8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19.57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p>
                  <w:pPr>
                    <w:widowControl/>
                    <w:jc w:val="right"/>
                    <w:rPr>
                      <w:rFonts w:eastAsia="宋体"/>
                      <w:kern w:val="0"/>
                      <w:sz w:val="20"/>
                    </w:rPr>
                  </w:pPr>
                  <w:r>
                    <w:rPr>
                      <w:rFonts w:hint="eastAsia" w:eastAsia="宋体"/>
                      <w:kern w:val="0"/>
                      <w:sz w:val="20"/>
                      <w:lang w:val="en-US" w:eastAsia="zh-CN"/>
                    </w:rPr>
                    <w:t>14.66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14.66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19.57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19.57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2.58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2.58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1.5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eastAsia="宋体"/>
                      <w:kern w:val="0"/>
                      <w:sz w:val="20"/>
                    </w:rPr>
                  </w:pPr>
                  <w:r>
                    <w:rPr>
                      <w:rFonts w:hint="eastAsia" w:eastAsia="宋体"/>
                      <w:kern w:val="0"/>
                      <w:sz w:val="20"/>
                      <w:lang w:val="en-US" w:eastAsia="zh-CN"/>
                    </w:rPr>
                    <w:t>1.5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19.57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19.57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19.57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19.57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19.57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19.57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19.57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19.57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群众团体事务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群众团体事务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19.57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19.57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3176"/>
        <w:gridCol w:w="1607"/>
        <w:gridCol w:w="613"/>
        <w:gridCol w:w="1033"/>
        <w:gridCol w:w="671"/>
        <w:gridCol w:w="707"/>
        <w:gridCol w:w="1124"/>
        <w:gridCol w:w="183"/>
      </w:tblGrid>
      <w:tr>
        <w:tblPrEx>
          <w:tblCellMar>
            <w:top w:w="0" w:type="dxa"/>
            <w:left w:w="108" w:type="dxa"/>
            <w:bottom w:w="0" w:type="dxa"/>
            <w:right w:w="108" w:type="dxa"/>
          </w:tblCellMar>
        </w:tblPrEx>
        <w:trPr>
          <w:gridAfter w:val="1"/>
          <w:wAfter w:w="183" w:type="dxa"/>
          <w:trHeight w:val="777" w:hRule="atLeast"/>
          <w:jc w:val="center"/>
        </w:trPr>
        <w:tc>
          <w:tcPr>
            <w:tcW w:w="8931" w:type="dxa"/>
            <w:gridSpan w:val="7"/>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gridAfter w:val="1"/>
          <w:wAfter w:w="183" w:type="dxa"/>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gridSpan w:val="2"/>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4"/>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gridAfter w:val="1"/>
          <w:wAfter w:w="183" w:type="dxa"/>
          <w:trHeight w:val="587"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gridSpan w:val="2"/>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gridSpan w:val="2"/>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gridAfter w:val="1"/>
          <w:wAfter w:w="183" w:type="dxa"/>
          <w:trHeight w:val="43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17.65</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17.65</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gridAfter w:val="1"/>
          <w:wAfter w:w="183" w:type="dxa"/>
          <w:trHeight w:val="42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5.83</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5.83</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gridAfter w:val="1"/>
          <w:wAfter w:w="183" w:type="dxa"/>
          <w:trHeight w:val="41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0.53</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0.53</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gridAfter w:val="1"/>
          <w:wAfter w:w="183" w:type="dxa"/>
          <w:trHeight w:val="42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1.48</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1.48</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gridAfter w:val="1"/>
          <w:wAfter w:w="183" w:type="dxa"/>
          <w:trHeight w:val="42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绩效工资</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4.70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4.70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gridAfter w:val="1"/>
          <w:wAfter w:w="183" w:type="dxa"/>
          <w:trHeight w:val="47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2.01</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2.01</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gridAfter w:val="1"/>
          <w:wAfter w:w="183" w:type="dxa"/>
          <w:trHeight w:val="48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0.49</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0.49</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0.80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0.80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0.11</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0.11</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0.20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0.20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1.12</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1.12</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0.70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0.70</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0.02</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0.02</w:t>
            </w:r>
          </w:p>
        </w:tc>
      </w:tr>
      <w:tr>
        <w:tblPrEx>
          <w:tblCellMar>
            <w:top w:w="0" w:type="dxa"/>
            <w:left w:w="108" w:type="dxa"/>
            <w:bottom w:w="0" w:type="dxa"/>
            <w:right w:w="108" w:type="dxa"/>
          </w:tblCellMar>
        </w:tblPrEx>
        <w:trPr>
          <w:gridAfter w:val="1"/>
          <w:wAfter w:w="183" w:type="dxa"/>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0.20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0.20</w:t>
            </w:r>
          </w:p>
        </w:tc>
      </w:tr>
      <w:tr>
        <w:tblPrEx>
          <w:tblCellMar>
            <w:top w:w="0" w:type="dxa"/>
            <w:left w:w="108" w:type="dxa"/>
            <w:bottom w:w="0" w:type="dxa"/>
            <w:right w:w="108" w:type="dxa"/>
          </w:tblCellMar>
        </w:tblPrEx>
        <w:trPr>
          <w:gridAfter w:val="1"/>
          <w:wAfter w:w="183" w:type="dxa"/>
          <w:trHeight w:val="47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公务接待费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0.20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0.20</w:t>
            </w:r>
          </w:p>
        </w:tc>
      </w:tr>
      <w:tr>
        <w:tblPrEx>
          <w:tblCellMar>
            <w:top w:w="0" w:type="dxa"/>
            <w:left w:w="108" w:type="dxa"/>
            <w:bottom w:w="0" w:type="dxa"/>
            <w:right w:w="108" w:type="dxa"/>
          </w:tblCellMar>
        </w:tblPrEx>
        <w:trPr>
          <w:gridAfter w:val="1"/>
          <w:wAfter w:w="183" w:type="dxa"/>
          <w:trHeight w:val="48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资本性支出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0.80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0.80</w:t>
            </w:r>
          </w:p>
        </w:tc>
      </w:tr>
      <w:tr>
        <w:tblPrEx>
          <w:tblCellMar>
            <w:top w:w="0" w:type="dxa"/>
            <w:left w:w="108" w:type="dxa"/>
            <w:bottom w:w="0" w:type="dxa"/>
            <w:right w:w="108" w:type="dxa"/>
          </w:tblCellMar>
        </w:tblPrEx>
        <w:trPr>
          <w:gridAfter w:val="1"/>
          <w:wAfter w:w="183" w:type="dxa"/>
          <w:trHeight w:val="67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19.57</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17.65</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1.92</w:t>
            </w:r>
          </w:p>
        </w:tc>
      </w:tr>
      <w:tr>
        <w:tblPrEx>
          <w:tblCellMar>
            <w:top w:w="0" w:type="dxa"/>
            <w:left w:w="108" w:type="dxa"/>
            <w:bottom w:w="0" w:type="dxa"/>
            <w:right w:w="108" w:type="dxa"/>
          </w:tblCellMar>
        </w:tblPrEx>
        <w:trPr>
          <w:trHeight w:val="1200" w:hRule="atLeast"/>
          <w:jc w:val="center"/>
        </w:trPr>
        <w:tc>
          <w:tcPr>
            <w:tcW w:w="9114" w:type="dxa"/>
            <w:gridSpan w:val="8"/>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8"/>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w:t>
            </w:r>
          </w:p>
        </w:tc>
        <w:tc>
          <w:tcPr>
            <w:tcW w:w="1378" w:type="dxa"/>
            <w:gridSpan w:val="2"/>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w:t>
            </w: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67"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w:t>
            </w:r>
          </w:p>
        </w:tc>
        <w:tc>
          <w:tcPr>
            <w:tcW w:w="1378"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0.2</w:t>
            </w: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5"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gridSpan w:val="2"/>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8"/>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w:t>
            </w:r>
            <w:r>
              <w:rPr>
                <w:color w:val="000000"/>
                <w:kern w:val="0"/>
                <w:sz w:val="28"/>
                <w:szCs w:val="28"/>
              </w:rPr>
              <w:t>人，其中：在职人员</w:t>
            </w:r>
            <w:r>
              <w:rPr>
                <w:rFonts w:hint="eastAsia" w:eastAsia="宋体"/>
                <w:color w:val="000000"/>
                <w:kern w:val="0"/>
                <w:sz w:val="28"/>
                <w:szCs w:val="28"/>
                <w:u w:val="single"/>
                <w:lang w:val="en-US" w:eastAsia="zh-CN"/>
              </w:rPr>
              <w:t>2</w:t>
            </w:r>
            <w:r>
              <w:rPr>
                <w:color w:val="000000"/>
                <w:kern w:val="0"/>
                <w:sz w:val="28"/>
                <w:szCs w:val="28"/>
              </w:rPr>
              <w:t>人，离退休人员</w:t>
            </w:r>
            <w:r>
              <w:rPr>
                <w:rFonts w:hint="eastAsia" w:eastAsia="宋体"/>
                <w:color w:val="000000"/>
                <w:kern w:val="0"/>
                <w:sz w:val="28"/>
                <w:szCs w:val="28"/>
                <w:u w:val="non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sz w:val="30"/>
          <w:szCs w:val="30"/>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19.57万元。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14.66万元</w:t>
      </w:r>
      <w:r>
        <w:rPr>
          <w:rFonts w:hint="eastAsia" w:ascii="仿宋_GB2312" w:hAnsi="仿宋_GB2312" w:eastAsia="仿宋_GB2312" w:cs="仿宋_GB2312"/>
          <w:szCs w:val="32"/>
        </w:rPr>
        <w:t>、卫生健康支出</w:t>
      </w:r>
      <w:r>
        <w:rPr>
          <w:rFonts w:hint="eastAsia" w:ascii="仿宋_GB2312" w:hAnsi="仿宋_GB2312" w:cs="仿宋_GB2312"/>
          <w:szCs w:val="32"/>
          <w:lang w:val="en-US" w:eastAsia="zh-CN"/>
        </w:rPr>
        <w:t>0.83卫生健康支出、</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2.58万元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1.5万元</w:t>
      </w:r>
      <w:r>
        <w:rPr>
          <w:rFonts w:hint="eastAsia" w:ascii="仿宋_GB2312" w:hAnsi="仿宋_GB2312" w:eastAsia="仿宋_GB2312" w:cs="仿宋_GB2312"/>
          <w:szCs w:val="32"/>
        </w:rPr>
        <w:t>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19.57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19.57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19.57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19.57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19.57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19.57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19.57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19.57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19.57</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14.66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19.57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19.57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17.65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90.19</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9.81</w:t>
      </w:r>
      <w:r>
        <w:rPr>
          <w:rFonts w:hint="eastAsia" w:ascii="仿宋_GB2312" w:hAnsi="仿宋_GB2312" w:eastAsia="仿宋_GB2312" w:cs="仿宋_GB2312"/>
          <w:szCs w:val="32"/>
        </w:rPr>
        <w:t>%。</w:t>
      </w:r>
    </w:p>
    <w:p>
      <w:pPr>
        <w:spacing w:line="520" w:lineRule="exact"/>
        <w:ind w:firstLine="200"/>
        <w:rPr>
          <w:rFonts w:hint="eastAsia" w:ascii="仿宋_GB2312" w:hAnsi="仿宋_GB2312" w:cs="仿宋_GB2312"/>
          <w:szCs w:val="32"/>
          <w:lang w:val="en-US" w:eastAsia="zh-CN"/>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14.66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74.91</w:t>
      </w:r>
      <w:r>
        <w:rPr>
          <w:rFonts w:hint="eastAsia" w:ascii="仿宋_GB2312" w:hAnsi="仿宋_GB2312" w:eastAsia="仿宋_GB2312" w:cs="仿宋_GB2312"/>
          <w:szCs w:val="32"/>
        </w:rPr>
        <w:t>%</w:t>
      </w:r>
      <w:r>
        <w:rPr>
          <w:rFonts w:hint="eastAsia" w:ascii="仿宋_GB2312" w:hAnsi="仿宋_GB2312" w:cs="仿宋_GB2312"/>
          <w:szCs w:val="32"/>
          <w:lang w:val="en-US" w:eastAsia="zh-CN"/>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13.18</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卫生健康支出</w:t>
      </w:r>
      <w:r>
        <w:rPr>
          <w:rFonts w:hint="eastAsia" w:ascii="仿宋_GB2312" w:hAnsi="仿宋_GB2312" w:cs="仿宋_GB2312"/>
          <w:szCs w:val="32"/>
          <w:lang w:val="en-US" w:eastAsia="zh-CN"/>
        </w:rPr>
        <w:t>0.83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4.24</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7.66</w:t>
      </w:r>
      <w:r>
        <w:rPr>
          <w:rFonts w:hint="eastAsia" w:ascii="仿宋_GB2312" w:hAnsi="仿宋_GB2312" w:eastAsia="仿宋_GB2312" w:cs="仿宋_GB2312"/>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19.57</w:t>
      </w:r>
      <w:r>
        <w:rPr>
          <w:rFonts w:hint="eastAsia" w:ascii="仿宋_GB2312" w:hAnsi="仿宋_GB2312" w:eastAsia="仿宋_GB2312" w:cs="仿宋_GB2312"/>
          <w:szCs w:val="32"/>
        </w:rPr>
        <w:t>万元，其中：</w:t>
      </w:r>
    </w:p>
    <w:p>
      <w:pPr>
        <w:ind w:firstLine="640" w:firstLineChars="200"/>
        <w:rPr>
          <w:rFonts w:hint="eastAsia" w:ascii="仿宋_GB2312" w:hAnsi="仿宋_GB2312" w:cs="仿宋_GB2312"/>
          <w:szCs w:val="32"/>
          <w:lang w:val="en-US" w:eastAsia="zh-CN"/>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17.65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5.83万元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0.53万元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1.48万元</w:t>
      </w:r>
      <w:r>
        <w:rPr>
          <w:rFonts w:hint="eastAsia" w:ascii="仿宋_GB2312" w:hAnsi="仿宋_GB2312" w:eastAsia="仿宋_GB2312" w:cs="仿宋_GB2312"/>
          <w:szCs w:val="32"/>
        </w:rPr>
        <w:t>、绩效工资</w:t>
      </w:r>
      <w:r>
        <w:rPr>
          <w:rFonts w:hint="eastAsia" w:ascii="仿宋_GB2312" w:hAnsi="仿宋_GB2312" w:cs="仿宋_GB2312"/>
          <w:szCs w:val="32"/>
          <w:lang w:val="en-US" w:eastAsia="zh-CN"/>
        </w:rPr>
        <w:t>4.7万元、　机关事业单位基本养老保险缴费2.01万元、职业0.49万元、职工基本医疗保险缴费0.8万元、其他社会保障缴费0.11万元、住房公积金1.5万元、其他工资福利支出0.2万元。</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1.92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0.7万元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lang w:val="en-US" w:eastAsia="zh-CN"/>
        </w:rPr>
        <w:t>0.02万元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lang w:val="en-US" w:eastAsia="zh-CN"/>
        </w:rPr>
        <w:t>0.2万元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cs="仿宋_GB2312"/>
          <w:kern w:val="0"/>
          <w:szCs w:val="32"/>
          <w:lang w:val="en-US" w:eastAsia="zh-CN"/>
        </w:rPr>
        <w:t>0.2万元</w:t>
      </w:r>
      <w:r>
        <w:rPr>
          <w:rFonts w:hint="eastAsia" w:ascii="仿宋_GB2312" w:hAnsi="仿宋_GB2312" w:cs="仿宋_GB2312"/>
          <w:szCs w:val="32"/>
          <w:lang w:eastAsia="zh-CN"/>
        </w:rPr>
        <w:t>、</w:t>
      </w:r>
      <w:r>
        <w:rPr>
          <w:rFonts w:hint="eastAsia" w:ascii="仿宋_GB2312" w:hAnsi="仿宋_GB2312" w:eastAsia="仿宋_GB2312" w:cs="仿宋_GB2312"/>
          <w:kern w:val="0"/>
          <w:szCs w:val="32"/>
        </w:rPr>
        <w:t>办公设备购置</w:t>
      </w:r>
      <w:r>
        <w:rPr>
          <w:rFonts w:hint="eastAsia" w:ascii="仿宋_GB2312" w:hAnsi="仿宋_GB2312" w:cs="仿宋_GB2312"/>
          <w:kern w:val="0"/>
          <w:szCs w:val="32"/>
          <w:lang w:val="en-US" w:eastAsia="zh-CN"/>
        </w:rPr>
        <w:t>0.8万元</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eastAsia="黑体"/>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仿宋_GB2312" w:hAnsi="仿宋_GB2312" w:eastAsia="仿宋_GB2312" w:cs="仿宋_GB2312"/>
          <w:szCs w:val="32"/>
          <w:highlight w:val="none"/>
          <w:lang w:val="en-US" w:eastAsia="zh-CN"/>
        </w:rPr>
      </w:pPr>
      <w:r>
        <w:rPr>
          <w:rFonts w:hint="eastAsia" w:ascii="仿宋_GB2312" w:hAnsi="仿宋_GB2312" w:eastAsia="仿宋_GB2312" w:cs="仿宋_GB2312"/>
          <w:szCs w:val="32"/>
          <w:highlight w:val="none"/>
          <w:lang w:eastAsia="zh-CN"/>
        </w:rPr>
        <w:t>本部无政府性基金预算支出</w:t>
      </w:r>
      <w:r>
        <w:rPr>
          <w:rFonts w:hint="eastAsia" w:ascii="仿宋_GB2312" w:hAnsi="仿宋_GB2312" w:cs="仿宋_GB2312"/>
          <w:szCs w:val="32"/>
          <w:highlight w:val="none"/>
          <w:lang w:eastAsia="zh-CN"/>
        </w:rPr>
        <w:t>。</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lang w:eastAsia="zh-CN"/>
        </w:rPr>
        <w:t>本部无</w:t>
      </w:r>
      <w:r>
        <w:rPr>
          <w:rFonts w:hint="eastAsia" w:ascii="仿宋_GB2312" w:hAnsi="仿宋_GB2312" w:eastAsia="仿宋_GB2312" w:cs="仿宋_GB2312"/>
          <w:szCs w:val="32"/>
          <w:highlight w:val="none"/>
        </w:rPr>
        <w:t>国有资本经营预算支出</w:t>
      </w:r>
      <w:r>
        <w:rPr>
          <w:rFonts w:hint="eastAsia" w:ascii="仿宋_GB2312" w:hAnsi="仿宋_GB2312" w:eastAsia="仿宋_GB2312" w:cs="仿宋_GB2312"/>
          <w:szCs w:val="32"/>
          <w:highlight w:val="none"/>
          <w:lang w:eastAsia="zh-CN"/>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lang w:eastAsia="zh-CN"/>
        </w:rPr>
        <w:t>本部门</w:t>
      </w:r>
      <w:r>
        <w:rPr>
          <w:rFonts w:hint="eastAsia" w:ascii="仿宋_GB2312" w:hAnsi="仿宋_GB2312" w:eastAsia="仿宋_GB2312" w:cs="仿宋_GB2312"/>
          <w:szCs w:val="32"/>
        </w:rPr>
        <w:t>的机关运行经费财政拨款预算</w:t>
      </w:r>
      <w:r>
        <w:rPr>
          <w:rFonts w:hint="eastAsia" w:ascii="仿宋_GB2312" w:hAnsi="仿宋_GB2312" w:cs="仿宋_GB2312"/>
          <w:szCs w:val="32"/>
          <w:lang w:val="en-US" w:eastAsia="zh-CN"/>
        </w:rPr>
        <w:t>1.92</w:t>
      </w:r>
      <w:r>
        <w:rPr>
          <w:rFonts w:hint="eastAsia" w:ascii="仿宋_GB2312" w:hAnsi="仿宋_GB2312" w:eastAsia="仿宋_GB2312" w:cs="仿宋_GB2312"/>
          <w:szCs w:val="32"/>
        </w:rPr>
        <w:t>万元。</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bookmarkStart w:id="0" w:name="_GoBack"/>
      <w:bookmarkEnd w:id="0"/>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eastAsia="楷体"/>
          <w:szCs w:val="32"/>
        </w:rPr>
        <w:t>本部门无</w:t>
      </w:r>
      <w:r>
        <w:rPr>
          <w:rFonts w:hint="eastAsia" w:eastAsia="楷体"/>
          <w:szCs w:val="32"/>
        </w:rPr>
        <w:t>项目支出</w:t>
      </w:r>
      <w:r>
        <w:rPr>
          <w:rFonts w:hint="eastAsia" w:ascii="仿宋_GB2312" w:hAnsi="仿宋_GB2312" w:eastAsia="仿宋_GB2312" w:cs="仿宋_GB2312"/>
        </w:rPr>
        <w:t>。</w:t>
      </w:r>
    </w:p>
    <w:p>
      <w:pPr>
        <w:ind w:firstLine="645"/>
        <w:rPr>
          <w:rFonts w:eastAsia="楷体"/>
          <w:szCs w:val="32"/>
        </w:rPr>
      </w:pPr>
    </w:p>
    <w:p>
      <w:pPr>
        <w:spacing w:line="540" w:lineRule="exact"/>
        <w:ind w:firstLine="640" w:firstLineChars="200"/>
        <w:rPr>
          <w:rFonts w:eastAsia="楷体"/>
          <w:szCs w:val="32"/>
        </w:rPr>
      </w:pP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ZTI2NGJlNzgyMjhiMmYwNmY1ZThlY2RkYWFjN2M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1C5788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C705E91"/>
    <w:rsid w:val="0DA001B0"/>
    <w:rsid w:val="0DB6446C"/>
    <w:rsid w:val="0DEB170B"/>
    <w:rsid w:val="0E4C7841"/>
    <w:rsid w:val="0F3E0406"/>
    <w:rsid w:val="0F8B592F"/>
    <w:rsid w:val="0FD62F63"/>
    <w:rsid w:val="107728C7"/>
    <w:rsid w:val="10AE7F82"/>
    <w:rsid w:val="10C93B35"/>
    <w:rsid w:val="11177619"/>
    <w:rsid w:val="112605C8"/>
    <w:rsid w:val="112F101A"/>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3F5595"/>
    <w:rsid w:val="1EB55C07"/>
    <w:rsid w:val="1F351A10"/>
    <w:rsid w:val="1FED47E9"/>
    <w:rsid w:val="206816AC"/>
    <w:rsid w:val="22A4003E"/>
    <w:rsid w:val="23860F4D"/>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7DA700D"/>
    <w:rsid w:val="28A63332"/>
    <w:rsid w:val="29C45F24"/>
    <w:rsid w:val="2DF8796C"/>
    <w:rsid w:val="2EB22F18"/>
    <w:rsid w:val="2EE12108"/>
    <w:rsid w:val="2EED35E3"/>
    <w:rsid w:val="2F250383"/>
    <w:rsid w:val="2F63610B"/>
    <w:rsid w:val="300965A3"/>
    <w:rsid w:val="30730D6E"/>
    <w:rsid w:val="30B91A70"/>
    <w:rsid w:val="31684A32"/>
    <w:rsid w:val="32AC7041"/>
    <w:rsid w:val="32CF2C5D"/>
    <w:rsid w:val="335402B5"/>
    <w:rsid w:val="339466B2"/>
    <w:rsid w:val="34555AF5"/>
    <w:rsid w:val="35616772"/>
    <w:rsid w:val="357F2D68"/>
    <w:rsid w:val="35B82A55"/>
    <w:rsid w:val="35EA1663"/>
    <w:rsid w:val="364C598E"/>
    <w:rsid w:val="36CC2B0F"/>
    <w:rsid w:val="371A614D"/>
    <w:rsid w:val="3838492F"/>
    <w:rsid w:val="387258D7"/>
    <w:rsid w:val="3887374F"/>
    <w:rsid w:val="38AF6637"/>
    <w:rsid w:val="39041A07"/>
    <w:rsid w:val="39043B77"/>
    <w:rsid w:val="3916580F"/>
    <w:rsid w:val="393F0DCD"/>
    <w:rsid w:val="39670895"/>
    <w:rsid w:val="3A3F2BE9"/>
    <w:rsid w:val="3A657F9A"/>
    <w:rsid w:val="3A9113D4"/>
    <w:rsid w:val="3AC54F32"/>
    <w:rsid w:val="3B144A0A"/>
    <w:rsid w:val="3B1B2A0D"/>
    <w:rsid w:val="3B7C071F"/>
    <w:rsid w:val="3BC92948"/>
    <w:rsid w:val="3BE370D4"/>
    <w:rsid w:val="3C29381E"/>
    <w:rsid w:val="3C711E1D"/>
    <w:rsid w:val="3C7F463D"/>
    <w:rsid w:val="3CAE3960"/>
    <w:rsid w:val="3D365BF6"/>
    <w:rsid w:val="3DCA7DD3"/>
    <w:rsid w:val="3DF23324"/>
    <w:rsid w:val="3EA14040"/>
    <w:rsid w:val="3EE8108D"/>
    <w:rsid w:val="405745EF"/>
    <w:rsid w:val="40B80EFF"/>
    <w:rsid w:val="41A35364"/>
    <w:rsid w:val="41C31686"/>
    <w:rsid w:val="41D774D7"/>
    <w:rsid w:val="42982B4E"/>
    <w:rsid w:val="436B1E42"/>
    <w:rsid w:val="43993170"/>
    <w:rsid w:val="44054362"/>
    <w:rsid w:val="449C5E6A"/>
    <w:rsid w:val="456D114B"/>
    <w:rsid w:val="45EB670F"/>
    <w:rsid w:val="46AB7C0D"/>
    <w:rsid w:val="46D44808"/>
    <w:rsid w:val="471804A5"/>
    <w:rsid w:val="47CF49E6"/>
    <w:rsid w:val="482C77F0"/>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52DE5"/>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32260A"/>
    <w:rsid w:val="64C04AFD"/>
    <w:rsid w:val="655B0A5C"/>
    <w:rsid w:val="661A7B69"/>
    <w:rsid w:val="664909C1"/>
    <w:rsid w:val="66C63EB5"/>
    <w:rsid w:val="677772D0"/>
    <w:rsid w:val="679461D3"/>
    <w:rsid w:val="6858287E"/>
    <w:rsid w:val="68B04002"/>
    <w:rsid w:val="69157114"/>
    <w:rsid w:val="691A443E"/>
    <w:rsid w:val="6A80735F"/>
    <w:rsid w:val="6ACC5E47"/>
    <w:rsid w:val="6AD43ED1"/>
    <w:rsid w:val="6B11024D"/>
    <w:rsid w:val="6B7D5B36"/>
    <w:rsid w:val="6CF120A8"/>
    <w:rsid w:val="714213DD"/>
    <w:rsid w:val="717F272E"/>
    <w:rsid w:val="71F5542B"/>
    <w:rsid w:val="728027C6"/>
    <w:rsid w:val="72D54D7C"/>
    <w:rsid w:val="737664E0"/>
    <w:rsid w:val="73FE7ACC"/>
    <w:rsid w:val="74053F35"/>
    <w:rsid w:val="74556746"/>
    <w:rsid w:val="745C57C3"/>
    <w:rsid w:val="74AB7A24"/>
    <w:rsid w:val="76BB79B1"/>
    <w:rsid w:val="76C17E06"/>
    <w:rsid w:val="76CA67BD"/>
    <w:rsid w:val="773446E4"/>
    <w:rsid w:val="774E6400"/>
    <w:rsid w:val="775B0046"/>
    <w:rsid w:val="78796248"/>
    <w:rsid w:val="79700BEF"/>
    <w:rsid w:val="79E36728"/>
    <w:rsid w:val="79F85634"/>
    <w:rsid w:val="7A090695"/>
    <w:rsid w:val="7AE175F4"/>
    <w:rsid w:val="7B417685"/>
    <w:rsid w:val="7B453290"/>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WPS_1702537935</cp:lastModifiedBy>
  <cp:lastPrinted>2024-01-31T01:56:48Z</cp:lastPrinted>
  <dcterms:modified xsi:type="dcterms:W3CDTF">2024-01-31T02:56:12Z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