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numPr>
          <w:ilvl w:val="0"/>
          <w:numId w:val="0"/>
        </w:numPr>
        <w:shd w:val="clear" w:color="auto" w:fill="auto"/>
        <w:jc w:val="center"/>
      </w:pPr>
      <w:r>
        <w:rPr>
          <w:rFonts w:eastAsia="方正小标宋简体"/>
          <w:sz w:val="48"/>
          <w:szCs w:val="44"/>
        </w:rPr>
        <w:t>中国共产主义青年团通榆县委员会</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hint="eastAsia" w:ascii="黑体" w:hAnsi="黑体" w:eastAsia="黑体" w:cs="黑体"/>
        </w:rPr>
      </w:pPr>
      <w:r>
        <w:rPr>
          <w:rFonts w:hint="eastAsia" w:ascii="黑体" w:hAnsi="黑体" w:eastAsia="黑体" w:cs="黑体"/>
        </w:rPr>
        <w:t>一、主要职能</w:t>
      </w:r>
    </w:p>
    <w:p>
      <w:pPr>
        <w:pStyle w:val="3"/>
        <w:keepNext w:val="0"/>
        <w:keepLines w:val="0"/>
        <w:pageBreakBefore w:val="0"/>
        <w:kinsoku/>
        <w:wordWrap/>
        <w:overflowPunct/>
        <w:topLinePunct w:val="0"/>
        <w:autoSpaceDE/>
        <w:autoSpaceDN/>
        <w:bidi w:val="0"/>
        <w:adjustRightInd/>
        <w:snapToGrid/>
        <w:spacing w:after="0" w:line="576" w:lineRule="exact"/>
        <w:ind w:left="0" w:right="0" w:firstLine="640" w:firstLineChars="200"/>
        <w:jc w:val="both"/>
        <w:textAlignment w:val="auto"/>
        <w:rPr>
          <w:rFonts w:hint="eastAsia" w:ascii="仿宋" w:hAnsi="仿宋" w:eastAsia="仿宋" w:cs="仿宋"/>
        </w:rPr>
      </w:pPr>
      <w:r>
        <w:rPr>
          <w:rFonts w:hint="eastAsia" w:ascii="仿宋" w:hAnsi="仿宋" w:eastAsia="仿宋" w:cs="仿宋"/>
        </w:rPr>
        <w:t>1</w:t>
      </w:r>
      <w:r>
        <w:rPr>
          <w:rFonts w:hint="eastAsia" w:ascii="仿宋" w:hAnsi="仿宋" w:eastAsia="仿宋" w:cs="仿宋"/>
          <w:spacing w:val="-10"/>
        </w:rPr>
        <w:t>、认真宣传贯彻执行团的章程。组织全县团员和青年学习</w:t>
      </w:r>
      <w:r>
        <w:rPr>
          <w:rFonts w:hint="eastAsia" w:ascii="仿宋" w:hAnsi="仿宋" w:eastAsia="仿宋" w:cs="仿宋"/>
        </w:rPr>
        <w:t xml:space="preserve">马列主义、毛泽东思想，学习党的路线、方针、政策，学习科学文化和业务知识，继承党的优良传统，艰苦创业，培养跨世纪接班人。 </w:t>
      </w:r>
    </w:p>
    <w:p>
      <w:pPr>
        <w:pStyle w:val="3"/>
        <w:keepNext w:val="0"/>
        <w:keepLines w:val="0"/>
        <w:pageBreakBefore w:val="0"/>
        <w:kinsoku/>
        <w:wordWrap/>
        <w:overflowPunct/>
        <w:topLinePunct w:val="0"/>
        <w:autoSpaceDE/>
        <w:autoSpaceDN/>
        <w:bidi w:val="0"/>
        <w:adjustRightInd/>
        <w:snapToGrid/>
        <w:spacing w:line="576" w:lineRule="exact"/>
        <w:ind w:left="0" w:right="0" w:firstLine="640" w:firstLineChars="200"/>
        <w:textAlignment w:val="auto"/>
        <w:rPr>
          <w:rFonts w:hint="eastAsia" w:ascii="仿宋" w:hAnsi="仿宋" w:eastAsia="仿宋" w:cs="仿宋"/>
        </w:rPr>
      </w:pPr>
      <w:r>
        <w:rPr>
          <w:rFonts w:hint="eastAsia" w:ascii="仿宋" w:hAnsi="仿宋" w:eastAsia="仿宋" w:cs="仿宋"/>
        </w:rPr>
        <w:t xml:space="preserve">2、团结带领全县广大团员青年以经济建设为中心，锐意改革，为发展全县经济冲锋在前。 </w:t>
      </w:r>
    </w:p>
    <w:p>
      <w:pPr>
        <w:pStyle w:val="3"/>
        <w:keepNext w:val="0"/>
        <w:keepLines w:val="0"/>
        <w:pageBreakBefore w:val="0"/>
        <w:kinsoku/>
        <w:wordWrap/>
        <w:overflowPunct/>
        <w:topLinePunct w:val="0"/>
        <w:autoSpaceDE/>
        <w:autoSpaceDN/>
        <w:bidi w:val="0"/>
        <w:adjustRightInd/>
        <w:snapToGrid/>
        <w:spacing w:line="576" w:lineRule="exact"/>
        <w:ind w:left="0" w:right="0" w:firstLine="640" w:firstLineChars="200"/>
        <w:textAlignment w:val="auto"/>
        <w:rPr>
          <w:rFonts w:hint="eastAsia" w:ascii="仿宋" w:hAnsi="仿宋" w:eastAsia="仿宋" w:cs="仿宋"/>
        </w:rPr>
      </w:pPr>
      <w:r>
        <w:rPr>
          <w:rFonts w:hint="eastAsia" w:ascii="仿宋" w:hAnsi="仿宋" w:eastAsia="仿宋" w:cs="仿宋"/>
        </w:rPr>
        <w:t xml:space="preserve">3、指导基层团组织制定全县教育和管理团员青年规划，并组织实施。 </w:t>
      </w:r>
    </w:p>
    <w:p>
      <w:pPr>
        <w:pStyle w:val="3"/>
        <w:keepNext w:val="0"/>
        <w:keepLines w:val="0"/>
        <w:pageBreakBefore w:val="0"/>
        <w:kinsoku/>
        <w:wordWrap/>
        <w:overflowPunct/>
        <w:topLinePunct w:val="0"/>
        <w:autoSpaceDE/>
        <w:autoSpaceDN/>
        <w:bidi w:val="0"/>
        <w:adjustRightInd/>
        <w:snapToGrid/>
        <w:spacing w:line="576" w:lineRule="exact"/>
        <w:ind w:left="0" w:right="0" w:firstLine="640" w:firstLineChars="200"/>
        <w:textAlignment w:val="auto"/>
        <w:rPr>
          <w:rFonts w:hint="eastAsia" w:ascii="仿宋" w:hAnsi="仿宋" w:eastAsia="仿宋" w:cs="仿宋"/>
        </w:rPr>
      </w:pPr>
      <w:r>
        <w:rPr>
          <w:rFonts w:hint="eastAsia" w:ascii="仿宋" w:hAnsi="仿宋" w:eastAsia="仿宋" w:cs="仿宋"/>
        </w:rPr>
        <w:t xml:space="preserve">4、搞好调查研究掌握团员青年思想动态，积极开展有利于团员青年健康成长的文化娱乐、体育活动。 </w:t>
      </w:r>
    </w:p>
    <w:p>
      <w:pPr>
        <w:pStyle w:val="3"/>
        <w:keepNext w:val="0"/>
        <w:keepLines w:val="0"/>
        <w:pageBreakBefore w:val="0"/>
        <w:kinsoku/>
        <w:wordWrap/>
        <w:overflowPunct/>
        <w:topLinePunct w:val="0"/>
        <w:autoSpaceDE/>
        <w:autoSpaceDN/>
        <w:bidi w:val="0"/>
        <w:adjustRightInd/>
        <w:snapToGrid/>
        <w:spacing w:line="576" w:lineRule="exact"/>
        <w:ind w:left="0" w:right="0" w:firstLine="640" w:firstLineChars="200"/>
        <w:textAlignment w:val="auto"/>
        <w:rPr>
          <w:rFonts w:hint="eastAsia" w:ascii="仿宋" w:hAnsi="仿宋" w:eastAsia="仿宋" w:cs="仿宋"/>
        </w:rPr>
      </w:pPr>
      <w:r>
        <w:rPr>
          <w:rFonts w:hint="eastAsia" w:ascii="仿宋" w:hAnsi="仿宋" w:eastAsia="仿宋" w:cs="仿宋"/>
        </w:rPr>
        <w:t>5</w:t>
      </w:r>
      <w:r>
        <w:rPr>
          <w:rFonts w:hint="eastAsia" w:ascii="仿宋" w:hAnsi="仿宋" w:eastAsia="仿宋" w:cs="仿宋"/>
          <w:spacing w:val="-18"/>
        </w:rPr>
        <w:t>、</w:t>
      </w:r>
      <w:r>
        <w:rPr>
          <w:rFonts w:hint="eastAsia" w:ascii="仿宋" w:hAnsi="仿宋" w:eastAsia="仿宋" w:cs="仿宋"/>
        </w:rPr>
        <w:t xml:space="preserve">制定全县团的发展规划，搞好组织发展；负责收缴团费， 管理使用团费。 </w:t>
      </w:r>
    </w:p>
    <w:p>
      <w:pPr>
        <w:pStyle w:val="3"/>
        <w:keepNext w:val="0"/>
        <w:keepLines w:val="0"/>
        <w:pageBreakBefore w:val="0"/>
        <w:kinsoku/>
        <w:wordWrap/>
        <w:overflowPunct/>
        <w:topLinePunct w:val="0"/>
        <w:autoSpaceDE/>
        <w:autoSpaceDN/>
        <w:bidi w:val="0"/>
        <w:adjustRightInd/>
        <w:snapToGrid/>
        <w:spacing w:line="576" w:lineRule="exact"/>
        <w:ind w:left="0" w:right="0" w:firstLine="640" w:firstLineChars="200"/>
        <w:textAlignment w:val="auto"/>
        <w:rPr>
          <w:rFonts w:hint="eastAsia" w:ascii="仿宋" w:hAnsi="仿宋" w:eastAsia="仿宋" w:cs="仿宋"/>
        </w:rPr>
      </w:pPr>
      <w:r>
        <w:rPr>
          <w:rFonts w:hint="eastAsia" w:ascii="仿宋" w:hAnsi="仿宋" w:eastAsia="仿宋" w:cs="仿宋"/>
        </w:rPr>
        <w:t xml:space="preserve">6、完成县委交办的其它工作任务。 </w:t>
      </w:r>
    </w:p>
    <w:p>
      <w:pPr>
        <w:pStyle w:val="3"/>
        <w:keepNext w:val="0"/>
        <w:keepLines w:val="0"/>
        <w:pageBreakBefore w:val="0"/>
        <w:kinsoku/>
        <w:wordWrap/>
        <w:overflowPunct/>
        <w:topLinePunct w:val="0"/>
        <w:autoSpaceDE/>
        <w:autoSpaceDN/>
        <w:bidi w:val="0"/>
        <w:adjustRightInd/>
        <w:snapToGrid/>
        <w:spacing w:after="0" w:line="576" w:lineRule="exact"/>
        <w:ind w:left="0" w:right="0" w:firstLine="640" w:firstLineChars="200"/>
        <w:textAlignment w:val="auto"/>
        <w:rPr>
          <w:rFonts w:hint="eastAsia" w:ascii="黑体" w:hAnsi="黑体" w:eastAsia="黑体" w:cs="黑体"/>
        </w:rPr>
      </w:pPr>
      <w:r>
        <w:rPr>
          <w:rFonts w:hint="eastAsia" w:ascii="黑体" w:hAnsi="黑体" w:eastAsia="黑体" w:cs="黑体"/>
        </w:rPr>
        <w:t>二、机构设置</w:t>
      </w:r>
    </w:p>
    <w:p>
      <w:pPr>
        <w:pStyle w:val="3"/>
        <w:keepNext w:val="0"/>
        <w:keepLines w:val="0"/>
        <w:pageBreakBefore w:val="0"/>
        <w:kinsoku/>
        <w:wordWrap/>
        <w:overflowPunct/>
        <w:topLinePunct w:val="0"/>
        <w:autoSpaceDE/>
        <w:autoSpaceDN/>
        <w:bidi w:val="0"/>
        <w:adjustRightInd/>
        <w:snapToGrid/>
        <w:spacing w:after="0" w:line="576"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rPr>
        <w:t>共青团通榆县委共有行政编制 4 个，在</w:t>
      </w:r>
      <w:r>
        <w:rPr>
          <w:rFonts w:hint="eastAsia" w:ascii="仿宋" w:hAnsi="仿宋" w:eastAsia="仿宋" w:cs="仿宋"/>
          <w:lang w:val="en-US" w:eastAsia="zh-CN"/>
        </w:rPr>
        <w:t xml:space="preserve">  </w:t>
      </w:r>
      <w:r>
        <w:rPr>
          <w:rFonts w:hint="eastAsia" w:ascii="仿宋" w:hAnsi="仿宋" w:eastAsia="仿宋" w:cs="仿宋"/>
        </w:rPr>
        <w:t xml:space="preserve">职 </w:t>
      </w:r>
      <w:r>
        <w:rPr>
          <w:rFonts w:hint="eastAsia" w:ascii="仿宋" w:hAnsi="仿宋" w:eastAsia="仿宋" w:cs="仿宋"/>
          <w:lang w:val="en-US" w:eastAsia="zh-CN"/>
        </w:rPr>
        <w:t xml:space="preserve"> </w:t>
      </w:r>
      <w:r>
        <w:rPr>
          <w:rFonts w:hint="eastAsia" w:ascii="仿宋" w:hAnsi="仿宋" w:eastAsia="仿宋" w:cs="仿宋"/>
        </w:rPr>
        <w:t>4 人。机</w:t>
      </w:r>
      <w:r>
        <w:rPr>
          <w:rFonts w:hint="eastAsia" w:ascii="仿宋" w:hAnsi="仿宋" w:eastAsia="仿宋" w:cs="仿宋"/>
          <w:lang w:val="en-US" w:eastAsia="zh-CN"/>
        </w:rPr>
        <w:t xml:space="preserve"> </w:t>
      </w:r>
      <w:r>
        <w:rPr>
          <w:rFonts w:hint="eastAsia" w:ascii="仿宋" w:hAnsi="仿宋" w:eastAsia="仿宋" w:cs="仿宋"/>
        </w:rPr>
        <w:t>关</w:t>
      </w:r>
      <w:r>
        <w:rPr>
          <w:rFonts w:hint="eastAsia" w:ascii="仿宋" w:hAnsi="仿宋" w:eastAsia="仿宋" w:cs="仿宋"/>
          <w:lang w:val="en-US" w:eastAsia="zh-CN"/>
        </w:rPr>
        <w:t xml:space="preserve"> </w:t>
      </w:r>
      <w:r>
        <w:rPr>
          <w:rFonts w:hint="eastAsia" w:ascii="仿宋" w:hAnsi="仿宋" w:eastAsia="仿宋" w:cs="仿宋"/>
        </w:rPr>
        <w:t>内</w:t>
      </w:r>
      <w:r>
        <w:rPr>
          <w:rFonts w:hint="eastAsia" w:ascii="仿宋" w:hAnsi="仿宋" w:eastAsia="仿宋" w:cs="仿宋"/>
          <w:lang w:val="en-US" w:eastAsia="zh-CN"/>
        </w:rPr>
        <w:t xml:space="preserve"> </w:t>
      </w:r>
      <w:r>
        <w:rPr>
          <w:rFonts w:hint="eastAsia" w:ascii="仿宋" w:hAnsi="仿宋" w:eastAsia="仿宋" w:cs="仿宋"/>
        </w:rPr>
        <w:t>设 2 个部门，分别为组宣部（办公室）、基层部（学少部、少工委办公室）。</w:t>
      </w:r>
      <w:r>
        <w:rPr>
          <w:rFonts w:hint="eastAsia" w:ascii="仿宋" w:hAnsi="仿宋" w:eastAsia="仿宋" w:cs="仿宋"/>
          <w:sz w:val="32"/>
          <w:szCs w:val="32"/>
        </w:rPr>
        <w:t xml:space="preserve"> </w:t>
      </w:r>
    </w:p>
    <w:p>
      <w:pPr>
        <w:pStyle w:val="3"/>
        <w:keepNext w:val="0"/>
        <w:keepLines w:val="0"/>
        <w:pageBreakBefore w:val="0"/>
        <w:kinsoku/>
        <w:wordWrap/>
        <w:overflowPunct/>
        <w:topLinePunct w:val="0"/>
        <w:autoSpaceDE/>
        <w:autoSpaceDN/>
        <w:bidi w:val="0"/>
        <w:adjustRightInd/>
        <w:snapToGrid/>
        <w:spacing w:after="0" w:line="576" w:lineRule="exact"/>
        <w:ind w:left="0" w:right="0" w:firstLine="640" w:firstLineChars="200"/>
        <w:jc w:val="both"/>
        <w:textAlignment w:val="auto"/>
        <w:rPr>
          <w:rFonts w:hint="eastAsia" w:ascii="仿宋" w:hAnsi="仿宋" w:eastAsia="仿宋" w:cs="仿宋"/>
        </w:rPr>
      </w:pPr>
      <w:r>
        <w:rPr>
          <w:rFonts w:hint="eastAsia" w:ascii="仿宋" w:hAnsi="仿宋" w:eastAsia="仿宋" w:cs="仿宋"/>
        </w:rPr>
        <w:t xml:space="preserve">1、组宣部（办公室）。主要负责推进团的基层组织建设和团员队伍建设；负责基层团组织年度工作考核以及团内评选表彰、团的基层阵地建设、基层团干部教育培训，重点推进“吉青家园”建设；指导全县团的宣传工作、团员青年理论学习工作，指导团的网络新媒体建设和网络舆论引导工作，加强“网上共青团”建设；做好文书、人事、保密、档案、报刊以及机关党支部、机关行政后勤等工作；加强社会组织、志愿服务、青少年事务社工队伍建设；进一步做好各界青年的团结工作， 不断巩固和扩大青年爱国统一战线工作。 </w:t>
      </w:r>
    </w:p>
    <w:p>
      <w:pPr>
        <w:pStyle w:val="86"/>
        <w:keepNext w:val="0"/>
        <w:keepLines w:val="0"/>
        <w:pageBreakBefore w:val="0"/>
        <w:numPr>
          <w:ilvl w:val="0"/>
          <w:numId w:val="0"/>
        </w:numPr>
        <w:tabs>
          <w:tab w:val="left" w:pos="1559"/>
        </w:tabs>
        <w:kinsoku/>
        <w:wordWrap/>
        <w:overflowPunct/>
        <w:topLinePunct w:val="0"/>
        <w:autoSpaceDE/>
        <w:autoSpaceDN/>
        <w:bidi w:val="0"/>
        <w:adjustRightInd/>
        <w:snapToGrid/>
        <w:spacing w:after="0" w:line="576" w:lineRule="exact"/>
        <w:ind w:left="0" w:right="0" w:firstLine="652" w:firstLineChars="200"/>
        <w:jc w:val="both"/>
        <w:textAlignment w:val="auto"/>
        <w:rPr>
          <w:rFonts w:hint="eastAsia" w:ascii="仿宋" w:hAnsi="仿宋" w:eastAsia="仿宋" w:cs="仿宋"/>
          <w:sz w:val="32"/>
          <w:szCs w:val="32"/>
        </w:rPr>
      </w:pPr>
      <w:r>
        <w:rPr>
          <w:rFonts w:hint="eastAsia" w:ascii="仿宋" w:hAnsi="仿宋" w:eastAsia="仿宋" w:cs="仿宋"/>
          <w:spacing w:val="3"/>
          <w:sz w:val="32"/>
          <w:szCs w:val="32"/>
        </w:rPr>
        <w:t>2、基层部（学少部、少工委办公室</w:t>
      </w:r>
      <w:r>
        <w:rPr>
          <w:rFonts w:hint="eastAsia" w:ascii="仿宋" w:hAnsi="仿宋" w:eastAsia="仿宋" w:cs="仿宋"/>
          <w:spacing w:val="-157"/>
          <w:sz w:val="32"/>
          <w:szCs w:val="32"/>
        </w:rPr>
        <w:t>）</w:t>
      </w:r>
      <w:r>
        <w:rPr>
          <w:rFonts w:hint="eastAsia" w:ascii="仿宋" w:hAnsi="仿宋" w:eastAsia="仿宋" w:cs="仿宋"/>
          <w:spacing w:val="2"/>
          <w:sz w:val="32"/>
          <w:szCs w:val="32"/>
        </w:rPr>
        <w:t>。主要负责农村青</w:t>
      </w:r>
      <w:r>
        <w:rPr>
          <w:rFonts w:hint="eastAsia" w:ascii="仿宋" w:hAnsi="仿宋" w:eastAsia="仿宋" w:cs="仿宋"/>
          <w:spacing w:val="-6"/>
          <w:sz w:val="32"/>
          <w:szCs w:val="32"/>
        </w:rPr>
        <w:t>年和城市青年发展工作；促进青年发展的研究规划、政策争取、</w:t>
      </w:r>
      <w:r>
        <w:rPr>
          <w:rFonts w:hint="eastAsia" w:ascii="仿宋" w:hAnsi="仿宋" w:eastAsia="仿宋" w:cs="仿宋"/>
          <w:spacing w:val="2"/>
          <w:sz w:val="32"/>
          <w:szCs w:val="32"/>
        </w:rPr>
        <w:t>资源整合及服务青年重点项目的推动；负责维护青少年权益工作；负责中学、中职共青团和少先队工作，了解和研究青年学生和少年儿童思想动态，指导学校、少先队开展各类文化体育活动和阵地建设等工作。</w:t>
      </w:r>
    </w:p>
    <w:p>
      <w:pPr>
        <w:pStyle w:val="53"/>
        <w:ind w:firstLine="640" w:firstLineChars="200"/>
        <w:rPr>
          <w:rFonts w:eastAsia="楷体"/>
        </w:rPr>
      </w:pPr>
    </w:p>
    <w:p>
      <w:pPr>
        <w:pStyle w:val="53"/>
        <w:ind w:firstLine="640" w:firstLineChars="200"/>
        <w:rPr>
          <w:rFonts w:hAnsi="楷体" w:eastAsia="楷体"/>
        </w:rPr>
      </w:pPr>
    </w:p>
    <w:p>
      <w:pPr>
        <w:pStyle w:val="53"/>
        <w:ind w:firstLine="640" w:firstLineChars="200"/>
        <w:rPr>
          <w:rFonts w:hAnsi="楷体" w:eastAsia="楷体"/>
        </w:rPr>
      </w:pPr>
    </w:p>
    <w:p>
      <w:pPr>
        <w:pStyle w:val="53"/>
        <w:ind w:firstLine="640" w:firstLineChars="200"/>
        <w:rPr>
          <w:rFonts w:hAnsi="楷体" w:eastAsia="楷体"/>
        </w:rPr>
      </w:pPr>
    </w:p>
    <w:p>
      <w:pPr>
        <w:pStyle w:val="53"/>
        <w:ind w:firstLine="640" w:firstLineChars="200"/>
        <w:rPr>
          <w:rFonts w:hAnsi="楷体" w:eastAsia="楷体"/>
        </w:rPr>
      </w:pPr>
    </w:p>
    <w:p>
      <w:pPr>
        <w:pStyle w:val="53"/>
        <w:ind w:firstLine="640" w:firstLineChars="200"/>
        <w:rPr>
          <w:rFonts w:hAnsi="楷体" w:eastAsia="楷体"/>
        </w:rPr>
      </w:pPr>
    </w:p>
    <w:p>
      <w:pPr>
        <w:pStyle w:val="53"/>
        <w:ind w:firstLine="640" w:firstLineChars="200"/>
        <w:rPr>
          <w:rFonts w:hAnsi="楷体" w:eastAsia="楷体"/>
        </w:rPr>
      </w:pPr>
    </w:p>
    <w:p>
      <w:pPr>
        <w:pStyle w:val="53"/>
        <w:ind w:firstLine="640" w:firstLineChars="200"/>
        <w:rPr>
          <w:rFonts w:hAnsi="楷体" w:eastAsia="楷体"/>
        </w:rPr>
      </w:pPr>
    </w:p>
    <w:p>
      <w:pPr>
        <w:pStyle w:val="53"/>
        <w:ind w:firstLine="640" w:firstLineChars="200"/>
        <w:rPr>
          <w:rFonts w:hAnsi="楷体" w:eastAsia="楷体"/>
        </w:rPr>
      </w:pPr>
    </w:p>
    <w:p>
      <w:pPr>
        <w:jc w:val="center"/>
        <w:rPr>
          <w:rFonts w:eastAsia="黑体"/>
          <w:sz w:val="36"/>
          <w:szCs w:val="36"/>
        </w:rPr>
      </w:pPr>
      <w:r>
        <w:rPr>
          <w:rFonts w:eastAsia="黑体"/>
          <w:sz w:val="36"/>
          <w:szCs w:val="36"/>
        </w:rPr>
        <w:t>第二部分 预算表格</w:t>
      </w:r>
    </w:p>
    <w:tbl>
      <w:tblPr>
        <w:tblStyle w:val="11"/>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68.01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68.01</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55.4</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6.43</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3.9</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2.28</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2.28</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68.01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68.01</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68.01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68.01</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68.01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68.01</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68.01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68.01</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1"/>
        <w:tblW w:w="8971" w:type="dxa"/>
        <w:jc w:val="center"/>
        <w:tblLayout w:type="fixed"/>
        <w:tblCellMar>
          <w:top w:w="0" w:type="dxa"/>
          <w:left w:w="108" w:type="dxa"/>
          <w:bottom w:w="0" w:type="dxa"/>
          <w:right w:w="108" w:type="dxa"/>
        </w:tblCellMar>
      </w:tblPr>
      <w:tblGrid>
        <w:gridCol w:w="428"/>
        <w:gridCol w:w="1000"/>
        <w:gridCol w:w="513"/>
        <w:gridCol w:w="478"/>
        <w:gridCol w:w="415"/>
        <w:gridCol w:w="301"/>
        <w:gridCol w:w="416"/>
        <w:gridCol w:w="416"/>
        <w:gridCol w:w="416"/>
        <w:gridCol w:w="175"/>
        <w:gridCol w:w="241"/>
        <w:gridCol w:w="416"/>
        <w:gridCol w:w="404"/>
        <w:gridCol w:w="12"/>
        <w:gridCol w:w="373"/>
        <w:gridCol w:w="43"/>
        <w:gridCol w:w="103"/>
        <w:gridCol w:w="313"/>
        <w:gridCol w:w="218"/>
        <w:gridCol w:w="198"/>
        <w:gridCol w:w="333"/>
        <w:gridCol w:w="83"/>
        <w:gridCol w:w="416"/>
        <w:gridCol w:w="416"/>
        <w:gridCol w:w="416"/>
        <w:gridCol w:w="385"/>
        <w:gridCol w:w="43"/>
      </w:tblGrid>
      <w:tr>
        <w:tblPrEx>
          <w:tblCellMar>
            <w:top w:w="0" w:type="dxa"/>
            <w:left w:w="108" w:type="dxa"/>
            <w:bottom w:w="0" w:type="dxa"/>
            <w:right w:w="108" w:type="dxa"/>
          </w:tblCellMar>
        </w:tblPrEx>
        <w:trPr>
          <w:gridAfter w:val="1"/>
          <w:wAfter w:w="43"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53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43" w:type="dxa"/>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13"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063"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13"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0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16"/>
                <w:szCs w:val="16"/>
              </w:rPr>
            </w:pPr>
            <w:r>
              <w:rPr>
                <w:rFonts w:hint="eastAsia" w:eastAsia="宋体"/>
                <w:color w:val="000000"/>
                <w:sz w:val="16"/>
                <w:szCs w:val="16"/>
              </w:rPr>
              <w:t>中国共产主义青年团通榆县委员会</w:t>
            </w:r>
          </w:p>
        </w:tc>
        <w:tc>
          <w:tcPr>
            <w:tcW w:w="51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68.01</w:t>
            </w:r>
          </w:p>
        </w:tc>
        <w:tc>
          <w:tcPr>
            <w:tcW w:w="47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68.01</w:t>
            </w:r>
          </w:p>
        </w:tc>
        <w:tc>
          <w:tcPr>
            <w:tcW w:w="41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68.01</w:t>
            </w:r>
          </w:p>
        </w:tc>
        <w:tc>
          <w:tcPr>
            <w:tcW w:w="301"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68.01</w:t>
            </w: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68.01</w:t>
            </w:r>
          </w:p>
        </w:tc>
        <w:tc>
          <w:tcPr>
            <w:tcW w:w="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68.01</w:t>
            </w: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1"/>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1"/>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1"/>
                      <w:szCs w:val="11"/>
                    </w:rPr>
                  </w:pPr>
                  <w:r>
                    <w:rPr>
                      <w:rFonts w:hint="default" w:ascii="Verdana" w:hAnsi="Verdana" w:eastAsia="宋体" w:cs="Verdana"/>
                      <w:i w:val="0"/>
                      <w:iCs w:val="0"/>
                      <w:color w:val="000000"/>
                      <w:kern w:val="0"/>
                      <w:sz w:val="16"/>
                      <w:szCs w:val="16"/>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11"/>
                      <w:szCs w:val="11"/>
                      <w:lang w:val="en-US" w:eastAsia="zh-CN"/>
                    </w:rPr>
                  </w:pPr>
                  <w:r>
                    <w:rPr>
                      <w:rFonts w:hint="eastAsia" w:ascii="Verdana" w:hAnsi="Verdana" w:eastAsia="宋体" w:cs="Verdana"/>
                      <w:i w:val="0"/>
                      <w:iCs w:val="0"/>
                      <w:color w:val="000000"/>
                      <w:kern w:val="0"/>
                      <w:sz w:val="16"/>
                      <w:szCs w:val="16"/>
                      <w:u w:val="none"/>
                      <w:lang w:val="en-US" w:eastAsia="zh-CN" w:bidi="ar"/>
                    </w:rPr>
                    <w:t>55.40</w:t>
                  </w:r>
                  <w:r>
                    <w:rPr>
                      <w:rFonts w:hint="default" w:ascii="Verdana" w:hAnsi="Verdana" w:eastAsia="宋体" w:cs="Verdana"/>
                      <w:i w:val="0"/>
                      <w:iCs w:val="0"/>
                      <w:color w:val="000000"/>
                      <w:kern w:val="0"/>
                      <w:sz w:val="16"/>
                      <w:szCs w:val="16"/>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11"/>
                      <w:szCs w:val="11"/>
                      <w:lang w:val="en-US" w:eastAsia="zh-CN"/>
                    </w:rPr>
                  </w:pPr>
                  <w:r>
                    <w:rPr>
                      <w:rFonts w:hint="eastAsia" w:ascii="Verdana" w:hAnsi="Verdana" w:eastAsia="宋体" w:cs="Verdana"/>
                      <w:i w:val="0"/>
                      <w:iCs w:val="0"/>
                      <w:color w:val="000000"/>
                      <w:kern w:val="0"/>
                      <w:sz w:val="16"/>
                      <w:szCs w:val="16"/>
                      <w:u w:val="none"/>
                      <w:lang w:val="en-US" w:eastAsia="zh-CN" w:bidi="ar"/>
                    </w:rPr>
                    <w:t>41.90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13.50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11"/>
                      <w:szCs w:val="11"/>
                    </w:rPr>
                  </w:pPr>
                  <w:r>
                    <w:rPr>
                      <w:rFonts w:hint="default" w:ascii="Verdana" w:hAnsi="Verdana" w:eastAsia="宋体" w:cs="Verdana"/>
                      <w:i w:val="0"/>
                      <w:iCs w:val="0"/>
                      <w:color w:val="000000"/>
                      <w:kern w:val="0"/>
                      <w:sz w:val="16"/>
                      <w:szCs w:val="16"/>
                      <w:u w:val="none"/>
                      <w:lang w:val="en-US" w:eastAsia="zh-CN" w:bidi="ar"/>
                    </w:rPr>
                    <w:t>　群众团体事务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11"/>
                      <w:szCs w:val="11"/>
                    </w:rPr>
                  </w:pPr>
                  <w:r>
                    <w:rPr>
                      <w:rFonts w:hint="eastAsia" w:ascii="Verdana" w:hAnsi="Verdana" w:eastAsia="宋体" w:cs="Verdana"/>
                      <w:i w:val="0"/>
                      <w:iCs w:val="0"/>
                      <w:color w:val="000000"/>
                      <w:kern w:val="0"/>
                      <w:sz w:val="16"/>
                      <w:szCs w:val="16"/>
                      <w:u w:val="none"/>
                      <w:lang w:val="en-US" w:eastAsia="zh-CN" w:bidi="ar"/>
                    </w:rPr>
                    <w:t>55.40</w:t>
                  </w:r>
                  <w:r>
                    <w:rPr>
                      <w:rFonts w:hint="default" w:ascii="Verdana" w:hAnsi="Verdana" w:eastAsia="宋体" w:cs="Verdana"/>
                      <w:i w:val="0"/>
                      <w:iCs w:val="0"/>
                      <w:color w:val="000000"/>
                      <w:kern w:val="0"/>
                      <w:sz w:val="16"/>
                      <w:szCs w:val="16"/>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11"/>
                      <w:szCs w:val="11"/>
                    </w:rPr>
                  </w:pPr>
                  <w:r>
                    <w:rPr>
                      <w:rFonts w:hint="eastAsia" w:ascii="Verdana" w:hAnsi="Verdana" w:eastAsia="宋体" w:cs="Verdana"/>
                      <w:i w:val="0"/>
                      <w:iCs w:val="0"/>
                      <w:color w:val="000000"/>
                      <w:kern w:val="0"/>
                      <w:sz w:val="16"/>
                      <w:szCs w:val="16"/>
                      <w:u w:val="none"/>
                      <w:lang w:val="en-US" w:eastAsia="zh-CN" w:bidi="ar"/>
                    </w:rPr>
                    <w:t>41.90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13.50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11"/>
                      <w:szCs w:val="11"/>
                    </w:rPr>
                  </w:pPr>
                  <w:r>
                    <w:rPr>
                      <w:rFonts w:hint="default" w:ascii="Verdana" w:hAnsi="Verdana" w:eastAsia="宋体" w:cs="Verdana"/>
                      <w:i w:val="0"/>
                      <w:iCs w:val="0"/>
                      <w:color w:val="000000"/>
                      <w:kern w:val="0"/>
                      <w:sz w:val="16"/>
                      <w:szCs w:val="16"/>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11"/>
                      <w:szCs w:val="11"/>
                    </w:rPr>
                  </w:pPr>
                  <w:r>
                    <w:rPr>
                      <w:rFonts w:hint="eastAsia" w:ascii="Verdana" w:hAnsi="Verdana" w:eastAsia="宋体" w:cs="Verdana"/>
                      <w:i w:val="0"/>
                      <w:iCs w:val="0"/>
                      <w:color w:val="000000"/>
                      <w:kern w:val="0"/>
                      <w:sz w:val="16"/>
                      <w:szCs w:val="16"/>
                      <w:u w:val="none"/>
                      <w:lang w:val="en-US" w:eastAsia="zh-CN" w:bidi="ar"/>
                    </w:rPr>
                    <w:t>55.40</w:t>
                  </w:r>
                  <w:r>
                    <w:rPr>
                      <w:rFonts w:hint="default" w:ascii="Verdana" w:hAnsi="Verdana" w:eastAsia="宋体" w:cs="Verdana"/>
                      <w:i w:val="0"/>
                      <w:iCs w:val="0"/>
                      <w:color w:val="000000"/>
                      <w:kern w:val="0"/>
                      <w:sz w:val="16"/>
                      <w:szCs w:val="16"/>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11"/>
                      <w:szCs w:val="11"/>
                      <w:lang w:val="en-US"/>
                    </w:rPr>
                  </w:pPr>
                  <w:r>
                    <w:rPr>
                      <w:rFonts w:hint="eastAsia" w:ascii="Verdana" w:hAnsi="Verdana" w:eastAsia="宋体" w:cs="Verdana"/>
                      <w:i w:val="0"/>
                      <w:iCs w:val="0"/>
                      <w:color w:val="000000"/>
                      <w:kern w:val="0"/>
                      <w:sz w:val="16"/>
                      <w:szCs w:val="16"/>
                      <w:u w:val="none"/>
                      <w:lang w:val="en-US" w:eastAsia="zh-CN" w:bidi="ar"/>
                    </w:rPr>
                    <w:t>41.9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13.50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11"/>
                      <w:szCs w:val="11"/>
                    </w:rPr>
                  </w:pPr>
                  <w:r>
                    <w:rPr>
                      <w:rFonts w:hint="default" w:ascii="Verdana" w:hAnsi="Verdana" w:eastAsia="宋体" w:cs="Verdana"/>
                      <w:i w:val="0"/>
                      <w:iCs w:val="0"/>
                      <w:color w:val="000000"/>
                      <w:kern w:val="0"/>
                      <w:sz w:val="16"/>
                      <w:szCs w:val="16"/>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11"/>
                      <w:szCs w:val="11"/>
                    </w:rPr>
                  </w:pPr>
                  <w:r>
                    <w:rPr>
                      <w:rFonts w:hint="eastAsia" w:ascii="Verdana" w:hAnsi="Verdana" w:eastAsia="宋体" w:cs="Verdana"/>
                      <w:i w:val="0"/>
                      <w:iCs w:val="0"/>
                      <w:color w:val="000000"/>
                      <w:kern w:val="0"/>
                      <w:sz w:val="16"/>
                      <w:szCs w:val="16"/>
                      <w:u w:val="none"/>
                      <w:lang w:val="en-US" w:eastAsia="zh-CN" w:bidi="ar"/>
                    </w:rPr>
                    <w:t>6.43</w:t>
                  </w:r>
                  <w:r>
                    <w:rPr>
                      <w:rFonts w:hint="default" w:ascii="Verdana" w:hAnsi="Verdana" w:eastAsia="宋体" w:cs="Verdana"/>
                      <w:i w:val="0"/>
                      <w:iCs w:val="0"/>
                      <w:color w:val="000000"/>
                      <w:kern w:val="0"/>
                      <w:sz w:val="16"/>
                      <w:szCs w:val="16"/>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11"/>
                      <w:szCs w:val="11"/>
                    </w:rPr>
                  </w:pPr>
                  <w:r>
                    <w:rPr>
                      <w:rFonts w:hint="eastAsia" w:ascii="Verdana" w:hAnsi="Verdana" w:eastAsia="宋体" w:cs="Verdana"/>
                      <w:i w:val="0"/>
                      <w:iCs w:val="0"/>
                      <w:color w:val="000000"/>
                      <w:kern w:val="0"/>
                      <w:sz w:val="16"/>
                      <w:szCs w:val="16"/>
                      <w:u w:val="none"/>
                      <w:lang w:val="en-US" w:eastAsia="zh-CN" w:bidi="ar"/>
                    </w:rPr>
                    <w:t>6.43</w:t>
                  </w:r>
                  <w:r>
                    <w:rPr>
                      <w:rFonts w:hint="default" w:ascii="Verdana" w:hAnsi="Verdana" w:eastAsia="宋体" w:cs="Verdana"/>
                      <w:i w:val="0"/>
                      <w:iCs w:val="0"/>
                      <w:color w:val="000000"/>
                      <w:kern w:val="0"/>
                      <w:sz w:val="16"/>
                      <w:szCs w:val="16"/>
                      <w:u w:val="none"/>
                      <w:lang w:val="en-US" w:eastAsia="zh-CN" w:bidi="ar"/>
                    </w:rPr>
                    <w:t xml:space="preserve">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11"/>
                      <w:szCs w:val="11"/>
                      <w:lang w:val="en-US" w:eastAsia="zh-CN" w:bidi="ar-SA"/>
                    </w:rPr>
                  </w:pPr>
                  <w:r>
                    <w:rPr>
                      <w:rFonts w:hint="default" w:ascii="Verdana" w:hAnsi="Verdana" w:eastAsia="宋体" w:cs="Verdana"/>
                      <w:i w:val="0"/>
                      <w:iCs w:val="0"/>
                      <w:color w:val="000000"/>
                      <w:kern w:val="0"/>
                      <w:sz w:val="16"/>
                      <w:szCs w:val="16"/>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6.43</w:t>
                  </w:r>
                  <w:r>
                    <w:rPr>
                      <w:rFonts w:hint="default" w:ascii="Verdana" w:hAnsi="Verdana" w:eastAsia="宋体" w:cs="Verdana"/>
                      <w:i w:val="0"/>
                      <w:iCs w:val="0"/>
                      <w:color w:val="000000"/>
                      <w:kern w:val="0"/>
                      <w:sz w:val="16"/>
                      <w:szCs w:val="16"/>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6.43</w:t>
                  </w:r>
                  <w:r>
                    <w:rPr>
                      <w:rFonts w:hint="default" w:ascii="Verdana" w:hAnsi="Verdana" w:eastAsia="宋体" w:cs="Verdana"/>
                      <w:i w:val="0"/>
                      <w:iCs w:val="0"/>
                      <w:color w:val="000000"/>
                      <w:kern w:val="0"/>
                      <w:sz w:val="16"/>
                      <w:szCs w:val="16"/>
                      <w:u w:val="none"/>
                      <w:lang w:val="en-US" w:eastAsia="zh-CN" w:bidi="ar"/>
                    </w:rPr>
                    <w:t xml:space="preserve">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11"/>
                      <w:szCs w:val="11"/>
                      <w:lang w:val="en-US" w:eastAsia="zh-CN" w:bidi="ar-SA"/>
                    </w:rPr>
                  </w:pPr>
                  <w:r>
                    <w:rPr>
                      <w:rFonts w:hint="default" w:ascii="Verdana" w:hAnsi="Verdana" w:eastAsia="宋体" w:cs="Verdana"/>
                      <w:i w:val="0"/>
                      <w:iCs w:val="0"/>
                      <w:color w:val="000000"/>
                      <w:kern w:val="0"/>
                      <w:sz w:val="16"/>
                      <w:szCs w:val="16"/>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5.19</w:t>
                  </w:r>
                  <w:r>
                    <w:rPr>
                      <w:rFonts w:hint="default" w:ascii="Verdana" w:hAnsi="Verdana" w:eastAsia="宋体" w:cs="Verdana"/>
                      <w:i w:val="0"/>
                      <w:iCs w:val="0"/>
                      <w:color w:val="000000"/>
                      <w:kern w:val="0"/>
                      <w:sz w:val="16"/>
                      <w:szCs w:val="16"/>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5.19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11"/>
                      <w:szCs w:val="11"/>
                      <w:lang w:val="en-US" w:eastAsia="zh-CN" w:bidi="ar-SA"/>
                    </w:rPr>
                  </w:pPr>
                  <w:r>
                    <w:rPr>
                      <w:rFonts w:hint="default" w:ascii="Verdana" w:hAnsi="Verdana" w:eastAsia="宋体" w:cs="Verdana"/>
                      <w:i w:val="0"/>
                      <w:iCs w:val="0"/>
                      <w:color w:val="000000"/>
                      <w:kern w:val="0"/>
                      <w:sz w:val="16"/>
                      <w:szCs w:val="16"/>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1.24</w:t>
                  </w:r>
                  <w:r>
                    <w:rPr>
                      <w:rFonts w:hint="default" w:ascii="Verdana" w:hAnsi="Verdana" w:eastAsia="宋体" w:cs="Verdana"/>
                      <w:i w:val="0"/>
                      <w:iCs w:val="0"/>
                      <w:color w:val="000000"/>
                      <w:kern w:val="0"/>
                      <w:sz w:val="16"/>
                      <w:szCs w:val="16"/>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1.24</w:t>
                  </w:r>
                  <w:r>
                    <w:rPr>
                      <w:rFonts w:hint="default" w:ascii="Verdana" w:hAnsi="Verdana" w:eastAsia="宋体" w:cs="Verdana"/>
                      <w:i w:val="0"/>
                      <w:iCs w:val="0"/>
                      <w:color w:val="000000"/>
                      <w:kern w:val="0"/>
                      <w:sz w:val="16"/>
                      <w:szCs w:val="16"/>
                      <w:u w:val="none"/>
                      <w:lang w:val="en-US" w:eastAsia="zh-CN" w:bidi="ar"/>
                    </w:rPr>
                    <w:t xml:space="preserve">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60" w:firstLineChars="1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20" w:firstLineChars="2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80" w:firstLineChars="3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640" w:firstLineChars="4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0.03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0.03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60" w:firstLineChars="1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20" w:firstLineChars="2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80" w:firstLineChars="3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68.01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54.511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13.50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11"/>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11"/>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68.01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68.01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55.4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68.01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68.01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eastAsia="宋体"/>
                      <w:kern w:val="0"/>
                      <w:sz w:val="20"/>
                      <w:lang w:val="en-US" w:eastAsia="zh-CN"/>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6.43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6.43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2.28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宋体" w:cs="Times New Roman"/>
                      <w:kern w:val="0"/>
                      <w:sz w:val="20"/>
                      <w:lang w:val="en-US" w:eastAsia="zh-CN" w:bidi="ar-SA"/>
                    </w:rPr>
                  </w:pPr>
                </w:p>
                <w:p>
                  <w:pPr>
                    <w:widowControl/>
                    <w:jc w:val="right"/>
                    <w:rPr>
                      <w:rFonts w:hint="eastAsia" w:eastAsia="宋体"/>
                      <w:kern w:val="0"/>
                      <w:sz w:val="20"/>
                      <w:lang w:val="en-US" w:eastAsia="zh-CN"/>
                    </w:rPr>
                  </w:pPr>
                  <w:r>
                    <w:rPr>
                      <w:rFonts w:hint="eastAsia" w:ascii="Times New Roman" w:hAnsi="Times New Roman" w:eastAsia="宋体" w:cs="Times New Roman"/>
                      <w:kern w:val="0"/>
                      <w:sz w:val="20"/>
                      <w:lang w:val="en-US" w:eastAsia="zh-CN" w:bidi="ar-SA"/>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r>
                    <w:rPr>
                      <w:rFonts w:hint="eastAsia" w:eastAsia="宋体"/>
                      <w:kern w:val="0"/>
                      <w:sz w:val="20"/>
                      <w:lang w:val="en-US" w:eastAsia="zh-CN"/>
                    </w:rPr>
                    <w:t>3.9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r>
                    <w:rPr>
                      <w:rFonts w:hint="eastAsia" w:eastAsia="宋体"/>
                      <w:kern w:val="0"/>
                      <w:sz w:val="20"/>
                      <w:lang w:val="en-US" w:eastAsia="zh-CN"/>
                    </w:rPr>
                    <w:t>3.9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68.01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68.01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黑体"/>
                      <w:kern w:val="0"/>
                      <w:sz w:val="20"/>
                      <w:lang w:val="en-US" w:eastAsia="zh-CN"/>
                    </w:rPr>
                  </w:pPr>
                </w:p>
                <w:p>
                  <w:pPr>
                    <w:widowControl/>
                    <w:jc w:val="right"/>
                    <w:rPr>
                      <w:rFonts w:hint="eastAsia" w:ascii="Times New Roman" w:hAnsi="Times New Roman" w:eastAsia="黑体" w:cs="Times New Roman"/>
                      <w:kern w:val="0"/>
                      <w:sz w:val="20"/>
                      <w:lang w:val="en-US" w:eastAsia="zh-CN" w:bidi="ar-SA"/>
                    </w:rPr>
                  </w:pPr>
                  <w:r>
                    <w:rPr>
                      <w:rFonts w:hint="eastAsia" w:eastAsia="黑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p>
                  <w:pPr>
                    <w:widowControl/>
                    <w:jc w:val="right"/>
                    <w:rPr>
                      <w:rFonts w:eastAsia="宋体"/>
                      <w:kern w:val="0"/>
                      <w:sz w:val="20"/>
                    </w:rPr>
                  </w:pPr>
                  <w:r>
                    <w:rPr>
                      <w:rFonts w:hint="eastAsia" w:eastAsia="宋体"/>
                      <w:kern w:val="0"/>
                      <w:sz w:val="20"/>
                      <w:lang w:val="en-US" w:eastAsia="zh-CN"/>
                    </w:rPr>
                    <w:t>68.01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68.01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68.01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68.01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黑体"/>
                      <w:kern w:val="0"/>
                      <w:sz w:val="20"/>
                      <w:lang w:val="en-US" w:eastAsia="zh-CN"/>
                    </w:rPr>
                  </w:pPr>
                </w:p>
                <w:p>
                  <w:pPr>
                    <w:widowControl/>
                    <w:jc w:val="right"/>
                    <w:rPr>
                      <w:rFonts w:hint="eastAsia" w:eastAsia="黑体"/>
                      <w:kern w:val="0"/>
                      <w:sz w:val="20"/>
                      <w:lang w:val="en-US" w:eastAsia="zh-CN"/>
                    </w:rPr>
                  </w:pPr>
                  <w:r>
                    <w:rPr>
                      <w:rFonts w:hint="eastAsia" w:eastAsia="黑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p>
                  <w:pPr>
                    <w:widowControl/>
                    <w:jc w:val="right"/>
                    <w:rPr>
                      <w:rFonts w:eastAsia="宋体"/>
                      <w:kern w:val="0"/>
                      <w:sz w:val="20"/>
                    </w:rPr>
                  </w:pPr>
                  <w:r>
                    <w:rPr>
                      <w:rFonts w:hint="eastAsia" w:eastAsia="宋体"/>
                      <w:kern w:val="0"/>
                      <w:sz w:val="20"/>
                      <w:lang w:val="en-US" w:eastAsia="zh-CN"/>
                    </w:rPr>
                    <w:t>68.01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r>
                    <w:rPr>
                      <w:rFonts w:hint="eastAsia" w:eastAsia="宋体"/>
                      <w:kern w:val="0"/>
                      <w:sz w:val="20"/>
                      <w:lang w:val="en-US" w:eastAsia="zh-CN"/>
                    </w:rPr>
                    <w:t>68.01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11"/>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11"/>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Verdana" w:hAnsi="Verdana" w:eastAsia="宋体" w:cs="Verdana"/>
                      <w:i w:val="0"/>
                      <w:iCs w:val="0"/>
                      <w:color w:val="000000"/>
                      <w:kern w:val="0"/>
                      <w:sz w:val="16"/>
                      <w:szCs w:val="16"/>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68.01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54.51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47.01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7.50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13.50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　群众团体事务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55.40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41.90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7.50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13.50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55.40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41.90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7.50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13.50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5.19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5.19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5.19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1.24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1.24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11"/>
                      <w:szCs w:val="11"/>
                      <w:lang w:val="en-US" w:eastAsia="zh-CN" w:bidi="ar-SA"/>
                    </w:rPr>
                  </w:pPr>
                  <w:r>
                    <w:rPr>
                      <w:rFonts w:hint="eastAsia" w:ascii="Verdana" w:hAnsi="Verdana" w:eastAsia="宋体" w:cs="Verdana"/>
                      <w:i w:val="0"/>
                      <w:iCs w:val="0"/>
                      <w:color w:val="000000"/>
                      <w:kern w:val="0"/>
                      <w:sz w:val="16"/>
                      <w:szCs w:val="16"/>
                      <w:u w:val="none"/>
                      <w:lang w:val="en-US" w:eastAsia="zh-CN" w:bidi="ar"/>
                    </w:rPr>
                    <w:t>1.24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60" w:firstLineChars="10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20" w:firstLineChars="200"/>
                    <w:jc w:val="left"/>
                    <w:textAlignment w:val="center"/>
                    <w:rPr>
                      <w:rFonts w:eastAsia="华文细黑"/>
                      <w:color w:val="000000"/>
                      <w:kern w:val="0"/>
                      <w:sz w:val="20"/>
                    </w:rPr>
                  </w:pPr>
                  <w:r>
                    <w:rPr>
                      <w:rFonts w:hint="default" w:ascii="Verdana" w:hAnsi="Verdana" w:eastAsia="宋体" w:cs="Verdana"/>
                      <w:i w:val="0"/>
                      <w:iCs w:val="0"/>
                      <w:color w:val="000000"/>
                      <w:kern w:val="0"/>
                      <w:sz w:val="16"/>
                      <w:szCs w:val="16"/>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80" w:firstLineChars="30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2.25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0.03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0.03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0.03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60" w:firstLineChars="10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20" w:firstLineChars="20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Verdana" w:hAnsi="Verdana" w:eastAsia="宋体" w:cs="Verdana"/>
                      <w:i w:val="0"/>
                      <w:iCs w:val="0"/>
                      <w:color w:val="000000"/>
                      <w:kern w:val="0"/>
                      <w:sz w:val="16"/>
                      <w:szCs w:val="16"/>
                      <w:u w:val="none"/>
                      <w:lang w:val="en-US" w:eastAsia="zh-CN" w:bidi="ar"/>
                    </w:rPr>
                    <w:t>55.40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Verdana" w:hAnsi="Verdana" w:eastAsia="宋体" w:cs="Verdana"/>
                      <w:i w:val="0"/>
                      <w:iCs w:val="0"/>
                      <w:color w:val="000000"/>
                      <w:kern w:val="0"/>
                      <w:sz w:val="16"/>
                      <w:szCs w:val="16"/>
                      <w:u w:val="none"/>
                      <w:lang w:val="en-US" w:eastAsia="zh-CN" w:bidi="ar"/>
                    </w:rPr>
                    <w:t>7.50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47.01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eastAsia="宋体"/>
                      <w:color w:val="000000"/>
                      <w:kern w:val="0"/>
                      <w:sz w:val="20"/>
                      <w:lang w:val="en-US" w:eastAsia="zh-CN"/>
                    </w:rPr>
                  </w:pPr>
                  <w:r>
                    <w:rPr>
                      <w:rFonts w:hint="eastAsia" w:ascii="Verdana" w:hAnsi="Verdana" w:eastAsia="宋体" w:cs="Verdana"/>
                      <w:i w:val="0"/>
                      <w:iCs w:val="0"/>
                      <w:color w:val="000000"/>
                      <w:kern w:val="0"/>
                      <w:sz w:val="16"/>
                      <w:szCs w:val="16"/>
                      <w:u w:val="none"/>
                      <w:lang w:val="en-US" w:eastAsia="zh-CN" w:bidi="ar"/>
                    </w:rPr>
                    <w:t>7.50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13.50</w:t>
                  </w:r>
                </w:p>
              </w:tc>
            </w:tr>
          </w:tbl>
          <w:p>
            <w:pPr>
              <w:widowControl/>
              <w:jc w:val="center"/>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11"/>
        <w:tblW w:w="79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060"/>
        <w:gridCol w:w="1635"/>
        <w:gridCol w:w="1785"/>
        <w:gridCol w:w="1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80" w:type="dxa"/>
            <w:gridSpan w:val="4"/>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本年一般公共预算基本支出表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预算单位：中国共产主义青年团通榆县委员会</w:t>
            </w:r>
          </w:p>
        </w:tc>
        <w:tc>
          <w:tcPr>
            <w:tcW w:w="0" w:type="auto"/>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支出经济分类科目名称</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合计</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人员经费</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工资福利支出</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47.01</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47.01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基本工资</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15.24</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15.24</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津贴补贴</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11.66</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11.66</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奖金</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7.04</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7.04</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5.19</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5.19</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职业年金缴费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1.24</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1.24</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2.25</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其他社会保障缴费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0.03</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0.03</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住房公积金</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3.90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3.90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其他工资福利支出</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0.45</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0.45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商品和服务支出</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6.50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办公费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1.13</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印刷费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0.50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邮电费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0.06</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差旅费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0.85</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会议费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0.40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公务接待费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0.21</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工会经费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0.65</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其他交通费用</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2.70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资本性支出</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办公设备购置</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合计</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54.51</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47.01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7.50</w:t>
            </w:r>
          </w:p>
        </w:tc>
      </w:tr>
    </w:tbl>
    <w:p>
      <w:pPr>
        <w:ind w:firstLine="636"/>
        <w:rPr>
          <w:rFonts w:eastAsia="楷体"/>
        </w:rPr>
      </w:pPr>
      <w:r>
        <w:rPr>
          <w:rFonts w:hAnsi="楷体" w:eastAsia="楷体"/>
        </w:rPr>
        <w:br w:type="page"/>
      </w:r>
    </w:p>
    <w:tbl>
      <w:tblPr>
        <w:tblStyle w:val="11"/>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0.21</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0.21</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0.21</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0.21</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highlight w:val="none"/>
                <w:lang w:eastAsia="zh-CN"/>
              </w:rPr>
            </w:pPr>
            <w:r>
              <w:rPr>
                <w:rFonts w:eastAsia="宋体"/>
                <w:color w:val="000000"/>
                <w:kern w:val="0"/>
                <w:sz w:val="28"/>
                <w:szCs w:val="28"/>
              </w:rPr>
              <w:t xml:space="preserve">     </w:t>
            </w:r>
            <w:r>
              <w:rPr>
                <w:rFonts w:eastAsia="宋体"/>
                <w:color w:val="000000"/>
                <w:kern w:val="0"/>
                <w:sz w:val="28"/>
                <w:szCs w:val="28"/>
                <w:highlight w:val="none"/>
              </w:rPr>
              <w:t xml:space="preserve">  1</w:t>
            </w:r>
            <w:r>
              <w:rPr>
                <w:color w:val="000000"/>
                <w:kern w:val="0"/>
                <w:sz w:val="28"/>
                <w:szCs w:val="28"/>
                <w:highlight w:val="none"/>
              </w:rPr>
              <w:t>、</w:t>
            </w:r>
            <w:r>
              <w:rPr>
                <w:rFonts w:eastAsia="宋体"/>
                <w:color w:val="000000"/>
                <w:kern w:val="0"/>
                <w:sz w:val="28"/>
                <w:szCs w:val="28"/>
                <w:highlight w:val="none"/>
              </w:rPr>
              <w:t>“</w:t>
            </w:r>
            <w:r>
              <w:rPr>
                <w:rFonts w:hint="eastAsia" w:eastAsia="宋体"/>
                <w:color w:val="000000"/>
                <w:kern w:val="0"/>
                <w:sz w:val="28"/>
                <w:szCs w:val="28"/>
                <w:highlight w:val="none"/>
                <w:lang w:eastAsia="zh-CN"/>
              </w:rPr>
              <w:t>2024</w:t>
            </w:r>
            <w:r>
              <w:rPr>
                <w:color w:val="000000"/>
                <w:kern w:val="0"/>
                <w:sz w:val="28"/>
                <w:szCs w:val="28"/>
                <w:highlight w:val="none"/>
              </w:rPr>
              <w:t>年预算数</w:t>
            </w:r>
            <w:r>
              <w:rPr>
                <w:rFonts w:eastAsia="宋体"/>
                <w:color w:val="000000"/>
                <w:kern w:val="0"/>
                <w:sz w:val="28"/>
                <w:szCs w:val="28"/>
                <w:highlight w:val="none"/>
              </w:rPr>
              <w:t>”</w:t>
            </w:r>
            <w:r>
              <w:rPr>
                <w:color w:val="000000"/>
                <w:kern w:val="0"/>
                <w:sz w:val="28"/>
                <w:szCs w:val="28"/>
                <w:highlight w:val="none"/>
              </w:rPr>
              <w:t>的单位范围包括部门本级及所属</w:t>
            </w:r>
            <w:r>
              <w:rPr>
                <w:rFonts w:hint="eastAsia" w:eastAsia="宋体"/>
                <w:color w:val="000000"/>
                <w:kern w:val="0"/>
                <w:sz w:val="28"/>
                <w:szCs w:val="28"/>
                <w:highlight w:val="none"/>
                <w:u w:val="single"/>
                <w:lang w:val="en-US" w:eastAsia="zh-CN"/>
              </w:rPr>
              <w:t>1</w:t>
            </w:r>
            <w:r>
              <w:rPr>
                <w:color w:val="000000"/>
                <w:kern w:val="0"/>
                <w:sz w:val="28"/>
                <w:szCs w:val="28"/>
                <w:highlight w:val="none"/>
              </w:rPr>
              <w:t>个预算单位。</w:t>
            </w:r>
            <w:r>
              <w:rPr>
                <w:rFonts w:eastAsia="宋体"/>
                <w:color w:val="000000"/>
                <w:kern w:val="0"/>
                <w:sz w:val="28"/>
                <w:szCs w:val="28"/>
                <w:highlight w:val="none"/>
              </w:rPr>
              <w:t xml:space="preserve">   </w:t>
            </w:r>
          </w:p>
          <w:p>
            <w:pPr>
              <w:widowControl/>
              <w:jc w:val="left"/>
              <w:rPr>
                <w:color w:val="000000"/>
                <w:kern w:val="0"/>
                <w:sz w:val="28"/>
                <w:szCs w:val="28"/>
                <w:highlight w:val="none"/>
              </w:rPr>
            </w:pPr>
            <w:r>
              <w:rPr>
                <w:rFonts w:eastAsia="宋体"/>
                <w:color w:val="000000"/>
                <w:kern w:val="0"/>
                <w:sz w:val="28"/>
                <w:szCs w:val="28"/>
                <w:highlight w:val="none"/>
              </w:rPr>
              <w:t xml:space="preserve">       2</w:t>
            </w:r>
            <w:r>
              <w:rPr>
                <w:color w:val="000000"/>
                <w:kern w:val="0"/>
                <w:sz w:val="28"/>
                <w:szCs w:val="28"/>
                <w:highlight w:val="none"/>
              </w:rPr>
              <w:t>、</w:t>
            </w:r>
            <w:r>
              <w:rPr>
                <w:rFonts w:eastAsia="宋体"/>
                <w:color w:val="000000"/>
                <w:kern w:val="0"/>
                <w:sz w:val="28"/>
                <w:szCs w:val="28"/>
                <w:highlight w:val="none"/>
              </w:rPr>
              <w:t>“</w:t>
            </w:r>
            <w:r>
              <w:rPr>
                <w:rFonts w:hint="eastAsia" w:eastAsia="宋体"/>
                <w:color w:val="000000"/>
                <w:kern w:val="0"/>
                <w:sz w:val="28"/>
                <w:szCs w:val="28"/>
                <w:highlight w:val="none"/>
                <w:lang w:eastAsia="zh-CN"/>
              </w:rPr>
              <w:t>2024</w:t>
            </w:r>
            <w:r>
              <w:rPr>
                <w:color w:val="000000"/>
                <w:kern w:val="0"/>
                <w:sz w:val="28"/>
                <w:szCs w:val="28"/>
                <w:highlight w:val="none"/>
              </w:rPr>
              <w:t>年预算数</w:t>
            </w:r>
            <w:r>
              <w:rPr>
                <w:rFonts w:eastAsia="宋体"/>
                <w:color w:val="000000"/>
                <w:kern w:val="0"/>
                <w:sz w:val="28"/>
                <w:szCs w:val="28"/>
                <w:highlight w:val="none"/>
              </w:rPr>
              <w:t>”</w:t>
            </w:r>
            <w:r>
              <w:rPr>
                <w:color w:val="000000"/>
                <w:kern w:val="0"/>
                <w:sz w:val="28"/>
                <w:szCs w:val="28"/>
                <w:highlight w:val="none"/>
              </w:rPr>
              <w:t>的实有人员</w:t>
            </w:r>
            <w:r>
              <w:rPr>
                <w:rFonts w:hint="eastAsia" w:eastAsia="宋体"/>
                <w:color w:val="000000"/>
                <w:kern w:val="0"/>
                <w:sz w:val="28"/>
                <w:szCs w:val="28"/>
                <w:highlight w:val="none"/>
                <w:u w:val="single"/>
                <w:lang w:val="en-US" w:eastAsia="zh-CN"/>
              </w:rPr>
              <w:t>4</w:t>
            </w:r>
            <w:r>
              <w:rPr>
                <w:color w:val="000000"/>
                <w:kern w:val="0"/>
                <w:sz w:val="28"/>
                <w:szCs w:val="28"/>
                <w:highlight w:val="none"/>
              </w:rPr>
              <w:t>人，其中：在职人员</w:t>
            </w:r>
            <w:r>
              <w:rPr>
                <w:rFonts w:hint="eastAsia" w:eastAsia="宋体"/>
                <w:color w:val="000000"/>
                <w:kern w:val="0"/>
                <w:sz w:val="28"/>
                <w:szCs w:val="28"/>
                <w:highlight w:val="none"/>
                <w:u w:val="single"/>
                <w:lang w:val="en-US" w:eastAsia="zh-CN"/>
              </w:rPr>
              <w:t>4</w:t>
            </w:r>
            <w:r>
              <w:rPr>
                <w:color w:val="000000"/>
                <w:kern w:val="0"/>
                <w:sz w:val="28"/>
                <w:szCs w:val="28"/>
                <w:highlight w:val="none"/>
              </w:rPr>
              <w:t>人，离退休人员</w:t>
            </w:r>
            <w:r>
              <w:rPr>
                <w:rFonts w:hint="eastAsia" w:eastAsia="宋体"/>
                <w:color w:val="000000"/>
                <w:kern w:val="0"/>
                <w:sz w:val="28"/>
                <w:szCs w:val="28"/>
                <w:highlight w:val="none"/>
                <w:u w:val="single"/>
                <w:lang w:val="en-US" w:eastAsia="zh-CN"/>
              </w:rPr>
              <w:t>0</w:t>
            </w:r>
            <w:r>
              <w:rPr>
                <w:color w:val="000000"/>
                <w:kern w:val="0"/>
                <w:sz w:val="28"/>
                <w:szCs w:val="28"/>
                <w:highlight w:val="none"/>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1"/>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预算单位：中国共产主义青年团通榆县委员会</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11"/>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703"/>
        <w:gridCol w:w="705"/>
        <w:gridCol w:w="435"/>
        <w:gridCol w:w="450"/>
        <w:gridCol w:w="397"/>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0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9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395"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0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9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527"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一</w:t>
            </w:r>
            <w:r>
              <w:rPr>
                <w:rFonts w:hint="eastAsia" w:ascii="宋体" w:hAnsi="宋体" w:eastAsia="宋体" w:cs="宋体"/>
                <w:color w:val="000000"/>
                <w:sz w:val="20"/>
                <w:szCs w:val="22"/>
              </w:rPr>
              <w:t>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703" w:type="dxa"/>
            <w:vMerge w:val="continue"/>
            <w:noWrap w:val="0"/>
            <w:vAlign w:val="center"/>
          </w:tcPr>
          <w:p>
            <w:pPr>
              <w:autoSpaceDN w:val="0"/>
              <w:jc w:val="center"/>
              <w:textAlignment w:val="center"/>
              <w:rPr>
                <w:rFonts w:ascii="Calibri" w:hAnsi="Calibri" w:eastAsia="华文细黑"/>
                <w:color w:val="000000"/>
                <w:sz w:val="20"/>
                <w:szCs w:val="22"/>
              </w:rPr>
            </w:pPr>
          </w:p>
        </w:tc>
        <w:tc>
          <w:tcPr>
            <w:tcW w:w="70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3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5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397"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exact"/>
          <w:jc w:val="center"/>
        </w:trPr>
        <w:tc>
          <w:tcPr>
            <w:tcW w:w="759"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专项业务</w:t>
            </w:r>
            <w:r>
              <w:rPr>
                <w:rFonts w:hint="default" w:ascii="宋体" w:hAnsi="宋体" w:eastAsia="宋体" w:cs="宋体"/>
                <w:color w:val="000000"/>
                <w:sz w:val="20"/>
                <w:szCs w:val="22"/>
                <w:lang w:val="en-US" w:eastAsia="zh-CN"/>
              </w:rPr>
              <w:t>支出</w:t>
            </w:r>
          </w:p>
        </w:tc>
        <w:tc>
          <w:tcPr>
            <w:tcW w:w="1063"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团委工作经费</w:t>
            </w:r>
          </w:p>
        </w:tc>
        <w:tc>
          <w:tcPr>
            <w:tcW w:w="1107"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通榆团县委2024年团委工作经费</w:t>
            </w:r>
          </w:p>
        </w:tc>
        <w:tc>
          <w:tcPr>
            <w:tcW w:w="864"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中国共产主义青年团通榆县委员会</w:t>
            </w:r>
          </w:p>
        </w:tc>
        <w:tc>
          <w:tcPr>
            <w:tcW w:w="70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13.50</w:t>
            </w:r>
          </w:p>
        </w:tc>
        <w:tc>
          <w:tcPr>
            <w:tcW w:w="705"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13.50</w:t>
            </w:r>
          </w:p>
        </w:tc>
        <w:tc>
          <w:tcPr>
            <w:tcW w:w="43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397"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p>
        </w:tc>
        <w:tc>
          <w:tcPr>
            <w:tcW w:w="1063" w:type="dxa"/>
            <w:noWrap w:val="0"/>
            <w:vAlign w:val="center"/>
          </w:tcPr>
          <w:p>
            <w:pPr>
              <w:spacing w:line="700" w:lineRule="exact"/>
              <w:jc w:val="center"/>
              <w:rPr>
                <w:rFonts w:ascii="Calibri" w:hAnsi="Calibri" w:eastAsia="楷体"/>
                <w:kern w:val="0"/>
                <w:sz w:val="8"/>
                <w:szCs w:val="8"/>
              </w:rPr>
            </w:pPr>
          </w:p>
        </w:tc>
        <w:tc>
          <w:tcPr>
            <w:tcW w:w="1107"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864"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703"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705"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43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397"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 w:val="16"/>
                <w:szCs w:val="16"/>
              </w:rPr>
            </w:pPr>
          </w:p>
        </w:tc>
        <w:tc>
          <w:tcPr>
            <w:tcW w:w="864" w:type="dxa"/>
            <w:noWrap w:val="0"/>
            <w:vAlign w:val="center"/>
          </w:tcPr>
          <w:p>
            <w:pPr>
              <w:spacing w:line="700" w:lineRule="exact"/>
              <w:jc w:val="center"/>
              <w:rPr>
                <w:rFonts w:ascii="Calibri" w:hAnsi="Calibri" w:eastAsia="楷体"/>
                <w:kern w:val="0"/>
                <w:sz w:val="16"/>
                <w:szCs w:val="16"/>
              </w:rPr>
            </w:pPr>
          </w:p>
        </w:tc>
        <w:tc>
          <w:tcPr>
            <w:tcW w:w="703" w:type="dxa"/>
            <w:noWrap w:val="0"/>
            <w:vAlign w:val="center"/>
          </w:tcPr>
          <w:p>
            <w:pPr>
              <w:spacing w:line="700" w:lineRule="exact"/>
              <w:jc w:val="center"/>
              <w:rPr>
                <w:rFonts w:ascii="Calibri" w:hAnsi="Calibri" w:eastAsia="楷体"/>
                <w:kern w:val="0"/>
                <w:szCs w:val="32"/>
              </w:rPr>
            </w:pPr>
          </w:p>
        </w:tc>
        <w:tc>
          <w:tcPr>
            <w:tcW w:w="705" w:type="dxa"/>
            <w:noWrap w:val="0"/>
            <w:vAlign w:val="center"/>
          </w:tcPr>
          <w:p>
            <w:pPr>
              <w:spacing w:line="700" w:lineRule="exact"/>
              <w:jc w:val="center"/>
              <w:rPr>
                <w:rFonts w:ascii="Calibri" w:hAnsi="Calibri" w:eastAsia="楷体"/>
                <w:kern w:val="0"/>
                <w:szCs w:val="32"/>
              </w:rPr>
            </w:pPr>
          </w:p>
        </w:tc>
        <w:tc>
          <w:tcPr>
            <w:tcW w:w="43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397"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703" w:type="dxa"/>
            <w:noWrap w:val="0"/>
            <w:vAlign w:val="center"/>
          </w:tcPr>
          <w:p>
            <w:pPr>
              <w:spacing w:line="700" w:lineRule="exact"/>
              <w:jc w:val="center"/>
              <w:rPr>
                <w:rFonts w:ascii="Calibri" w:hAnsi="Calibri" w:eastAsia="楷体"/>
                <w:kern w:val="0"/>
                <w:szCs w:val="32"/>
              </w:rPr>
            </w:pPr>
          </w:p>
        </w:tc>
        <w:tc>
          <w:tcPr>
            <w:tcW w:w="705" w:type="dxa"/>
            <w:noWrap w:val="0"/>
            <w:vAlign w:val="center"/>
          </w:tcPr>
          <w:p>
            <w:pPr>
              <w:spacing w:line="700" w:lineRule="exact"/>
              <w:jc w:val="center"/>
              <w:rPr>
                <w:rFonts w:ascii="Calibri" w:hAnsi="Calibri" w:eastAsia="楷体"/>
                <w:kern w:val="0"/>
                <w:szCs w:val="32"/>
              </w:rPr>
            </w:pPr>
          </w:p>
        </w:tc>
        <w:tc>
          <w:tcPr>
            <w:tcW w:w="43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397"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703" w:type="dxa"/>
            <w:noWrap w:val="0"/>
            <w:vAlign w:val="center"/>
          </w:tcPr>
          <w:p>
            <w:pPr>
              <w:autoSpaceDN w:val="0"/>
              <w:jc w:val="center"/>
              <w:textAlignment w:val="center"/>
              <w:rPr>
                <w:rFonts w:hint="default" w:ascii="Calibri" w:hAnsi="Calibri" w:eastAsia="楷体"/>
                <w:kern w:val="0"/>
                <w:szCs w:val="32"/>
                <w:lang w:val="en-US" w:eastAsia="zh-CN"/>
              </w:rPr>
            </w:pPr>
            <w:r>
              <w:rPr>
                <w:rFonts w:hint="eastAsia" w:ascii="宋体" w:hAnsi="宋体" w:eastAsia="宋体" w:cs="宋体"/>
                <w:color w:val="000000"/>
                <w:sz w:val="20"/>
                <w:szCs w:val="22"/>
                <w:lang w:val="en-US" w:eastAsia="zh-CN"/>
              </w:rPr>
              <w:t>13.50</w:t>
            </w:r>
          </w:p>
        </w:tc>
        <w:tc>
          <w:tcPr>
            <w:tcW w:w="705" w:type="dxa"/>
            <w:noWrap w:val="0"/>
            <w:vAlign w:val="center"/>
          </w:tcPr>
          <w:p>
            <w:pPr>
              <w:autoSpaceDN w:val="0"/>
              <w:jc w:val="center"/>
              <w:textAlignment w:val="center"/>
              <w:rPr>
                <w:rFonts w:hint="default" w:ascii="Calibri" w:hAnsi="Calibri" w:eastAsia="楷体"/>
                <w:kern w:val="0"/>
                <w:szCs w:val="32"/>
                <w:lang w:val="en-US" w:eastAsia="zh-CN"/>
              </w:rPr>
            </w:pPr>
            <w:r>
              <w:rPr>
                <w:rFonts w:hint="eastAsia" w:ascii="宋体" w:hAnsi="宋体" w:eastAsia="宋体" w:cs="宋体"/>
                <w:color w:val="000000"/>
                <w:sz w:val="20"/>
                <w:szCs w:val="22"/>
                <w:lang w:val="en-US" w:eastAsia="zh-CN"/>
              </w:rPr>
              <w:t>13.50</w:t>
            </w:r>
          </w:p>
        </w:tc>
        <w:tc>
          <w:tcPr>
            <w:tcW w:w="43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397"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tbl>
      <w:tblPr>
        <w:tblStyle w:val="11"/>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通榆团县委</w:t>
            </w:r>
            <w:r>
              <w:rPr>
                <w:rFonts w:hint="eastAsia" w:ascii="宋体" w:hAnsi="宋体" w:eastAsia="宋体" w:cs="宋体"/>
                <w:color w:val="000000"/>
                <w:sz w:val="20"/>
                <w:lang w:val="en-US" w:eastAsia="zh-CN"/>
              </w:rPr>
              <w:t>2024年团委工作经费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13.5万元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13.5万元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auto"/>
                <w:sz w:val="20"/>
                <w:lang w:eastAsia="zh-CN"/>
              </w:rPr>
              <w:t>及时、有效地完成全年共青团通榆县委工作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auto"/>
                <w:sz w:val="20"/>
                <w:lang w:eastAsia="zh-CN"/>
              </w:rPr>
              <w:t>一</w:t>
            </w:r>
            <w:r>
              <w:rPr>
                <w:rFonts w:hint="eastAsia" w:ascii="宋体" w:hAnsi="宋体" w:eastAsia="宋体" w:cs="宋体"/>
                <w:color w:val="auto"/>
                <w:sz w:val="20"/>
              </w:rPr>
              <w:t>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开展青少年思想引领活动次数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w:t>
            </w:r>
            <w:r>
              <w:rPr>
                <w:rFonts w:hint="eastAsia" w:ascii="宋体" w:hAnsi="宋体" w:eastAsia="宋体" w:cs="宋体"/>
                <w:color w:val="000000"/>
                <w:sz w:val="20"/>
                <w:lang w:eastAsia="zh-CN"/>
              </w:rPr>
              <w:t>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出差人数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印刷次数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w:t>
            </w:r>
            <w:r>
              <w:rPr>
                <w:rFonts w:hint="eastAsia" w:ascii="宋体" w:hAnsi="宋体" w:eastAsia="宋体" w:cs="宋体"/>
                <w:color w:val="000000"/>
                <w:sz w:val="20"/>
                <w:lang w:eastAsia="zh-CN"/>
              </w:rPr>
              <w:t>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公务接待次数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4</w:t>
            </w:r>
            <w:r>
              <w:rPr>
                <w:rFonts w:hint="eastAsia" w:ascii="宋体" w:hAnsi="宋体" w:eastAsia="宋体" w:cs="宋体"/>
                <w:color w:val="000000"/>
                <w:sz w:val="20"/>
                <w:lang w:eastAsia="zh-CN"/>
              </w:rPr>
              <w:t>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维修维护设备数量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10台</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印刷文件、宣传单等质量合格率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维修维护设备质量合格率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青少年思想引领活动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60000元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差旅费成本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印刷费成本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45000元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公务接待成本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维护设备成本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拨付各项费用的及时率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维修维护设备及时率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单位对青年发展工作的关注度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上升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68.01万元。</w:t>
      </w:r>
      <w:r>
        <w:rPr>
          <w:rFonts w:hint="eastAsia" w:ascii="仿宋_GB2312" w:hAnsi="仿宋_GB2312" w:eastAsia="仿宋_GB2312" w:cs="仿宋_GB2312"/>
          <w:szCs w:val="32"/>
        </w:rPr>
        <w:t>支出包括：一般公</w:t>
      </w:r>
      <w:r>
        <w:rPr>
          <w:rFonts w:hint="eastAsia" w:ascii="仿宋_GB2312" w:hAnsi="仿宋_GB2312" w:eastAsia="仿宋_GB2312" w:cs="仿宋_GB2312"/>
          <w:szCs w:val="32"/>
          <w:highlight w:val="none"/>
        </w:rPr>
        <w:t>共服务支出</w:t>
      </w:r>
      <w:r>
        <w:rPr>
          <w:rFonts w:hint="eastAsia" w:ascii="仿宋_GB2312" w:hAnsi="仿宋_GB2312" w:cs="仿宋_GB2312"/>
          <w:szCs w:val="32"/>
          <w:highlight w:val="none"/>
          <w:lang w:val="en-US" w:eastAsia="zh-CN"/>
        </w:rPr>
        <w:t>55.40万元，</w:t>
      </w:r>
      <w:r>
        <w:rPr>
          <w:rFonts w:hint="eastAsia" w:ascii="仿宋_GB2312" w:hAnsi="仿宋_GB2312" w:eastAsia="仿宋_GB2312" w:cs="仿宋_GB2312"/>
          <w:szCs w:val="32"/>
          <w:highlight w:val="none"/>
        </w:rPr>
        <w:t>社会保障和就业支出</w:t>
      </w:r>
      <w:r>
        <w:rPr>
          <w:rFonts w:hint="eastAsia" w:ascii="仿宋_GB2312" w:hAnsi="仿宋_GB2312" w:cs="仿宋_GB2312"/>
          <w:szCs w:val="32"/>
          <w:highlight w:val="none"/>
          <w:lang w:val="en-US" w:eastAsia="zh-CN"/>
        </w:rPr>
        <w:t>6.43万元、</w:t>
      </w:r>
      <w:r>
        <w:rPr>
          <w:rFonts w:hint="eastAsia" w:ascii="仿宋_GB2312" w:hAnsi="仿宋_GB2312" w:eastAsia="仿宋_GB2312" w:cs="仿宋_GB2312"/>
          <w:szCs w:val="32"/>
          <w:highlight w:val="none"/>
        </w:rPr>
        <w:t>住</w:t>
      </w:r>
      <w:r>
        <w:rPr>
          <w:rFonts w:hint="eastAsia" w:ascii="仿宋_GB2312" w:hAnsi="仿宋_GB2312" w:eastAsia="仿宋_GB2312" w:cs="仿宋_GB2312"/>
          <w:szCs w:val="32"/>
        </w:rPr>
        <w:t>房保障支出</w:t>
      </w:r>
      <w:r>
        <w:rPr>
          <w:rFonts w:hint="eastAsia" w:ascii="仿宋_GB2312" w:hAnsi="仿宋_GB2312" w:cs="仿宋_GB2312"/>
          <w:szCs w:val="32"/>
          <w:lang w:val="en-US" w:eastAsia="zh-CN"/>
        </w:rPr>
        <w:t>3.90万元、卫生健康支出2.28万元</w:t>
      </w:r>
      <w:r>
        <w:rPr>
          <w:rFonts w:hint="eastAsia" w:ascii="仿宋_GB2312" w:hAnsi="仿宋_GB2312" w:eastAsia="仿宋_GB2312" w:cs="仿宋_GB2312"/>
          <w:szCs w:val="32"/>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68.01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68.01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val="en-US" w:eastAsia="zh-CN"/>
        </w:rPr>
        <w:t>54.97万元</w:t>
      </w:r>
      <w:r>
        <w:rPr>
          <w:rFonts w:hint="eastAsia" w:ascii="仿宋_GB2312" w:hAnsi="仿宋_GB2312" w:eastAsia="仿宋_GB2312" w:cs="仿宋_GB2312"/>
          <w:szCs w:val="32"/>
        </w:rPr>
        <w:t>增加</w:t>
      </w:r>
      <w:r>
        <w:rPr>
          <w:rFonts w:hint="eastAsia" w:ascii="仿宋_GB2312" w:hAnsi="仿宋_GB2312" w:cs="仿宋_GB2312"/>
          <w:szCs w:val="32"/>
          <w:lang w:val="en-US" w:eastAsia="zh-CN"/>
        </w:rPr>
        <w:t>13.04</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2024年有项目经费支出，</w:t>
      </w:r>
      <w:r>
        <w:rPr>
          <w:rFonts w:hint="eastAsia" w:ascii="仿宋_GB2312" w:hAnsi="仿宋_GB2312" w:cs="仿宋_GB2312"/>
          <w:szCs w:val="32"/>
          <w:lang w:eastAsia="zh-CN"/>
        </w:rPr>
        <w:t>团委工作项目经费增加</w:t>
      </w:r>
      <w:r>
        <w:rPr>
          <w:rFonts w:hint="eastAsia" w:ascii="仿宋_GB2312" w:hAnsi="仿宋_GB2312" w:cs="仿宋_GB2312"/>
          <w:szCs w:val="32"/>
          <w:lang w:val="en-US" w:eastAsia="zh-CN"/>
        </w:rPr>
        <w:t>13.50万元，同时2024年人员经费有减少。</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68.01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68.01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万元。本年收入中，一般公共预算拨款收入</w:t>
      </w:r>
      <w:r>
        <w:rPr>
          <w:rFonts w:hint="eastAsia" w:ascii="仿宋_GB2312" w:hAnsi="仿宋_GB2312" w:cs="仿宋_GB2312"/>
          <w:szCs w:val="32"/>
          <w:lang w:val="en-US" w:eastAsia="zh-CN"/>
        </w:rPr>
        <w:t>68.01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68.01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54.51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80.15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13.50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19.85</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68.01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68.01</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55.40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6.43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highlight w:val="none"/>
        </w:rPr>
        <w:t>社会保险基金支出</w:t>
      </w:r>
      <w:r>
        <w:rPr>
          <w:rFonts w:hint="eastAsia" w:ascii="仿宋_GB2312" w:hAnsi="仿宋_GB2312" w:cs="仿宋_GB2312"/>
          <w:szCs w:val="32"/>
          <w:highlight w:val="none"/>
          <w:lang w:val="en-US" w:eastAsia="zh-CN"/>
        </w:rPr>
        <w:t>5.19</w:t>
      </w:r>
      <w:r>
        <w:rPr>
          <w:rFonts w:hint="eastAsia" w:ascii="仿宋_GB2312" w:hAnsi="仿宋_GB2312" w:eastAsia="仿宋_GB2312" w:cs="仿宋_GB2312"/>
          <w:szCs w:val="32"/>
          <w:highlight w:val="none"/>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2.28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3.90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68.01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54.51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80.15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13.50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19.85</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47.01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86.24</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7.5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13.76</w:t>
      </w:r>
      <w:r>
        <w:rPr>
          <w:rFonts w:hint="eastAsia" w:ascii="仿宋_GB2312" w:hAnsi="仿宋_GB2312" w:eastAsia="仿宋_GB2312" w:cs="仿宋_GB2312"/>
          <w:szCs w:val="32"/>
        </w:rPr>
        <w:t>%。</w:t>
      </w:r>
    </w:p>
    <w:p>
      <w:pPr>
        <w:spacing w:line="520" w:lineRule="exact"/>
        <w:ind w:firstLine="200"/>
        <w:rPr>
          <w:rFonts w:hint="eastAsia" w:ascii="仿宋_GB2312" w:hAnsi="仿宋_GB2312" w:cs="仿宋_GB2312"/>
          <w:szCs w:val="32"/>
          <w:lang w:val="en-US" w:eastAsia="zh-CN"/>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55.40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81.46</w:t>
      </w:r>
      <w:r>
        <w:rPr>
          <w:rFonts w:hint="eastAsia" w:ascii="仿宋_GB2312" w:hAnsi="仿宋_GB2312" w:eastAsia="仿宋_GB2312" w:cs="仿宋_GB2312"/>
          <w:szCs w:val="32"/>
        </w:rPr>
        <w:t>%，主要用于群众团体事务</w:t>
      </w:r>
      <w:r>
        <w:rPr>
          <w:rFonts w:hint="eastAsia" w:ascii="仿宋_GB2312" w:hAnsi="仿宋_GB2312" w:cs="仿宋_GB2312"/>
          <w:szCs w:val="32"/>
          <w:lang w:eastAsia="zh-CN"/>
        </w:rPr>
        <w:t>行政运行</w:t>
      </w:r>
      <w:r>
        <w:rPr>
          <w:rFonts w:hint="eastAsia" w:ascii="仿宋_GB2312" w:hAnsi="仿宋_GB2312" w:cs="仿宋_GB2312"/>
          <w:szCs w:val="32"/>
          <w:lang w:val="en-US" w:eastAsia="zh-CN"/>
        </w:rPr>
        <w:t>。</w:t>
      </w:r>
    </w:p>
    <w:p>
      <w:pPr>
        <w:spacing w:line="520" w:lineRule="exact"/>
        <w:ind w:firstLine="200"/>
        <w:rPr>
          <w:rFonts w:hint="default" w:ascii="仿宋_GB2312" w:hAnsi="仿宋_GB2312" w:cs="仿宋_GB2312"/>
          <w:szCs w:val="32"/>
          <w:lang w:val="en-US" w:eastAsia="zh-CN"/>
        </w:rPr>
      </w:pPr>
      <w:r>
        <w:rPr>
          <w:rFonts w:hint="eastAsia" w:ascii="仿宋_GB2312" w:hAnsi="仿宋_GB2312" w:cs="仿宋_GB2312"/>
          <w:szCs w:val="32"/>
          <w:lang w:val="en-US" w:eastAsia="zh-CN"/>
        </w:rPr>
        <w:t>卫生健康支出2.28万元，占比3.35%，主要用于行政单位医疗保险支出。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6.43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9.45</w:t>
      </w:r>
      <w:r>
        <w:rPr>
          <w:rFonts w:hint="eastAsia" w:ascii="仿宋_GB2312" w:hAnsi="仿宋_GB2312" w:eastAsia="仿宋_GB2312" w:cs="仿宋_GB2312"/>
          <w:szCs w:val="32"/>
        </w:rPr>
        <w:t>%</w:t>
      </w:r>
      <w:r>
        <w:rPr>
          <w:rFonts w:hint="eastAsia" w:ascii="仿宋_GB2312" w:hAnsi="仿宋_GB2312" w:cs="仿宋_GB2312"/>
          <w:szCs w:val="32"/>
          <w:lang w:eastAsia="zh-CN"/>
        </w:rPr>
        <w:t>，主要用于机关事业单位基本养老保险缴费支出和机关事业单位职业年金缴费支出</w:t>
      </w:r>
      <w:r>
        <w:rPr>
          <w:rFonts w:hint="eastAsia" w:ascii="仿宋_GB2312" w:hAnsi="仿宋_GB2312" w:eastAsia="仿宋_GB2312" w:cs="仿宋_GB2312"/>
          <w:szCs w:val="32"/>
        </w:rPr>
        <w:t>。</w:t>
      </w:r>
    </w:p>
    <w:p>
      <w:pPr>
        <w:spacing w:line="520" w:lineRule="exact"/>
        <w:ind w:firstLine="200"/>
        <w:rPr>
          <w:rFonts w:hint="eastAsia" w:eastAsia="仿宋_GB2312"/>
          <w:szCs w:val="32"/>
          <w:lang w:val="en-US" w:eastAsia="zh-CN"/>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3.90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5.73</w:t>
      </w:r>
      <w:r>
        <w:rPr>
          <w:rFonts w:hint="eastAsia" w:ascii="仿宋_GB2312" w:hAnsi="仿宋_GB2312" w:eastAsia="仿宋_GB2312" w:cs="仿宋_GB2312"/>
          <w:szCs w:val="32"/>
        </w:rPr>
        <w:t>%</w:t>
      </w:r>
      <w:r>
        <w:rPr>
          <w:rFonts w:hint="eastAsia" w:ascii="仿宋_GB2312" w:hAnsi="仿宋_GB2312" w:cs="仿宋_GB2312"/>
          <w:szCs w:val="32"/>
          <w:lang w:eastAsia="zh-CN"/>
        </w:rPr>
        <w:t>，主要用于职工住房公积金支出。</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54.51</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47.01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lang w:val="en-US" w:eastAsia="zh-CN"/>
        </w:rPr>
        <w:t>15.25万元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lang w:val="en-US" w:eastAsia="zh-CN"/>
        </w:rPr>
        <w:t>11.66万元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lang w:val="en-US" w:eastAsia="zh-CN"/>
        </w:rPr>
        <w:t>7.04万元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lang w:val="en-US" w:eastAsia="zh-CN"/>
        </w:rPr>
        <w:t>0.45万元</w:t>
      </w:r>
      <w:r>
        <w:rPr>
          <w:rFonts w:hint="eastAsia" w:ascii="仿宋_GB2312" w:hAnsi="仿宋_GB2312" w:eastAsia="仿宋_GB2312" w:cs="仿宋_GB2312"/>
          <w:szCs w:val="32"/>
        </w:rPr>
        <w:t>、机关事业单位基本养老保险缴费</w:t>
      </w:r>
      <w:r>
        <w:rPr>
          <w:rFonts w:hint="eastAsia" w:ascii="仿宋_GB2312" w:hAnsi="仿宋_GB2312" w:cs="仿宋_GB2312"/>
          <w:szCs w:val="32"/>
          <w:lang w:val="en-US" w:eastAsia="zh-CN"/>
        </w:rPr>
        <w:t>5.19万元、职业年金缴费1.24万元、职工基本医疗保险缴费2.25万元、住房公积金3.90万元、其他社会保障缴费0.03万元</w:t>
      </w:r>
      <w:r>
        <w:rPr>
          <w:rFonts w:hint="eastAsia" w:ascii="仿宋_GB2312" w:hAnsi="仿宋_GB2312" w:eastAsia="仿宋_GB2312" w:cs="仿宋_GB2312"/>
          <w:kern w:val="0"/>
          <w:szCs w:val="32"/>
        </w:rPr>
        <w:t>。</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7.5</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lang w:val="en-US" w:eastAsia="zh-CN"/>
        </w:rPr>
        <w:t>1.13万元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cs="仿宋_GB2312"/>
          <w:kern w:val="0"/>
          <w:szCs w:val="32"/>
          <w:lang w:val="en-US" w:eastAsia="zh-CN"/>
        </w:rPr>
        <w:t>0.5万元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lang w:val="en-US" w:eastAsia="zh-CN"/>
        </w:rPr>
        <w:t>0.06万元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lang w:val="en-US" w:eastAsia="zh-CN"/>
        </w:rPr>
        <w:t>0.85万元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cs="仿宋_GB2312"/>
          <w:kern w:val="0"/>
          <w:szCs w:val="32"/>
          <w:lang w:val="en-US" w:eastAsia="zh-CN"/>
        </w:rPr>
        <w:t>0.4万元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cs="仿宋_GB2312"/>
          <w:kern w:val="0"/>
          <w:szCs w:val="32"/>
          <w:lang w:val="en-US" w:eastAsia="zh-CN"/>
        </w:rPr>
        <w:t>0.21万元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lang w:val="en-US" w:eastAsia="zh-CN"/>
        </w:rPr>
        <w:t>0.65万元</w:t>
      </w:r>
      <w:r>
        <w:rPr>
          <w:rFonts w:hint="eastAsia" w:ascii="仿宋_GB2312" w:hAnsi="仿宋_GB2312" w:eastAsia="仿宋_GB2312" w:cs="仿宋_GB2312"/>
          <w:kern w:val="0"/>
          <w:szCs w:val="32"/>
        </w:rPr>
        <w:t>、其他交通补助</w:t>
      </w:r>
      <w:r>
        <w:rPr>
          <w:rFonts w:hint="eastAsia" w:ascii="仿宋_GB2312" w:hAnsi="仿宋_GB2312" w:cs="仿宋_GB2312"/>
          <w:kern w:val="0"/>
          <w:szCs w:val="32"/>
          <w:lang w:val="en-US" w:eastAsia="zh-CN"/>
        </w:rPr>
        <w:t>2.7万元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办公设备购置</w:t>
      </w:r>
      <w:r>
        <w:rPr>
          <w:rFonts w:hint="eastAsia" w:ascii="仿宋_GB2312" w:hAnsi="仿宋_GB2312" w:cs="仿宋_GB2312"/>
          <w:kern w:val="0"/>
          <w:szCs w:val="32"/>
          <w:lang w:val="en-US" w:eastAsia="zh-CN"/>
        </w:rPr>
        <w:t>1万元。</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黑体"/>
          <w:szCs w:val="30"/>
        </w:rPr>
      </w:pPr>
      <w:bookmarkStart w:id="0" w:name="_GoBack"/>
      <w:bookmarkEnd w:id="0"/>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0.21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0.21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w:t>
      </w:r>
      <w:r>
        <w:rPr>
          <w:rFonts w:hint="eastAsia" w:ascii="仿宋_GB2312" w:hAnsi="仿宋_GB2312" w:cs="仿宋_GB2312"/>
          <w:szCs w:val="32"/>
          <w:lang w:eastAsia="zh-CN"/>
        </w:rPr>
        <w:t>与上年预算持平。</w:t>
      </w:r>
      <w:r>
        <w:rPr>
          <w:rFonts w:hint="eastAsia" w:ascii="仿宋_GB2312" w:hAnsi="仿宋_GB2312" w:eastAsia="仿宋_GB2312" w:cs="仿宋_GB2312"/>
          <w:szCs w:val="32"/>
        </w:rPr>
        <w:t>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0.21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0.21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持平</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楷体" w:cs="仿宋_GB2312"/>
          <w:szCs w:val="32"/>
          <w:highlight w:val="none"/>
          <w:lang w:eastAsia="zh-CN"/>
        </w:rPr>
      </w:pPr>
      <w:r>
        <w:rPr>
          <w:rFonts w:eastAsia="楷体"/>
          <w:szCs w:val="32"/>
        </w:rPr>
        <w:t>本部门无政府性基金预算拨款</w:t>
      </w:r>
      <w:r>
        <w:rPr>
          <w:rFonts w:hint="eastAsia" w:eastAsia="楷体"/>
          <w:szCs w:val="32"/>
          <w:lang w:eastAsia="zh-CN"/>
        </w:rPr>
        <w:t>。</w:t>
      </w:r>
    </w:p>
    <w:p>
      <w:pPr>
        <w:ind w:firstLine="640"/>
        <w:rPr>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eastAsia="楷体"/>
          <w:szCs w:val="32"/>
          <w:lang w:eastAsia="zh-CN"/>
        </w:rPr>
      </w:pPr>
      <w:r>
        <w:rPr>
          <w:rFonts w:eastAsia="楷体"/>
          <w:szCs w:val="32"/>
        </w:rPr>
        <w:t>本部门无</w:t>
      </w:r>
      <w:r>
        <w:rPr>
          <w:rFonts w:hint="eastAsia" w:eastAsia="楷体"/>
          <w:szCs w:val="32"/>
        </w:rPr>
        <w:t>国有资本经营</w:t>
      </w:r>
      <w:r>
        <w:rPr>
          <w:rFonts w:eastAsia="楷体"/>
          <w:szCs w:val="32"/>
        </w:rPr>
        <w:t>预算拨款</w:t>
      </w:r>
      <w:r>
        <w:rPr>
          <w:rFonts w:hint="eastAsia" w:eastAsia="楷体"/>
          <w:szCs w:val="32"/>
          <w:lang w:eastAsia="zh-CN"/>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default" w:ascii="仿宋_GB2312" w:hAnsi="仿宋_GB2312" w:eastAsia="仿宋_GB2312" w:cs="仿宋_GB2312"/>
          <w:color w:val="auto"/>
          <w:szCs w:val="32"/>
          <w:highlight w:val="none"/>
          <w:lang w:val="en-US"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家行政单位机关运行经费财政拨款预算</w:t>
      </w:r>
      <w:r>
        <w:rPr>
          <w:rFonts w:hint="eastAsia" w:ascii="仿宋_GB2312" w:hAnsi="仿宋_GB2312" w:cs="仿宋_GB2312"/>
          <w:szCs w:val="32"/>
          <w:lang w:val="en-US" w:eastAsia="zh-CN"/>
        </w:rPr>
        <w:t>7.5</w:t>
      </w:r>
      <w:r>
        <w:rPr>
          <w:rFonts w:hint="eastAsia" w:ascii="仿宋_GB2312" w:hAnsi="仿宋_GB2312" w:eastAsia="仿宋_GB2312" w:cs="仿宋_GB2312"/>
          <w:szCs w:val="32"/>
        </w:rPr>
        <w:t>万元，</w:t>
      </w:r>
      <w:r>
        <w:rPr>
          <w:rFonts w:hint="eastAsia" w:ascii="仿宋_GB2312" w:hAnsi="仿宋_GB2312" w:cs="仿宋_GB2312"/>
          <w:szCs w:val="32"/>
          <w:lang w:eastAsia="zh-CN"/>
        </w:rPr>
        <w:t>比</w:t>
      </w:r>
      <w:r>
        <w:rPr>
          <w:rFonts w:hint="eastAsia" w:ascii="仿宋_GB2312" w:hAnsi="仿宋_GB2312" w:cs="仿宋_GB2312"/>
          <w:szCs w:val="32"/>
          <w:lang w:val="en-US" w:eastAsia="zh-CN"/>
        </w:rPr>
        <w:t>2023年预算增加2.7万元，</w:t>
      </w:r>
      <w:r>
        <w:rPr>
          <w:rFonts w:hint="eastAsia" w:ascii="仿宋_GB2312" w:hAnsi="仿宋_GB2312" w:cs="仿宋_GB2312"/>
          <w:color w:val="auto"/>
          <w:szCs w:val="32"/>
          <w:highlight w:val="none"/>
          <w:lang w:val="en-US" w:eastAsia="zh-CN"/>
        </w:rPr>
        <w:t>主要是召开了通榆县青年联合会第二届委员会全体会议。</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万元，其中：</w:t>
      </w:r>
      <w:r>
        <w:rPr>
          <w:rFonts w:hint="eastAsia" w:ascii="仿宋_GB2312" w:hAnsi="仿宋_GB2312" w:cs="仿宋_GB2312"/>
          <w:szCs w:val="32"/>
          <w:highlight w:val="none"/>
          <w:lang w:eastAsia="zh-CN"/>
        </w:rPr>
        <w:t>二</w:t>
      </w:r>
      <w:r>
        <w:rPr>
          <w:rFonts w:hint="eastAsia" w:ascii="仿宋_GB2312" w:hAnsi="仿宋_GB2312" w:eastAsia="仿宋_GB2312" w:cs="仿宋_GB2312"/>
          <w:szCs w:val="32"/>
          <w:highlight w:val="none"/>
        </w:rPr>
        <w:t>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13.50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13.50</w:t>
      </w:r>
      <w:r>
        <w:rPr>
          <w:rFonts w:hint="eastAsia" w:ascii="仿宋_GB2312" w:hAnsi="仿宋_GB2312" w:eastAsia="仿宋_GB2312" w:cs="仿宋_GB2312"/>
        </w:rPr>
        <w:t>万元。</w:t>
      </w:r>
    </w:p>
    <w:p>
      <w:pPr>
        <w:spacing w:line="540" w:lineRule="exact"/>
        <w:rPr>
          <w:szCs w:val="32"/>
        </w:rPr>
      </w:pP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page" w:x="5372" w:y="-73"/>
      <w:rPr>
        <w:rStyle w:val="14"/>
        <w:sz w:val="28"/>
      </w:rPr>
    </w:pPr>
    <w:r>
      <w:rPr>
        <w:rStyle w:val="14"/>
        <w:rFonts w:hint="eastAsia"/>
        <w:sz w:val="28"/>
      </w:rPr>
      <w:t>—</w:t>
    </w:r>
    <w:r>
      <w:rPr>
        <w:sz w:val="28"/>
      </w:rPr>
      <w:fldChar w:fldCharType="begin"/>
    </w:r>
    <w:r>
      <w:rPr>
        <w:rStyle w:val="14"/>
        <w:sz w:val="28"/>
      </w:rPr>
      <w:instrText xml:space="preserve">PAGE  </w:instrText>
    </w:r>
    <w:r>
      <w:rPr>
        <w:sz w:val="28"/>
      </w:rPr>
      <w:fldChar w:fldCharType="separate"/>
    </w:r>
    <w:r>
      <w:rPr>
        <w:rStyle w:val="14"/>
        <w:sz w:val="28"/>
      </w:rPr>
      <w:t>4</w:t>
    </w:r>
    <w:r>
      <w:rPr>
        <w:sz w:val="28"/>
      </w:rPr>
      <w:fldChar w:fldCharType="end"/>
    </w:r>
    <w:r>
      <w:rPr>
        <w:rStyle w:val="14"/>
        <w:rFonts w:hint="eastAsia"/>
        <w:sz w:val="28"/>
      </w:rPr>
      <w:t>—</w:t>
    </w:r>
  </w:p>
  <w:p>
    <w:pPr>
      <w:pStyle w:val="8"/>
      <w:framePr w:wrap="around" w:vAnchor="text" w:hAnchor="margin" w:xAlign="center" w:y="1"/>
      <w:ind w:right="360"/>
      <w:rPr>
        <w:rStyle w:val="14"/>
      </w:rPr>
    </w:pPr>
  </w:p>
  <w:p>
    <w:pPr>
      <w:pStyle w:val="8"/>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4"/>
      </w:rPr>
    </w:pPr>
    <w:r>
      <w:fldChar w:fldCharType="begin"/>
    </w:r>
    <w:r>
      <w:rPr>
        <w:rStyle w:val="14"/>
      </w:rPr>
      <w:instrText xml:space="preserve">PAGE  </w:instrText>
    </w:r>
    <w:r>
      <w:fldChar w:fldCharType="separate"/>
    </w:r>
    <w:r>
      <w:rPr>
        <w:rStyle w:val="14"/>
      </w:rPr>
      <w:t>0</w: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FC6355"/>
    <w:rsid w:val="031D7D4B"/>
    <w:rsid w:val="03C230FA"/>
    <w:rsid w:val="03EF7C67"/>
    <w:rsid w:val="04022755"/>
    <w:rsid w:val="04057E87"/>
    <w:rsid w:val="0459228A"/>
    <w:rsid w:val="0486486A"/>
    <w:rsid w:val="04954460"/>
    <w:rsid w:val="04F026C1"/>
    <w:rsid w:val="050D06DA"/>
    <w:rsid w:val="050F3BA7"/>
    <w:rsid w:val="05513E94"/>
    <w:rsid w:val="056F5A6D"/>
    <w:rsid w:val="059B3770"/>
    <w:rsid w:val="063949A0"/>
    <w:rsid w:val="067960C1"/>
    <w:rsid w:val="06BD5BC7"/>
    <w:rsid w:val="07D21289"/>
    <w:rsid w:val="07F544B0"/>
    <w:rsid w:val="09A0082A"/>
    <w:rsid w:val="09CA2D09"/>
    <w:rsid w:val="0A334D52"/>
    <w:rsid w:val="0A5E7D79"/>
    <w:rsid w:val="0AB02703"/>
    <w:rsid w:val="0ABA06FE"/>
    <w:rsid w:val="0B5F5ADA"/>
    <w:rsid w:val="0B710869"/>
    <w:rsid w:val="0C2A5C84"/>
    <w:rsid w:val="0DA001B0"/>
    <w:rsid w:val="0DB6446C"/>
    <w:rsid w:val="0DEB170B"/>
    <w:rsid w:val="0E236E8B"/>
    <w:rsid w:val="0E4C7841"/>
    <w:rsid w:val="0EDB32C2"/>
    <w:rsid w:val="0F125456"/>
    <w:rsid w:val="0F3E0406"/>
    <w:rsid w:val="0F8B592F"/>
    <w:rsid w:val="0FD62F63"/>
    <w:rsid w:val="107728C7"/>
    <w:rsid w:val="10AE7F82"/>
    <w:rsid w:val="10C93B35"/>
    <w:rsid w:val="11177619"/>
    <w:rsid w:val="112605C8"/>
    <w:rsid w:val="114D7895"/>
    <w:rsid w:val="1299658B"/>
    <w:rsid w:val="12E711B7"/>
    <w:rsid w:val="136D62BD"/>
    <w:rsid w:val="13F21722"/>
    <w:rsid w:val="1441443C"/>
    <w:rsid w:val="149D4DDA"/>
    <w:rsid w:val="14C12787"/>
    <w:rsid w:val="14DE3B0C"/>
    <w:rsid w:val="14F96B98"/>
    <w:rsid w:val="153656F6"/>
    <w:rsid w:val="15593E10"/>
    <w:rsid w:val="159F7E25"/>
    <w:rsid w:val="15F848D0"/>
    <w:rsid w:val="160E1FA5"/>
    <w:rsid w:val="160F2600"/>
    <w:rsid w:val="16580C38"/>
    <w:rsid w:val="16ED23F0"/>
    <w:rsid w:val="17765BCA"/>
    <w:rsid w:val="17A027D8"/>
    <w:rsid w:val="17B0145F"/>
    <w:rsid w:val="1A304FAD"/>
    <w:rsid w:val="1A817DF8"/>
    <w:rsid w:val="1AA21C08"/>
    <w:rsid w:val="1ADC594E"/>
    <w:rsid w:val="1AEB5252"/>
    <w:rsid w:val="1B2D3AB4"/>
    <w:rsid w:val="1BA851DA"/>
    <w:rsid w:val="1C852172"/>
    <w:rsid w:val="1CA40C0C"/>
    <w:rsid w:val="1CFF4A32"/>
    <w:rsid w:val="1D833200"/>
    <w:rsid w:val="1E2D59A2"/>
    <w:rsid w:val="1E3A3FD0"/>
    <w:rsid w:val="1E7B061E"/>
    <w:rsid w:val="1EA8656B"/>
    <w:rsid w:val="1EB55C07"/>
    <w:rsid w:val="1F0028D1"/>
    <w:rsid w:val="1F351A10"/>
    <w:rsid w:val="1F8B663F"/>
    <w:rsid w:val="1F8D685B"/>
    <w:rsid w:val="1FED47E9"/>
    <w:rsid w:val="206816AC"/>
    <w:rsid w:val="22182A1E"/>
    <w:rsid w:val="22A4003E"/>
    <w:rsid w:val="23984063"/>
    <w:rsid w:val="23CE11F0"/>
    <w:rsid w:val="23EC61F6"/>
    <w:rsid w:val="244C543C"/>
    <w:rsid w:val="24624768"/>
    <w:rsid w:val="24737D4E"/>
    <w:rsid w:val="2539376C"/>
    <w:rsid w:val="254C6FAD"/>
    <w:rsid w:val="259B5BC5"/>
    <w:rsid w:val="25C7462E"/>
    <w:rsid w:val="25F62C4E"/>
    <w:rsid w:val="265718D7"/>
    <w:rsid w:val="26643D6C"/>
    <w:rsid w:val="26CC5EBA"/>
    <w:rsid w:val="26FE109D"/>
    <w:rsid w:val="27073E1E"/>
    <w:rsid w:val="27B04AB3"/>
    <w:rsid w:val="28A63332"/>
    <w:rsid w:val="29C45F24"/>
    <w:rsid w:val="2D7F092D"/>
    <w:rsid w:val="2DA617C2"/>
    <w:rsid w:val="2DF8796C"/>
    <w:rsid w:val="2EB22F18"/>
    <w:rsid w:val="2EE12108"/>
    <w:rsid w:val="2EED35E3"/>
    <w:rsid w:val="2F006161"/>
    <w:rsid w:val="2F250383"/>
    <w:rsid w:val="2F63610B"/>
    <w:rsid w:val="300965A3"/>
    <w:rsid w:val="30730D6E"/>
    <w:rsid w:val="30872E52"/>
    <w:rsid w:val="30B91A70"/>
    <w:rsid w:val="3111376B"/>
    <w:rsid w:val="323B637A"/>
    <w:rsid w:val="32CF2C5D"/>
    <w:rsid w:val="33487479"/>
    <w:rsid w:val="335402B5"/>
    <w:rsid w:val="339466B2"/>
    <w:rsid w:val="34555AF5"/>
    <w:rsid w:val="34BD5094"/>
    <w:rsid w:val="35616772"/>
    <w:rsid w:val="35EA1663"/>
    <w:rsid w:val="360631C4"/>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BF52EF6"/>
    <w:rsid w:val="3C29381E"/>
    <w:rsid w:val="3C711E1D"/>
    <w:rsid w:val="3C7F463D"/>
    <w:rsid w:val="3CAE3960"/>
    <w:rsid w:val="3D365BF6"/>
    <w:rsid w:val="3D406F54"/>
    <w:rsid w:val="3DF23324"/>
    <w:rsid w:val="3EA14040"/>
    <w:rsid w:val="3EE8108D"/>
    <w:rsid w:val="3EFA291A"/>
    <w:rsid w:val="405745EF"/>
    <w:rsid w:val="4090365D"/>
    <w:rsid w:val="40B80EFF"/>
    <w:rsid w:val="41A35364"/>
    <w:rsid w:val="41C31686"/>
    <w:rsid w:val="423028C5"/>
    <w:rsid w:val="42982B4E"/>
    <w:rsid w:val="436B1E42"/>
    <w:rsid w:val="43993170"/>
    <w:rsid w:val="44054362"/>
    <w:rsid w:val="449C5E6A"/>
    <w:rsid w:val="44C935E1"/>
    <w:rsid w:val="44FC5BF6"/>
    <w:rsid w:val="456D114B"/>
    <w:rsid w:val="45EB670F"/>
    <w:rsid w:val="45FA22D5"/>
    <w:rsid w:val="46AB7C0D"/>
    <w:rsid w:val="46D44808"/>
    <w:rsid w:val="47192E12"/>
    <w:rsid w:val="473737A7"/>
    <w:rsid w:val="47CF49E6"/>
    <w:rsid w:val="480C7D88"/>
    <w:rsid w:val="4843587B"/>
    <w:rsid w:val="486114C0"/>
    <w:rsid w:val="48674ED2"/>
    <w:rsid w:val="487708E6"/>
    <w:rsid w:val="4877127C"/>
    <w:rsid w:val="489B34E7"/>
    <w:rsid w:val="49645F71"/>
    <w:rsid w:val="499F5C68"/>
    <w:rsid w:val="4A403BDA"/>
    <w:rsid w:val="4AF16062"/>
    <w:rsid w:val="4B12779A"/>
    <w:rsid w:val="4B646DDD"/>
    <w:rsid w:val="4B7F44F8"/>
    <w:rsid w:val="4BAC24C5"/>
    <w:rsid w:val="4BFA0656"/>
    <w:rsid w:val="4C5567C9"/>
    <w:rsid w:val="4C880C78"/>
    <w:rsid w:val="4D4911D5"/>
    <w:rsid w:val="4D730507"/>
    <w:rsid w:val="4D741DD3"/>
    <w:rsid w:val="4D950505"/>
    <w:rsid w:val="4DC93207"/>
    <w:rsid w:val="4E036955"/>
    <w:rsid w:val="4E2A22FD"/>
    <w:rsid w:val="4E8D5761"/>
    <w:rsid w:val="4EF54A85"/>
    <w:rsid w:val="4F0F2539"/>
    <w:rsid w:val="4F3D5C49"/>
    <w:rsid w:val="4F6F75D9"/>
    <w:rsid w:val="501B3C66"/>
    <w:rsid w:val="504B40C5"/>
    <w:rsid w:val="50760969"/>
    <w:rsid w:val="507636DE"/>
    <w:rsid w:val="50987DC2"/>
    <w:rsid w:val="50A4703E"/>
    <w:rsid w:val="50E319F3"/>
    <w:rsid w:val="5136104F"/>
    <w:rsid w:val="51E55C99"/>
    <w:rsid w:val="52071113"/>
    <w:rsid w:val="522B3E0E"/>
    <w:rsid w:val="52447C09"/>
    <w:rsid w:val="525A440D"/>
    <w:rsid w:val="52D63A99"/>
    <w:rsid w:val="53D147A1"/>
    <w:rsid w:val="54741940"/>
    <w:rsid w:val="54810E66"/>
    <w:rsid w:val="54C2556E"/>
    <w:rsid w:val="54EC4184"/>
    <w:rsid w:val="55480EEF"/>
    <w:rsid w:val="561346BC"/>
    <w:rsid w:val="56570E30"/>
    <w:rsid w:val="57AE5C26"/>
    <w:rsid w:val="57DD75A9"/>
    <w:rsid w:val="58256ABD"/>
    <w:rsid w:val="583F79EB"/>
    <w:rsid w:val="5902026F"/>
    <w:rsid w:val="59472AC7"/>
    <w:rsid w:val="59BD150F"/>
    <w:rsid w:val="59DD570D"/>
    <w:rsid w:val="59FF5EDC"/>
    <w:rsid w:val="5A084708"/>
    <w:rsid w:val="5AB343F7"/>
    <w:rsid w:val="5ABF50F2"/>
    <w:rsid w:val="5AF76904"/>
    <w:rsid w:val="5B052E7A"/>
    <w:rsid w:val="5B1F1D55"/>
    <w:rsid w:val="5B3D7F7E"/>
    <w:rsid w:val="5B7C7777"/>
    <w:rsid w:val="5B9462A0"/>
    <w:rsid w:val="5BCF210D"/>
    <w:rsid w:val="5BEC6771"/>
    <w:rsid w:val="5C294C3A"/>
    <w:rsid w:val="5CA506B9"/>
    <w:rsid w:val="5CFD5FB2"/>
    <w:rsid w:val="5D2B52D8"/>
    <w:rsid w:val="5D5A7C63"/>
    <w:rsid w:val="5D902A97"/>
    <w:rsid w:val="5E256F6F"/>
    <w:rsid w:val="5E552CA1"/>
    <w:rsid w:val="5F5E7DE6"/>
    <w:rsid w:val="5F6235A9"/>
    <w:rsid w:val="5FA12D39"/>
    <w:rsid w:val="60EA0710"/>
    <w:rsid w:val="614125C2"/>
    <w:rsid w:val="614C4F26"/>
    <w:rsid w:val="624C5C52"/>
    <w:rsid w:val="63952BB5"/>
    <w:rsid w:val="63DF08E4"/>
    <w:rsid w:val="641142D5"/>
    <w:rsid w:val="64127E15"/>
    <w:rsid w:val="64C04AFD"/>
    <w:rsid w:val="65982E30"/>
    <w:rsid w:val="661A7B69"/>
    <w:rsid w:val="664909C1"/>
    <w:rsid w:val="669872A7"/>
    <w:rsid w:val="66C63EB5"/>
    <w:rsid w:val="66CB4B3F"/>
    <w:rsid w:val="677772D0"/>
    <w:rsid w:val="679461D3"/>
    <w:rsid w:val="680A468E"/>
    <w:rsid w:val="68411BCE"/>
    <w:rsid w:val="6858287E"/>
    <w:rsid w:val="690B59F8"/>
    <w:rsid w:val="69157114"/>
    <w:rsid w:val="691A443E"/>
    <w:rsid w:val="692D10BE"/>
    <w:rsid w:val="6976014D"/>
    <w:rsid w:val="6A80735F"/>
    <w:rsid w:val="6ACC5E47"/>
    <w:rsid w:val="6AD43ED1"/>
    <w:rsid w:val="6AE37117"/>
    <w:rsid w:val="6B11024D"/>
    <w:rsid w:val="6B7D5B36"/>
    <w:rsid w:val="6BDD334B"/>
    <w:rsid w:val="6C1B0677"/>
    <w:rsid w:val="6C7B5B98"/>
    <w:rsid w:val="6CF120A8"/>
    <w:rsid w:val="6F8110E9"/>
    <w:rsid w:val="70203102"/>
    <w:rsid w:val="714213DD"/>
    <w:rsid w:val="717F272E"/>
    <w:rsid w:val="72495A1C"/>
    <w:rsid w:val="728027C6"/>
    <w:rsid w:val="72D54D7C"/>
    <w:rsid w:val="737664E0"/>
    <w:rsid w:val="73FE7ACC"/>
    <w:rsid w:val="74053F35"/>
    <w:rsid w:val="74556746"/>
    <w:rsid w:val="74AB7A24"/>
    <w:rsid w:val="76BB79B1"/>
    <w:rsid w:val="76C17E06"/>
    <w:rsid w:val="76CA67BD"/>
    <w:rsid w:val="774E6400"/>
    <w:rsid w:val="775B0046"/>
    <w:rsid w:val="782B7E07"/>
    <w:rsid w:val="78796248"/>
    <w:rsid w:val="788039DC"/>
    <w:rsid w:val="79700BEF"/>
    <w:rsid w:val="79F015F5"/>
    <w:rsid w:val="79F85634"/>
    <w:rsid w:val="7A090695"/>
    <w:rsid w:val="7AE175F4"/>
    <w:rsid w:val="7B407452"/>
    <w:rsid w:val="7B417685"/>
    <w:rsid w:val="7B5220F0"/>
    <w:rsid w:val="7BA169C0"/>
    <w:rsid w:val="7BE95D3C"/>
    <w:rsid w:val="7C9A6573"/>
    <w:rsid w:val="7CAD595B"/>
    <w:rsid w:val="7CF65D07"/>
    <w:rsid w:val="7D2975D1"/>
    <w:rsid w:val="7D7B5DC3"/>
    <w:rsid w:val="7DCC0CD6"/>
    <w:rsid w:val="7F2F3506"/>
    <w:rsid w:val="7FDD6BF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624"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3">
    <w:name w:val="Default Paragraph Font"/>
    <w:qFormat/>
    <w:uiPriority w:val="0"/>
  </w:style>
  <w:style w:type="table" w:default="1" w:styleId="11">
    <w:name w:val="Normal Table"/>
    <w:unhideWhenUsed/>
    <w:qFormat/>
    <w:uiPriority w:val="99"/>
    <w:tblPr>
      <w:tblCellMar>
        <w:top w:w="0" w:type="dxa"/>
        <w:left w:w="108" w:type="dxa"/>
        <w:bottom w:w="0" w:type="dxa"/>
        <w:right w:w="108" w:type="dxa"/>
      </w:tblCellMar>
    </w:tblPr>
  </w:style>
  <w:style w:type="paragraph" w:styleId="3">
    <w:name w:val="Body Text"/>
    <w:basedOn w:val="1"/>
    <w:qFormat/>
    <w:uiPriority w:val="1624"/>
    <w:rPr>
      <w:rFonts w:ascii="仿宋" w:hAnsi="仿宋" w:eastAsia="仿宋" w:cs="仿宋"/>
      <w:sz w:val="32"/>
      <w:szCs w:val="32"/>
      <w:lang w:val="zh-CN" w:eastAsia="zh-CN" w:bidi="zh-CN"/>
    </w:rPr>
  </w:style>
  <w:style w:type="paragraph" w:styleId="4">
    <w:name w:val="Body Text Indent"/>
    <w:basedOn w:val="1"/>
    <w:qFormat/>
    <w:uiPriority w:val="0"/>
    <w:pPr>
      <w:tabs>
        <w:tab w:val="left" w:pos="8372"/>
      </w:tabs>
      <w:spacing w:line="540" w:lineRule="exact"/>
      <w:ind w:firstLine="630"/>
    </w:pPr>
    <w:rPr>
      <w:rFonts w:eastAsia="黑体"/>
    </w:rPr>
  </w:style>
  <w:style w:type="paragraph" w:styleId="5">
    <w:name w:val="Date"/>
    <w:basedOn w:val="1"/>
    <w:next w:val="1"/>
    <w:qFormat/>
    <w:uiPriority w:val="0"/>
  </w:style>
  <w:style w:type="paragraph" w:styleId="6">
    <w:name w:val="Body Text Indent 2"/>
    <w:basedOn w:val="1"/>
    <w:qFormat/>
    <w:uiPriority w:val="0"/>
    <w:pPr>
      <w:tabs>
        <w:tab w:val="left" w:pos="8372"/>
      </w:tabs>
      <w:spacing w:line="540" w:lineRule="exact"/>
      <w:ind w:firstLine="630"/>
    </w:pPr>
    <w:rPr>
      <w:b/>
      <w:bCs/>
    </w:rPr>
  </w:style>
  <w:style w:type="paragraph" w:styleId="7">
    <w:name w:val="Balloon Text"/>
    <w:basedOn w:val="1"/>
    <w:link w:val="15"/>
    <w:qFormat/>
    <w:uiPriority w:val="0"/>
    <w:rPr>
      <w:sz w:val="18"/>
      <w:szCs w:val="18"/>
    </w:rPr>
  </w:style>
  <w:style w:type="paragraph" w:styleId="8">
    <w:name w:val="footer"/>
    <w:basedOn w:val="1"/>
    <w:link w:val="16"/>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2">
    <w:name w:val="Table Grid"/>
    <w:basedOn w:val="11"/>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page number"/>
    <w:basedOn w:val="13"/>
    <w:qFormat/>
    <w:uiPriority w:val="0"/>
  </w:style>
  <w:style w:type="character" w:customStyle="1" w:styleId="15">
    <w:name w:val="批注框文本 字符"/>
    <w:link w:val="7"/>
    <w:qFormat/>
    <w:uiPriority w:val="0"/>
    <w:rPr>
      <w:rFonts w:eastAsia="仿宋_GB2312"/>
      <w:kern w:val="2"/>
      <w:sz w:val="18"/>
      <w:szCs w:val="18"/>
    </w:rPr>
  </w:style>
  <w:style w:type="character" w:customStyle="1" w:styleId="16">
    <w:name w:val="页脚 字符"/>
    <w:link w:val="8"/>
    <w:qFormat/>
    <w:uiPriority w:val="0"/>
    <w:rPr>
      <w:rFonts w:eastAsia="仿宋_GB2312"/>
      <w:kern w:val="2"/>
      <w:sz w:val="18"/>
    </w:rPr>
  </w:style>
  <w:style w:type="character" w:customStyle="1" w:styleId="17">
    <w:name w:val="font11"/>
    <w:qFormat/>
    <w:uiPriority w:val="0"/>
    <w:rPr>
      <w:rFonts w:hint="default" w:ascii="Arial" w:hAnsi="Arial" w:cs="Arial"/>
      <w:color w:val="000000"/>
      <w:sz w:val="24"/>
      <w:szCs w:val="24"/>
      <w:u w:val="none"/>
    </w:rPr>
  </w:style>
  <w:style w:type="character" w:customStyle="1" w:styleId="18">
    <w:name w:val="font61"/>
    <w:qFormat/>
    <w:uiPriority w:val="0"/>
    <w:rPr>
      <w:rFonts w:hint="eastAsia" w:ascii="宋体" w:hAnsi="宋体" w:eastAsia="宋体" w:cs="宋体"/>
      <w:color w:val="000000"/>
      <w:sz w:val="24"/>
      <w:szCs w:val="24"/>
      <w:u w:val="none"/>
    </w:rPr>
  </w:style>
  <w:style w:type="character" w:customStyle="1" w:styleId="19">
    <w:name w:val="font01"/>
    <w:qFormat/>
    <w:uiPriority w:val="0"/>
    <w:rPr>
      <w:rFonts w:hint="default" w:ascii="Times New Roman" w:hAnsi="Times New Roman" w:cs="Times New Roman"/>
      <w:color w:val="000000"/>
      <w:sz w:val="24"/>
      <w:szCs w:val="24"/>
      <w:u w:val="none"/>
    </w:rPr>
  </w:style>
  <w:style w:type="character" w:customStyle="1" w:styleId="20">
    <w:name w:val="font41"/>
    <w:qFormat/>
    <w:uiPriority w:val="0"/>
    <w:rPr>
      <w:rFonts w:hint="default" w:ascii="华文细黑" w:hAnsi="华文细黑" w:eastAsia="华文细黑" w:cs="华文细黑"/>
      <w:color w:val="000000"/>
      <w:sz w:val="20"/>
      <w:szCs w:val="20"/>
      <w:u w:val="none"/>
    </w:rPr>
  </w:style>
  <w:style w:type="character" w:customStyle="1" w:styleId="21">
    <w:name w:val="font21"/>
    <w:qFormat/>
    <w:uiPriority w:val="0"/>
    <w:rPr>
      <w:rFonts w:hint="default" w:ascii="Arial" w:hAnsi="Arial" w:cs="Arial"/>
      <w:color w:val="000000"/>
      <w:sz w:val="20"/>
      <w:szCs w:val="20"/>
      <w:u w:val="none"/>
    </w:rPr>
  </w:style>
  <w:style w:type="paragraph" w:customStyle="1" w:styleId="22">
    <w:name w:val="Char"/>
    <w:basedOn w:val="1"/>
    <w:qFormat/>
    <w:uiPriority w:val="0"/>
    <w:rPr>
      <w:rFonts w:eastAsia="宋体"/>
      <w:sz w:val="21"/>
      <w:szCs w:val="21"/>
    </w:rPr>
  </w:style>
  <w:style w:type="paragraph" w:customStyle="1" w:styleId="23">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7">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9">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0">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2">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3">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7">
    <w:name w:val="正文文本 21"/>
    <w:basedOn w:val="1"/>
    <w:qFormat/>
    <w:uiPriority w:val="0"/>
    <w:pPr>
      <w:adjustRightInd w:val="0"/>
      <w:ind w:firstLine="630"/>
      <w:jc w:val="left"/>
      <w:textAlignment w:val="baseline"/>
    </w:pPr>
    <w:rPr>
      <w:rFonts w:eastAsia="黑体"/>
    </w:rPr>
  </w:style>
  <w:style w:type="paragraph" w:customStyle="1" w:styleId="38">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1">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2">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3">
    <w:name w:val="p0"/>
    <w:basedOn w:val="54"/>
    <w:qFormat/>
    <w:uiPriority w:val="0"/>
    <w:pPr>
      <w:widowControl/>
    </w:pPr>
    <w:rPr>
      <w:rFonts w:eastAsia="宋体"/>
      <w:kern w:val="0"/>
      <w:szCs w:val="32"/>
    </w:rPr>
  </w:style>
  <w:style w:type="paragraph" w:customStyle="1" w:styleId="54">
    <w:name w:val="正文 New New New New"/>
    <w:qFormat/>
    <w:uiPriority w:val="2"/>
    <w:pPr>
      <w:widowControl w:val="0"/>
      <w:suppressAutoHyphens w:val="0"/>
      <w:bidi w:val="0"/>
      <w:jc w:val="both"/>
    </w:pPr>
    <w:rPr>
      <w:rFonts w:ascii="Times New Roman" w:hAnsi="Times New Roman" w:eastAsia="仿宋_GB2312" w:cs="Times New Roman"/>
      <w:color w:val="auto"/>
      <w:kern w:val="2"/>
      <w:sz w:val="32"/>
      <w:szCs w:val="20"/>
      <w:lang w:val="en-US" w:eastAsia="zh-CN" w:bidi="ar-SA"/>
    </w:rPr>
  </w:style>
  <w:style w:type="paragraph" w:customStyle="1" w:styleId="5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6">
    <w:name w:val="列出段落"/>
    <w:basedOn w:val="1"/>
    <w:qFormat/>
    <w:uiPriority w:val="1723"/>
    <w:pPr>
      <w:ind w:left="0" w:right="0" w:firstLine="420"/>
    </w:pPr>
    <w:rPr>
      <w:rFonts w:ascii="Calibri" w:hAnsi="Calibri" w:eastAsia="宋体" w:cs="Calibri"/>
      <w:sz w:val="21"/>
      <w:szCs w:val="22"/>
    </w:rPr>
  </w:style>
  <w:style w:type="character" w:customStyle="1" w:styleId="87">
    <w:name w:val="font31"/>
    <w:basedOn w:val="13"/>
    <w:qFormat/>
    <w:uiPriority w:val="0"/>
    <w:rPr>
      <w:rFonts w:ascii="Arial" w:hAnsi="Arial" w:cs="Arial"/>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6504</Words>
  <Characters>7580</Characters>
  <Lines>71</Lines>
  <Paragraphs>20</Paragraphs>
  <TotalTime>36</TotalTime>
  <ScaleCrop>false</ScaleCrop>
  <LinksUpToDate>false</LinksUpToDate>
  <CharactersWithSpaces>8199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2024-01-31T01:56:00Z</cp:lastPrinted>
  <dcterms:modified xsi:type="dcterms:W3CDTF">2024-01-31T06:42:11Z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