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ascii="微软雅黑" w:hAnsi="微软雅黑" w:eastAsia="微软雅黑" w:cs="微软雅黑"/>
          <w:spacing w:val="-2"/>
          <w:sz w:val="43"/>
          <w:szCs w:val="43"/>
          <w:u w:val="single" w:color="auto"/>
        </w:rPr>
        <w:t>通榆县老干部大学</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before="179" w:line="576" w:lineRule="exact"/>
        <w:ind w:firstLine="641"/>
        <w:textAlignment w:val="auto"/>
        <w:rPr>
          <w:rFonts w:ascii="仿宋" w:hAnsi="仿宋" w:eastAsia="仿宋" w:cs="仿宋"/>
          <w:sz w:val="31"/>
          <w:szCs w:val="31"/>
        </w:rPr>
      </w:pPr>
      <w:r>
        <w:rPr>
          <w:rFonts w:ascii="仿宋" w:hAnsi="仿宋" w:eastAsia="仿宋" w:cs="仿宋"/>
          <w:spacing w:val="12"/>
          <w:sz w:val="31"/>
          <w:szCs w:val="31"/>
        </w:rPr>
        <w:t>贯彻落实各级关于老干部工作和老干部教育的方针政策精神，开展老年教育工作；组织实施县老干部大学的教育、教学</w:t>
      </w:r>
      <w:r>
        <w:rPr>
          <w:rFonts w:ascii="仿宋" w:hAnsi="仿宋" w:eastAsia="仿宋" w:cs="仿宋"/>
          <w:spacing w:val="4"/>
          <w:sz w:val="31"/>
          <w:szCs w:val="31"/>
        </w:rPr>
        <w:t>管理。组织开展老年教育理论研究，探索老年教育规律和特点，</w:t>
      </w:r>
      <w:r>
        <w:rPr>
          <w:rFonts w:ascii="仿宋" w:hAnsi="仿宋" w:eastAsia="仿宋" w:cs="仿宋"/>
          <w:spacing w:val="12"/>
          <w:sz w:val="31"/>
          <w:szCs w:val="31"/>
        </w:rPr>
        <w:t>促进老年教育事业发展；发挥老干部大学思想政治工作的阵地的作用，定期举办学员理论培训班，加强离退休干部思想政治建设，使老同志做到政治坚定、思想常新、理想永存；组织学</w:t>
      </w:r>
      <w:r>
        <w:rPr>
          <w:rFonts w:ascii="仿宋" w:hAnsi="仿宋" w:eastAsia="仿宋" w:cs="仿宋"/>
          <w:spacing w:val="9"/>
          <w:sz w:val="31"/>
          <w:szCs w:val="31"/>
        </w:rPr>
        <w:t>员开展“第二课堂”活动，弘扬先进文化，传播精神文明，发</w:t>
      </w:r>
      <w:r>
        <w:rPr>
          <w:rFonts w:ascii="仿宋" w:hAnsi="仿宋" w:eastAsia="仿宋" w:cs="仿宋"/>
          <w:spacing w:val="12"/>
          <w:sz w:val="31"/>
          <w:szCs w:val="31"/>
        </w:rPr>
        <w:t>挥老同志在构建和谐社会中的积极作用；努力开发老干部的潜</w:t>
      </w:r>
      <w:r>
        <w:rPr>
          <w:rFonts w:ascii="仿宋" w:hAnsi="仿宋" w:eastAsia="仿宋" w:cs="仿宋"/>
          <w:spacing w:val="10"/>
          <w:sz w:val="31"/>
          <w:szCs w:val="31"/>
        </w:rPr>
        <w:t>能，抓好各类学科和各项活动的落实，以提高老同志的身体素</w:t>
      </w:r>
      <w:r>
        <w:rPr>
          <w:rFonts w:ascii="仿宋" w:hAnsi="仿宋" w:eastAsia="仿宋" w:cs="仿宋"/>
          <w:spacing w:val="12"/>
          <w:sz w:val="31"/>
          <w:szCs w:val="31"/>
        </w:rPr>
        <w:t>质和晚年生活能力；落实企业离休干部各项待遇，按时办理企</w:t>
      </w:r>
      <w:r>
        <w:rPr>
          <w:rFonts w:ascii="仿宋" w:hAnsi="仿宋" w:eastAsia="仿宋" w:cs="仿宋"/>
          <w:spacing w:val="8"/>
          <w:sz w:val="31"/>
          <w:szCs w:val="31"/>
        </w:rPr>
        <w:t>业离休干部增加养老金和医疗统筹的各项手续。</w:t>
      </w:r>
    </w:p>
    <w:p>
      <w:pPr>
        <w:spacing w:before="195" w:line="234" w:lineRule="auto"/>
        <w:ind w:left="632"/>
        <w:rPr>
          <w:rFonts w:ascii="楷体" w:hAnsi="楷体" w:eastAsia="楷体" w:cs="楷体"/>
          <w:sz w:val="31"/>
          <w:szCs w:val="31"/>
        </w:rPr>
      </w:pPr>
      <w:r>
        <w:rPr>
          <w:rFonts w:ascii="楷体" w:hAnsi="楷体" w:eastAsia="楷体" w:cs="楷体"/>
          <w:spacing w:val="7"/>
          <w:sz w:val="31"/>
          <w:szCs w:val="31"/>
        </w:rPr>
        <w:t>二、机构设置</w:t>
      </w:r>
    </w:p>
    <w:p>
      <w:pPr>
        <w:spacing w:before="180" w:line="226" w:lineRule="auto"/>
        <w:ind w:left="640"/>
        <w:rPr>
          <w:rFonts w:ascii="仿宋" w:hAnsi="仿宋" w:eastAsia="仿宋" w:cs="仿宋"/>
          <w:sz w:val="31"/>
          <w:szCs w:val="31"/>
        </w:rPr>
      </w:pPr>
      <w:r>
        <w:rPr>
          <w:rFonts w:ascii="仿宋" w:hAnsi="仿宋" w:eastAsia="仿宋" w:cs="仿宋"/>
          <w:spacing w:val="8"/>
          <w:sz w:val="31"/>
          <w:szCs w:val="31"/>
        </w:rPr>
        <w:t>根据上述职责，</w:t>
      </w:r>
      <w:r>
        <w:rPr>
          <w:rFonts w:ascii="仿宋" w:hAnsi="仿宋" w:eastAsia="仿宋" w:cs="仿宋"/>
          <w:spacing w:val="8"/>
          <w:sz w:val="31"/>
          <w:szCs w:val="31"/>
          <w:u w:val="single" w:color="auto"/>
        </w:rPr>
        <w:t>通榆县老干部大学</w:t>
      </w:r>
      <w:r>
        <w:rPr>
          <w:rFonts w:ascii="仿宋" w:hAnsi="仿宋" w:eastAsia="仿宋" w:cs="仿宋"/>
          <w:spacing w:val="8"/>
          <w:sz w:val="31"/>
          <w:szCs w:val="31"/>
        </w:rPr>
        <w:t>内设</w:t>
      </w:r>
      <w:r>
        <w:rPr>
          <w:rFonts w:ascii="仿宋" w:hAnsi="仿宋" w:eastAsia="仿宋" w:cs="仿宋"/>
          <w:spacing w:val="8"/>
          <w:sz w:val="31"/>
          <w:szCs w:val="31"/>
          <w:u w:val="single" w:color="auto"/>
        </w:rPr>
        <w:t xml:space="preserve"> 0 </w:t>
      </w:r>
      <w:r>
        <w:rPr>
          <w:rFonts w:ascii="仿宋" w:hAnsi="仿宋" w:eastAsia="仿宋" w:cs="仿宋"/>
          <w:spacing w:val="8"/>
          <w:sz w:val="31"/>
          <w:szCs w:val="31"/>
        </w:rPr>
        <w:t>个机构。</w:t>
      </w:r>
    </w:p>
    <w:p>
      <w:pPr>
        <w:pStyle w:val="51"/>
        <w:ind w:firstLine="628" w:firstLineChars="200"/>
        <w:rPr>
          <w:rFonts w:eastAsia="楷体"/>
        </w:rPr>
      </w:pPr>
      <w:r>
        <w:rPr>
          <w:rFonts w:ascii="仿宋" w:hAnsi="仿宋" w:eastAsia="仿宋" w:cs="仿宋"/>
          <w:spacing w:val="2"/>
          <w:sz w:val="31"/>
          <w:szCs w:val="31"/>
        </w:rPr>
        <w:t>下设</w:t>
      </w:r>
      <w:r>
        <w:rPr>
          <w:rFonts w:ascii="仿宋" w:hAnsi="仿宋" w:eastAsia="仿宋" w:cs="仿宋"/>
          <w:spacing w:val="2"/>
          <w:sz w:val="31"/>
          <w:szCs w:val="31"/>
          <w:u w:val="single" w:color="auto"/>
        </w:rPr>
        <w:t xml:space="preserve"> 0</w:t>
      </w:r>
      <w:r>
        <w:rPr>
          <w:rFonts w:ascii="仿宋" w:hAnsi="仿宋" w:eastAsia="仿宋" w:cs="仿宋"/>
          <w:spacing w:val="35"/>
          <w:sz w:val="31"/>
          <w:szCs w:val="31"/>
          <w:u w:val="single" w:color="auto"/>
        </w:rPr>
        <w:t xml:space="preserve"> </w:t>
      </w:r>
      <w:r>
        <w:rPr>
          <w:rFonts w:ascii="仿宋" w:hAnsi="仿宋" w:eastAsia="仿宋" w:cs="仿宋"/>
          <w:spacing w:val="2"/>
          <w:sz w:val="31"/>
          <w:szCs w:val="31"/>
        </w:rPr>
        <w:t>家预算单位。</w:t>
      </w: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85.28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85.28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85.28</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85.28</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通榆县老干部大学</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85.28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85.28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85.28</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85.28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85.28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85.28</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一、</w:t>
                  </w:r>
                  <w:r>
                    <w:rPr>
                      <w:rFonts w:hint="eastAsia" w:ascii="宋体" w:hAnsi="宋体" w:eastAsia="宋体" w:cs="宋体"/>
                      <w:color w:val="000000"/>
                      <w:sz w:val="20"/>
                      <w:szCs w:val="20"/>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85.28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85.28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组织事务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二、</w:t>
                  </w:r>
                  <w:r>
                    <w:rPr>
                      <w:rFonts w:hint="eastAsia" w:ascii="宋体" w:hAnsi="宋体" w:eastAsia="宋体" w:cs="宋体"/>
                      <w:color w:val="000000"/>
                      <w:sz w:val="20"/>
                      <w:szCs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6.64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6.64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1.63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1.63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三、</w:t>
                  </w:r>
                  <w:r>
                    <w:rPr>
                      <w:rFonts w:hint="eastAsia" w:ascii="宋体" w:hAnsi="宋体" w:eastAsia="宋体" w:cs="宋体"/>
                      <w:color w:val="000000"/>
                      <w:sz w:val="20"/>
                      <w:szCs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0.29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0.29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四、</w:t>
                  </w:r>
                  <w:r>
                    <w:rPr>
                      <w:rFonts w:hint="eastAsia" w:ascii="宋体" w:hAnsi="宋体" w:eastAsia="宋体" w:cs="宋体"/>
                      <w:color w:val="000000"/>
                      <w:sz w:val="20"/>
                      <w:szCs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0.08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0.08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xml:space="preserve">85.28 </w:t>
                  </w:r>
                </w:p>
              </w:tc>
              <w:tc>
                <w:tcPr>
                  <w:tcW w:w="688"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xml:space="preserve">85.28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69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xml:space="preserve">85.28 </w:t>
                  </w:r>
                </w:p>
              </w:tc>
              <w:tc>
                <w:tcPr>
                  <w:tcW w:w="688"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xml:space="preserve">85.28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8.56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2.74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4.98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85.28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85.28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85.28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85.28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85.28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65.16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组织事务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65.16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69.00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65.16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6.64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6.64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6.64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1.63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1.63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1.63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0.29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0.29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0.29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85.28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85.28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81.44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58.35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58.35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41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23.18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23.18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6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1.43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1.43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9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4.64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4.64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39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12.23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12.23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6.64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6.64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9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1.63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1.63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3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2.66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2.66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6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0.37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0.37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4.98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39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0.58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0.58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lang w:val="en-US" w:eastAsia="zh-CN"/>
              </w:rPr>
              <w:t>二、</w:t>
            </w:r>
            <w:r>
              <w:rPr>
                <w:rFonts w:hint="eastAsia" w:ascii="宋体" w:hAnsi="宋体" w:eastAsia="宋体" w:cs="宋体"/>
                <w:color w:val="000000"/>
                <w:sz w:val="20"/>
                <w:szCs w:val="20"/>
              </w:rPr>
              <w:t>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3.84</w:t>
            </w:r>
          </w:p>
        </w:tc>
      </w:tr>
      <w:tr>
        <w:tblPrEx>
          <w:tblCellMar>
            <w:top w:w="0" w:type="dxa"/>
            <w:left w:w="108" w:type="dxa"/>
            <w:bottom w:w="0" w:type="dxa"/>
            <w:right w:w="108" w:type="dxa"/>
          </w:tblCellMar>
        </w:tblPrEx>
        <w:trPr>
          <w:trHeight w:val="47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1.90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1.90 </w:t>
            </w:r>
          </w:p>
        </w:tc>
      </w:tr>
      <w:tr>
        <w:tblPrEx>
          <w:tblCellMar>
            <w:top w:w="0" w:type="dxa"/>
            <w:left w:w="108" w:type="dxa"/>
            <w:bottom w:w="0" w:type="dxa"/>
            <w:right w:w="108" w:type="dxa"/>
          </w:tblCellMar>
        </w:tblPrEx>
        <w:trPr>
          <w:trHeight w:val="37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1.00 </w:t>
            </w:r>
          </w:p>
        </w:tc>
      </w:tr>
      <w:tr>
        <w:tblPrEx>
          <w:tblCellMar>
            <w:top w:w="0" w:type="dxa"/>
            <w:left w:w="108" w:type="dxa"/>
            <w:bottom w:w="0" w:type="dxa"/>
            <w:right w:w="108" w:type="dxa"/>
          </w:tblCellMar>
        </w:tblPrEx>
        <w:trPr>
          <w:trHeight w:val="42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0.20 </w:t>
            </w:r>
          </w:p>
        </w:tc>
      </w:tr>
      <w:tr>
        <w:tblPrEx>
          <w:tblCellMar>
            <w:top w:w="0" w:type="dxa"/>
            <w:left w:w="108" w:type="dxa"/>
            <w:bottom w:w="0" w:type="dxa"/>
            <w:right w:w="108" w:type="dxa"/>
          </w:tblCellMar>
        </w:tblPrEx>
        <w:trPr>
          <w:trHeight w:val="42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0.74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0.74 </w:t>
            </w:r>
          </w:p>
        </w:tc>
      </w:tr>
      <w:tr>
        <w:tblPrEx>
          <w:tblCellMar>
            <w:top w:w="0" w:type="dxa"/>
            <w:left w:w="108" w:type="dxa"/>
            <w:bottom w:w="0" w:type="dxa"/>
            <w:right w:w="108" w:type="dxa"/>
          </w:tblCellMar>
        </w:tblPrEx>
        <w:trPr>
          <w:trHeight w:val="47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离休费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22.72 </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22.72 </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8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0.36 </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0.36 </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4</w:t>
            </w:r>
            <w:r>
              <w:rPr>
                <w:color w:val="000000"/>
                <w:kern w:val="0"/>
                <w:sz w:val="28"/>
                <w:szCs w:val="28"/>
              </w:rPr>
              <w:t>人，其中：在职人员</w:t>
            </w:r>
            <w:r>
              <w:rPr>
                <w:rFonts w:hint="eastAsia" w:eastAsia="宋体"/>
                <w:color w:val="000000"/>
                <w:kern w:val="0"/>
                <w:sz w:val="28"/>
                <w:szCs w:val="28"/>
                <w:u w:val="single"/>
                <w:lang w:val="en-US" w:eastAsia="zh-CN"/>
              </w:rPr>
              <w:t>4</w:t>
            </w:r>
            <w:r>
              <w:rPr>
                <w:color w:val="000000"/>
                <w:kern w:val="0"/>
                <w:sz w:val="28"/>
                <w:szCs w:val="28"/>
              </w:rPr>
              <w:t>人，离退休人员</w:t>
            </w:r>
            <w:r>
              <w:rPr>
                <w:rFonts w:hint="eastAsia" w:eastAsia="宋体"/>
                <w:color w:val="000000"/>
                <w:kern w:val="0"/>
                <w:sz w:val="28"/>
                <w:szCs w:val="28"/>
                <w:u w:val="single"/>
                <w:lang w:val="en-US" w:eastAsia="zh-CN"/>
              </w:rPr>
              <w:t>7</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85.28万元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69万元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2.74万元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8.56万元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4.98万元</w:t>
      </w:r>
      <w:r>
        <w:rPr>
          <w:rFonts w:hint="eastAsia" w:ascii="仿宋_GB2312" w:hAnsi="仿宋_GB2312" w:eastAsia="仿宋_GB2312" w:cs="仿宋_GB2312"/>
          <w:szCs w:val="32"/>
        </w:rPr>
        <w:t>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85.28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38.84</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人员福利待遇调整</w:t>
      </w:r>
      <w:r>
        <w:rPr>
          <w:rFonts w:hint="eastAsia" w:ascii="仿宋_GB2312" w:hAnsi="仿宋_GB2312" w:eastAsia="仿宋_GB2312" w:cs="仿宋_GB2312"/>
          <w:szCs w:val="32"/>
        </w:rPr>
        <w:t>。</w:t>
      </w: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69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8.56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2.74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4.98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81.44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95.5</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4.5</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80.91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单位人员工资发放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8.56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单位工作人员养老保险缴纳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单位工作人员住房公积金缴纳</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85.28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81.44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eastAsia="楷体"/>
          <w:szCs w:val="32"/>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eastAsia="楷体"/>
          <w:szCs w:val="32"/>
        </w:rPr>
        <w:t>本部门无政府性基金预算拨款</w:t>
      </w:r>
      <w:r>
        <w:rPr>
          <w:rFonts w:hint="eastAsia" w:ascii="仿宋_GB2312" w:hAnsi="仿宋_GB2312" w:eastAsia="仿宋_GB2312" w:cs="仿宋_GB2312"/>
          <w:szCs w:val="32"/>
          <w:highlight w:val="none"/>
        </w:rPr>
        <w:t>。</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ind w:firstLine="645"/>
        <w:rPr>
          <w:rFonts w:hint="eastAsia" w:ascii="仿宋_GB2312" w:hAnsi="仿宋_GB2312" w:eastAsia="仿宋_GB2312" w:cs="仿宋_GB2312"/>
          <w:szCs w:val="32"/>
        </w:rPr>
      </w:pPr>
      <w:r>
        <w:rPr>
          <w:rFonts w:eastAsia="楷体"/>
          <w:szCs w:val="32"/>
        </w:rPr>
        <w:t>本部门无</w:t>
      </w:r>
      <w:r>
        <w:rPr>
          <w:rFonts w:hint="eastAsia" w:eastAsia="楷体"/>
          <w:szCs w:val="32"/>
          <w:lang w:val="en-US" w:eastAsia="zh-CN"/>
        </w:rPr>
        <w:t>其他重要事项</w:t>
      </w:r>
      <w:r>
        <w:rPr>
          <w:rFonts w:hint="eastAsia" w:ascii="仿宋_GB2312" w:hAnsi="仿宋_GB2312" w:eastAsia="仿宋_GB2312" w:cs="仿宋_GB2312"/>
        </w:rPr>
        <w:t>。</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FCDDD1-C9E2-4ADB-80CF-EF06B44EE14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7DA1C08-4C8B-4C05-B42E-E3034005BCD7}"/>
  </w:font>
  <w:font w:name="仿宋_GB2312">
    <w:panose1 w:val="02010609030101010101"/>
    <w:charset w:val="86"/>
    <w:family w:val="modern"/>
    <w:pitch w:val="default"/>
    <w:sig w:usb0="00000001" w:usb1="080E0000" w:usb2="00000000" w:usb3="00000000" w:csb0="00040000" w:csb1="00000000"/>
    <w:embedRegular r:id="rId3" w:fontKey="{2A0F84DA-E8A4-4FD7-8609-D950C7720212}"/>
  </w:font>
  <w:font w:name="华文细黑">
    <w:altName w:val="微软雅黑"/>
    <w:panose1 w:val="02010600040101010101"/>
    <w:charset w:val="86"/>
    <w:family w:val="auto"/>
    <w:pitch w:val="default"/>
    <w:sig w:usb0="00000000" w:usb1="00000000" w:usb2="00000000" w:usb3="00000000" w:csb0="0004009F" w:csb1="DFD70000"/>
    <w:embedRegular r:id="rId4" w:fontKey="{6E083D26-B079-4CB6-8946-12E5CA17727D}"/>
  </w:font>
  <w:font w:name="微软雅黑">
    <w:panose1 w:val="020B0503020204020204"/>
    <w:charset w:val="86"/>
    <w:family w:val="auto"/>
    <w:pitch w:val="default"/>
    <w:sig w:usb0="80000287" w:usb1="280F3C52" w:usb2="00000016" w:usb3="00000000" w:csb0="0004001F" w:csb1="00000000"/>
    <w:embedRegular r:id="rId5" w:fontKey="{22A7B0E4-D7F6-41C1-9E72-7BABF87D7926}"/>
  </w:font>
  <w:font w:name="方正小标宋简体">
    <w:panose1 w:val="02000000000000000000"/>
    <w:charset w:val="86"/>
    <w:family w:val="auto"/>
    <w:pitch w:val="default"/>
    <w:sig w:usb0="00000001" w:usb1="08000000" w:usb2="00000000" w:usb3="00000000" w:csb0="00040000" w:csb1="00000000"/>
    <w:embedRegular r:id="rId6" w:fontKey="{131F3BA0-ACE8-404F-A7F7-C96C7E375440}"/>
  </w:font>
  <w:font w:name="楷体_GB2312">
    <w:panose1 w:val="02010609030101010101"/>
    <w:charset w:val="86"/>
    <w:family w:val="modern"/>
    <w:pitch w:val="default"/>
    <w:sig w:usb0="00000001" w:usb1="080E0000" w:usb2="00000000" w:usb3="00000000" w:csb0="00040000" w:csb1="00000000"/>
    <w:embedRegular r:id="rId7" w:fontKey="{757BAD3D-705D-4C38-97D3-F89A33B732ED}"/>
  </w:font>
  <w:font w:name="仿宋">
    <w:panose1 w:val="02010609060101010101"/>
    <w:charset w:val="86"/>
    <w:family w:val="auto"/>
    <w:pitch w:val="default"/>
    <w:sig w:usb0="800002BF" w:usb1="38CF7CFA" w:usb2="00000016" w:usb3="00000000" w:csb0="00040001" w:csb1="00000000"/>
    <w:embedRegular r:id="rId8" w:fontKey="{89795F9D-B448-4B66-B543-ED4D23179BE6}"/>
  </w:font>
  <w:font w:name="楷体">
    <w:panose1 w:val="02010609060101010101"/>
    <w:charset w:val="86"/>
    <w:family w:val="auto"/>
    <w:pitch w:val="default"/>
    <w:sig w:usb0="800002BF" w:usb1="38CF7CFA" w:usb2="00000016" w:usb3="00000000" w:csb0="00040001" w:csb1="00000000"/>
    <w:embedRegular r:id="rId9" w:fontKey="{16A03C39-5E79-4886-8973-1B1BEC288BBE}"/>
  </w:font>
  <w:font w:name="Verdana">
    <w:panose1 w:val="020B0604030504040204"/>
    <w:charset w:val="00"/>
    <w:family w:val="auto"/>
    <w:pitch w:val="default"/>
    <w:sig w:usb0="A10006FF" w:usb1="4000205B" w:usb2="00000010" w:usb3="00000000" w:csb0="2000019F" w:csb1="00000000"/>
    <w:embedRegular r:id="rId10" w:fontKey="{F5863431-B9F0-4C59-942A-7A4A011D56D5}"/>
  </w:font>
  <w:font w:name="Nyala">
    <w:panose1 w:val="02000504070300020003"/>
    <w:charset w:val="00"/>
    <w:family w:val="auto"/>
    <w:pitch w:val="default"/>
    <w:sig w:usb0="A000006F" w:usb1="00000000"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0D52CB"/>
    <w:rsid w:val="3838492F"/>
    <w:rsid w:val="385779C7"/>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A4F7F"/>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D010F42"/>
    <w:rsid w:val="714213DD"/>
    <w:rsid w:val="717F272E"/>
    <w:rsid w:val="728027C6"/>
    <w:rsid w:val="72D54D7C"/>
    <w:rsid w:val="73393C08"/>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0F0ECA"/>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25</Pages>
  <Words>6051</Words>
  <Characters>6985</Characters>
  <Lines>71</Lines>
  <Paragraphs>20</Paragraphs>
  <TotalTime>3</TotalTime>
  <ScaleCrop>false</ScaleCrop>
  <LinksUpToDate>false</LinksUpToDate>
  <CharactersWithSpaces>7657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2024-02-06T01:04:40Z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D244F7D9DD474F8D984916396A6EAD71_13</vt:lpwstr>
  </property>
</Properties>
</file>