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通榆县组织部举报中心2024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pageBreakBefore w:val="0"/>
        <w:kinsoku/>
        <w:wordWrap/>
        <w:overflowPunct/>
        <w:topLinePunct w:val="0"/>
        <w:autoSpaceDE/>
        <w:autoSpaceDN/>
        <w:bidi w:val="0"/>
        <w:adjustRightInd/>
        <w:snapToGrid/>
        <w:spacing w:before="195" w:line="240" w:lineRule="auto"/>
        <w:jc w:val="both"/>
        <w:textAlignment w:val="auto"/>
        <w:rPr>
          <w:rFonts w:ascii="仿宋" w:hAnsi="仿宋" w:eastAsia="仿宋" w:cs="仿宋"/>
          <w:spacing w:val="8"/>
          <w:sz w:val="31"/>
          <w:szCs w:val="31"/>
        </w:rPr>
      </w:pPr>
      <w:r>
        <w:rPr>
          <w:rFonts w:ascii="仿宋" w:hAnsi="仿宋" w:eastAsia="仿宋" w:cs="仿宋"/>
          <w:spacing w:val="8"/>
          <w:sz w:val="31"/>
          <w:szCs w:val="31"/>
        </w:rPr>
        <w:t>（一）负责受理全县各级组织在选人用人中的不正之风问题。</w:t>
      </w:r>
    </w:p>
    <w:p>
      <w:pPr>
        <w:keepNext w:val="0"/>
        <w:keepLines w:val="0"/>
        <w:pageBreakBefore w:val="0"/>
        <w:kinsoku/>
        <w:wordWrap/>
        <w:overflowPunct/>
        <w:topLinePunct w:val="0"/>
        <w:autoSpaceDE/>
        <w:autoSpaceDN/>
        <w:bidi w:val="0"/>
        <w:adjustRightInd/>
        <w:snapToGrid/>
        <w:spacing w:before="195" w:line="240" w:lineRule="auto"/>
        <w:jc w:val="both"/>
        <w:textAlignment w:val="auto"/>
        <w:rPr>
          <w:rFonts w:ascii="仿宋" w:hAnsi="仿宋" w:eastAsia="仿宋" w:cs="仿宋"/>
          <w:spacing w:val="8"/>
          <w:sz w:val="31"/>
          <w:szCs w:val="31"/>
        </w:rPr>
      </w:pPr>
      <w:r>
        <w:rPr>
          <w:rFonts w:ascii="仿宋" w:hAnsi="仿宋" w:eastAsia="仿宋" w:cs="仿宋"/>
          <w:spacing w:val="8"/>
          <w:sz w:val="31"/>
          <w:szCs w:val="31"/>
        </w:rPr>
        <w:t>（二）负责受理乡（局）级领导班子、领导干部违反《党政领导干部选拔任用工作条例》选人用人问题的举报。</w:t>
      </w:r>
    </w:p>
    <w:p>
      <w:pPr>
        <w:keepNext w:val="0"/>
        <w:keepLines w:val="0"/>
        <w:pageBreakBefore w:val="0"/>
        <w:kinsoku/>
        <w:wordWrap/>
        <w:overflowPunct/>
        <w:topLinePunct w:val="0"/>
        <w:autoSpaceDE/>
        <w:autoSpaceDN/>
        <w:bidi w:val="0"/>
        <w:adjustRightInd/>
        <w:snapToGrid/>
        <w:spacing w:before="195" w:line="240" w:lineRule="auto"/>
        <w:jc w:val="both"/>
        <w:textAlignment w:val="auto"/>
        <w:rPr>
          <w:rFonts w:ascii="仿宋" w:hAnsi="仿宋" w:eastAsia="仿宋" w:cs="仿宋"/>
          <w:spacing w:val="8"/>
          <w:sz w:val="31"/>
          <w:szCs w:val="31"/>
        </w:rPr>
      </w:pPr>
      <w:r>
        <w:rPr>
          <w:rFonts w:ascii="仿宋" w:hAnsi="仿宋" w:eastAsia="仿宋" w:cs="仿宋"/>
          <w:spacing w:val="8"/>
          <w:sz w:val="31"/>
          <w:szCs w:val="31"/>
        </w:rPr>
        <w:t>（三）负责向部领导提出举报件办理意见。</w:t>
      </w:r>
    </w:p>
    <w:p>
      <w:pPr>
        <w:keepNext w:val="0"/>
        <w:keepLines w:val="0"/>
        <w:pageBreakBefore w:val="0"/>
        <w:kinsoku/>
        <w:wordWrap/>
        <w:overflowPunct/>
        <w:topLinePunct w:val="0"/>
        <w:autoSpaceDE/>
        <w:autoSpaceDN/>
        <w:bidi w:val="0"/>
        <w:adjustRightInd/>
        <w:snapToGrid/>
        <w:spacing w:before="195" w:line="240" w:lineRule="auto"/>
        <w:jc w:val="both"/>
        <w:textAlignment w:val="auto"/>
        <w:rPr>
          <w:rFonts w:ascii="仿宋" w:hAnsi="仿宋" w:eastAsia="仿宋" w:cs="仿宋"/>
          <w:spacing w:val="8"/>
          <w:sz w:val="31"/>
          <w:szCs w:val="31"/>
        </w:rPr>
      </w:pPr>
      <w:r>
        <w:rPr>
          <w:rFonts w:ascii="仿宋" w:hAnsi="仿宋" w:eastAsia="仿宋" w:cs="仿宋"/>
          <w:spacing w:val="8"/>
          <w:sz w:val="31"/>
          <w:szCs w:val="31"/>
        </w:rPr>
        <w:t>（四）负责有关反映乡（局）级领导班子、领导干部及后备干部的政治、思想、作风等方面举报的受理、核查、督办工作。</w:t>
      </w:r>
    </w:p>
    <w:p>
      <w:pPr>
        <w:keepNext w:val="0"/>
        <w:keepLines w:val="0"/>
        <w:pageBreakBefore w:val="0"/>
        <w:kinsoku/>
        <w:wordWrap/>
        <w:overflowPunct/>
        <w:topLinePunct w:val="0"/>
        <w:autoSpaceDE/>
        <w:autoSpaceDN/>
        <w:bidi w:val="0"/>
        <w:adjustRightInd/>
        <w:snapToGrid/>
        <w:spacing w:before="195" w:line="240" w:lineRule="auto"/>
        <w:jc w:val="both"/>
        <w:textAlignment w:val="auto"/>
        <w:rPr>
          <w:rFonts w:ascii="仿宋" w:hAnsi="仿宋" w:eastAsia="仿宋" w:cs="仿宋"/>
          <w:spacing w:val="8"/>
          <w:sz w:val="31"/>
          <w:szCs w:val="31"/>
        </w:rPr>
      </w:pPr>
      <w:r>
        <w:rPr>
          <w:rFonts w:ascii="仿宋" w:hAnsi="仿宋" w:eastAsia="仿宋" w:cs="仿宋"/>
          <w:spacing w:val="8"/>
          <w:sz w:val="31"/>
          <w:szCs w:val="31"/>
        </w:rPr>
        <w:t>（五）加强举报信息的综合分析，研究提出有效防范和治理用人上不正之风的措施办法。</w:t>
      </w:r>
    </w:p>
    <w:p>
      <w:pPr>
        <w:keepNext w:val="0"/>
        <w:keepLines w:val="0"/>
        <w:pageBreakBefore w:val="0"/>
        <w:kinsoku/>
        <w:wordWrap/>
        <w:overflowPunct/>
        <w:topLinePunct w:val="0"/>
        <w:autoSpaceDE/>
        <w:autoSpaceDN/>
        <w:bidi w:val="0"/>
        <w:adjustRightInd/>
        <w:snapToGrid/>
        <w:spacing w:before="190" w:line="240" w:lineRule="auto"/>
        <w:ind w:left="629"/>
        <w:jc w:val="both"/>
        <w:textAlignment w:val="auto"/>
        <w:rPr>
          <w:rFonts w:ascii="楷体" w:hAnsi="楷体" w:eastAsia="楷体" w:cs="楷体"/>
          <w:sz w:val="31"/>
          <w:szCs w:val="31"/>
        </w:rPr>
      </w:pPr>
      <w:r>
        <w:rPr>
          <w:rFonts w:ascii="楷体" w:hAnsi="楷体" w:eastAsia="楷体" w:cs="楷体"/>
          <w:spacing w:val="7"/>
          <w:sz w:val="31"/>
          <w:szCs w:val="31"/>
        </w:rPr>
        <w:t>二、机构设置</w:t>
      </w:r>
    </w:p>
    <w:p>
      <w:pPr>
        <w:keepNext w:val="0"/>
        <w:keepLines w:val="0"/>
        <w:pageBreakBefore w:val="0"/>
        <w:kinsoku/>
        <w:wordWrap/>
        <w:overflowPunct/>
        <w:topLinePunct w:val="0"/>
        <w:autoSpaceDE/>
        <w:autoSpaceDN/>
        <w:bidi w:val="0"/>
        <w:adjustRightInd/>
        <w:snapToGrid/>
        <w:spacing w:before="181" w:line="240" w:lineRule="auto"/>
        <w:ind w:left="638"/>
        <w:jc w:val="both"/>
        <w:textAlignment w:val="auto"/>
        <w:rPr>
          <w:rFonts w:hint="eastAsia" w:ascii="仿宋_GB2312" w:hAnsi="仿宋_GB2312" w:eastAsia="仿宋_GB2312" w:cs="仿宋_GB2312"/>
        </w:rPr>
      </w:pPr>
      <w:r>
        <w:rPr>
          <w:rFonts w:ascii="仿宋" w:hAnsi="仿宋" w:eastAsia="仿宋" w:cs="仿宋"/>
          <w:spacing w:val="7"/>
          <w:sz w:val="31"/>
          <w:szCs w:val="31"/>
        </w:rPr>
        <w:t>根据上述职责，</w:t>
      </w:r>
      <w:r>
        <w:rPr>
          <w:rFonts w:ascii="仿宋" w:hAnsi="仿宋" w:eastAsia="仿宋" w:cs="仿宋"/>
          <w:spacing w:val="7"/>
          <w:sz w:val="31"/>
          <w:szCs w:val="31"/>
          <w:u w:val="single" w:color="auto"/>
        </w:rPr>
        <w:t>通榆县组织部举报中心</w:t>
      </w:r>
      <w:r>
        <w:rPr>
          <w:rFonts w:ascii="仿宋" w:hAnsi="仿宋" w:eastAsia="仿宋" w:cs="仿宋"/>
          <w:spacing w:val="7"/>
          <w:sz w:val="31"/>
          <w:szCs w:val="31"/>
        </w:rPr>
        <w:t>内设</w:t>
      </w:r>
      <w:r>
        <w:rPr>
          <w:rFonts w:ascii="仿宋" w:hAnsi="仿宋" w:eastAsia="仿宋" w:cs="仿宋"/>
          <w:spacing w:val="-62"/>
          <w:sz w:val="31"/>
          <w:szCs w:val="31"/>
        </w:rPr>
        <w:t xml:space="preserve"> </w:t>
      </w:r>
      <w:r>
        <w:rPr>
          <w:rFonts w:ascii="Times New Roman" w:hAnsi="Times New Roman" w:eastAsia="Times New Roman" w:cs="Times New Roman"/>
          <w:spacing w:val="7"/>
          <w:sz w:val="31"/>
          <w:szCs w:val="31"/>
          <w:u w:val="single" w:color="auto"/>
        </w:rPr>
        <w:t>0</w:t>
      </w:r>
      <w:r>
        <w:rPr>
          <w:rFonts w:ascii="Times New Roman" w:hAnsi="Times New Roman" w:eastAsia="Times New Roman" w:cs="Times New Roman"/>
          <w:spacing w:val="25"/>
          <w:sz w:val="31"/>
          <w:szCs w:val="31"/>
          <w:u w:val="single" w:color="auto"/>
        </w:rPr>
        <w:t xml:space="preserve"> </w:t>
      </w:r>
      <w:r>
        <w:rPr>
          <w:rFonts w:ascii="仿宋" w:hAnsi="仿宋" w:eastAsia="仿宋" w:cs="仿宋"/>
          <w:spacing w:val="7"/>
          <w:sz w:val="31"/>
          <w:szCs w:val="31"/>
        </w:rPr>
        <w:t>个机</w:t>
      </w:r>
      <w:r>
        <w:rPr>
          <w:rFonts w:ascii="仿宋" w:hAnsi="仿宋" w:eastAsia="仿宋" w:cs="仿宋"/>
          <w:spacing w:val="6"/>
          <w:sz w:val="31"/>
          <w:szCs w:val="31"/>
        </w:rPr>
        <w:t>构。</w:t>
      </w:r>
      <w:r>
        <w:rPr>
          <w:rFonts w:ascii="仿宋" w:hAnsi="仿宋" w:eastAsia="仿宋" w:cs="仿宋"/>
          <w:spacing w:val="2"/>
          <w:sz w:val="31"/>
          <w:szCs w:val="31"/>
        </w:rPr>
        <w:t>下设</w:t>
      </w:r>
      <w:r>
        <w:rPr>
          <w:rFonts w:ascii="Times New Roman" w:hAnsi="Times New Roman" w:eastAsia="Times New Roman" w:cs="Times New Roman"/>
          <w:spacing w:val="2"/>
          <w:sz w:val="31"/>
          <w:szCs w:val="31"/>
          <w:u w:val="single" w:color="auto"/>
        </w:rPr>
        <w:t xml:space="preserve">  0</w:t>
      </w:r>
      <w:r>
        <w:rPr>
          <w:rFonts w:ascii="Times New Roman" w:hAnsi="Times New Roman" w:eastAsia="Times New Roman" w:cs="Times New Roman"/>
          <w:spacing w:val="16"/>
          <w:sz w:val="31"/>
          <w:szCs w:val="31"/>
          <w:u w:val="single" w:color="auto"/>
        </w:rPr>
        <w:t xml:space="preserve">  </w:t>
      </w:r>
      <w:r>
        <w:rPr>
          <w:rFonts w:ascii="仿宋" w:hAnsi="仿宋" w:eastAsia="仿宋" w:cs="仿宋"/>
          <w:spacing w:val="2"/>
          <w:sz w:val="31"/>
          <w:szCs w:val="31"/>
        </w:rPr>
        <w:t>家预算单位。</w:t>
      </w:r>
      <w:r>
        <w:rPr>
          <w:rFonts w:hint="eastAsia" w:ascii="仿宋_GB2312" w:hAnsi="仿宋_GB2312" w:eastAsia="仿宋_GB2312" w:cs="仿宋_GB2312"/>
        </w:rPr>
        <w:t>。</w:t>
      </w:r>
    </w:p>
    <w:p>
      <w:pPr>
        <w:pStyle w:val="51"/>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eastAsia="楷体"/>
        </w:rPr>
      </w:pPr>
    </w:p>
    <w:p>
      <w:pPr>
        <w:pStyle w:val="51"/>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eastAsia="楷体"/>
        </w:rPr>
      </w:pPr>
    </w:p>
    <w:p>
      <w:pPr>
        <w:pStyle w:val="51"/>
        <w:keepNext w:val="0"/>
        <w:keepLines w:val="0"/>
        <w:pageBreakBefore w:val="0"/>
        <w:kinsoku/>
        <w:wordWrap/>
        <w:overflowPunct/>
        <w:topLinePunct w:val="0"/>
        <w:autoSpaceDE/>
        <w:autoSpaceDN/>
        <w:bidi w:val="0"/>
        <w:adjustRightInd/>
        <w:snapToGrid/>
        <w:spacing w:line="240" w:lineRule="auto"/>
        <w:ind w:firstLine="640" w:firstLineChars="200"/>
        <w:jc w:val="both"/>
        <w:textAlignment w:val="auto"/>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77.49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77.49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57.77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57.77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77.49</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77.49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10.36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10.36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6.04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3.32</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3.32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77.49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77.49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77.49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77.49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77.49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77.49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77.49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77.49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通榆县组织部举报中心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77.49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77.49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77.49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宋体"/>
                      <w:color w:val="000000"/>
                      <w:sz w:val="20"/>
                      <w:szCs w:val="20"/>
                      <w:lang w:val="en-US" w:eastAsia="zh-CN"/>
                    </w:rPr>
                    <w:t>一、</w:t>
                  </w:r>
                  <w:r>
                    <w:rPr>
                      <w:rFonts w:hint="eastAsia" w:ascii="Verdana" w:hAnsi="Verdana" w:eastAsia="Verdana"/>
                      <w:color w:val="000000"/>
                      <w:sz w:val="20"/>
                      <w:szCs w:val="20"/>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57.77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57.77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组织事务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57.77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57.77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57.77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57.77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宋体"/>
                      <w:color w:val="000000"/>
                      <w:sz w:val="20"/>
                      <w:szCs w:val="20"/>
                      <w:lang w:val="en-US" w:eastAsia="zh-CN"/>
                    </w:rPr>
                    <w:t>二、</w:t>
                  </w:r>
                  <w:r>
                    <w:rPr>
                      <w:rFonts w:hint="eastAsia" w:ascii="Verdana" w:hAnsi="Verdana" w:eastAsia="Verdana"/>
                      <w:color w:val="000000"/>
                      <w:sz w:val="20"/>
                      <w:szCs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10.36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10.36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10.36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10.36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8.05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8.05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1.96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1.96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0.35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0.35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宋体"/>
                      <w:color w:val="000000"/>
                      <w:sz w:val="20"/>
                      <w:szCs w:val="20"/>
                      <w:lang w:val="en-US" w:eastAsia="zh-CN"/>
                    </w:rPr>
                    <w:t>三、</w:t>
                  </w:r>
                  <w:r>
                    <w:rPr>
                      <w:rFonts w:hint="eastAsia" w:ascii="Verdana" w:hAnsi="Verdana" w:eastAsia="Verdana"/>
                      <w:color w:val="000000"/>
                      <w:sz w:val="20"/>
                      <w:szCs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3.32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3.32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3.32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3.32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3.22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3.22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0.10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0.10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宋体"/>
                      <w:color w:val="000000"/>
                      <w:sz w:val="20"/>
                      <w:szCs w:val="20"/>
                      <w:lang w:val="en-US" w:eastAsia="zh-CN"/>
                    </w:rPr>
                    <w:t>四、</w:t>
                  </w:r>
                  <w:r>
                    <w:rPr>
                      <w:rFonts w:hint="eastAsia" w:ascii="Verdana" w:hAnsi="Verdana" w:eastAsia="Verdana"/>
                      <w:color w:val="000000"/>
                      <w:sz w:val="20"/>
                      <w:szCs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6.04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6.04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6.04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6.04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6.04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xml:space="preserve">6.04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default" w:ascii="Verdana" w:hAnsi="Verdana" w:eastAsia="宋体"/>
                      <w:color w:val="000000"/>
                      <w:sz w:val="20"/>
                      <w:szCs w:val="20"/>
                      <w:lang w:val="en-US" w:eastAsia="zh-CN"/>
                    </w:rPr>
                  </w:pPr>
                  <w:r>
                    <w:rPr>
                      <w:rFonts w:hint="eastAsia" w:ascii="Verdana" w:hAnsi="Verdana" w:eastAsia="宋体"/>
                      <w:color w:val="000000"/>
                      <w:sz w:val="20"/>
                      <w:szCs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77.49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77.49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77.49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57.77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57.77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77.49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10.36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10.36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3.32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3.32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77.49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77.49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77.49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77.49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77.49</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77.49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77.49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77.49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宋体"/>
                      <w:color w:val="000000"/>
                      <w:sz w:val="20"/>
                      <w:szCs w:val="20"/>
                      <w:lang w:val="en-US" w:eastAsia="zh-CN"/>
                    </w:rPr>
                    <w:t>一、</w:t>
                  </w:r>
                  <w:r>
                    <w:rPr>
                      <w:rFonts w:hint="eastAsia" w:ascii="Verdana" w:hAnsi="Verdana" w:eastAsia="Verdana"/>
                      <w:color w:val="000000"/>
                      <w:sz w:val="20"/>
                      <w:szCs w:val="20"/>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57.77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57.77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51.05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9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组织事务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57.77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57.77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51.05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57.77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57.77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51.05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宋体"/>
                      <w:color w:val="000000"/>
                      <w:sz w:val="20"/>
                      <w:szCs w:val="20"/>
                      <w:lang w:val="en-US" w:eastAsia="zh-CN"/>
                    </w:rPr>
                    <w:t>二、</w:t>
                  </w:r>
                  <w:r>
                    <w:rPr>
                      <w:rFonts w:hint="eastAsia" w:ascii="Verdana" w:hAnsi="Verdana" w:eastAsia="Verdana"/>
                      <w:color w:val="000000"/>
                      <w:sz w:val="20"/>
                      <w:szCs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10.36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10.36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10.36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10.36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10.36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10.36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8.05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8.05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8.05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1.96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1.96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1.96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0.35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宋体"/>
                      <w:color w:val="000000"/>
                      <w:sz w:val="20"/>
                      <w:szCs w:val="20"/>
                      <w:lang w:val="en-US" w:eastAsia="zh-CN"/>
                    </w:rPr>
                    <w:t>三、</w:t>
                  </w:r>
                  <w:r>
                    <w:rPr>
                      <w:rFonts w:hint="eastAsia" w:ascii="Verdana" w:hAnsi="Verdana" w:eastAsia="Verdana"/>
                      <w:color w:val="000000"/>
                      <w:sz w:val="20"/>
                      <w:szCs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3.32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3.32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3.32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3.32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3.32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3.32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default"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3.22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3.22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3.22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0.10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0.10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0.10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宋体"/>
                      <w:color w:val="000000"/>
                      <w:sz w:val="20"/>
                      <w:szCs w:val="20"/>
                      <w:lang w:val="en-US" w:eastAsia="zh-CN"/>
                    </w:rPr>
                    <w:t>四、</w:t>
                  </w:r>
                  <w:r>
                    <w:rPr>
                      <w:rFonts w:hint="eastAsia" w:ascii="Verdana" w:hAnsi="Verdana" w:eastAsia="Verdana"/>
                      <w:color w:val="000000"/>
                      <w:sz w:val="20"/>
                      <w:szCs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0"/>
                      <w:szCs w:val="20"/>
                      <w:lang w:val="en-US" w:eastAsia="zh-CN" w:bidi="ar-SA"/>
                    </w:rPr>
                  </w:pPr>
                  <w:r>
                    <w:rPr>
                      <w:rFonts w:hint="eastAsia" w:ascii="Verdana" w:hAnsi="Verdana" w:eastAsia="Verdana"/>
                      <w:color w:val="000000"/>
                      <w:sz w:val="20"/>
                      <w:szCs w:val="20"/>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default" w:ascii="Verdana" w:hAnsi="Verdana" w:eastAsia="宋体" w:cs="Times New Roman"/>
                      <w:color w:val="000000"/>
                      <w:kern w:val="2"/>
                      <w:sz w:val="20"/>
                      <w:szCs w:val="20"/>
                      <w:lang w:val="en-US" w:eastAsia="zh-CN" w:bidi="ar-SA"/>
                    </w:rPr>
                  </w:pPr>
                  <w:r>
                    <w:rPr>
                      <w:rFonts w:hint="eastAsia" w:ascii="Verdana" w:hAnsi="Verdana" w:eastAsia="宋体"/>
                      <w:color w:val="000000"/>
                      <w:sz w:val="20"/>
                      <w:szCs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77.49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77.49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70.77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7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0" w:type="dxa"/>
            <w:left w:w="108" w:type="dxa"/>
            <w:bottom w:w="0" w:type="dxa"/>
            <w:right w:w="108" w:type="dxa"/>
          </w:tblCellMar>
        </w:tblPrEx>
        <w:trPr>
          <w:trHeight w:val="50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25.39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25.39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p>
        </w:tc>
      </w:tr>
      <w:tr>
        <w:tblPrEx>
          <w:tblCellMar>
            <w:top w:w="0" w:type="dxa"/>
            <w:left w:w="108" w:type="dxa"/>
            <w:bottom w:w="0" w:type="dxa"/>
            <w:right w:w="108" w:type="dxa"/>
          </w:tblCellMar>
        </w:tblPrEx>
        <w:trPr>
          <w:trHeight w:val="52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1.91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1.91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5.77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5.77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p>
        </w:tc>
      </w:tr>
      <w:tr>
        <w:tblPrEx>
          <w:tblCellMar>
            <w:top w:w="0" w:type="dxa"/>
            <w:left w:w="108" w:type="dxa"/>
            <w:bottom w:w="0" w:type="dxa"/>
            <w:right w:w="108" w:type="dxa"/>
          </w:tblCellMar>
        </w:tblPrEx>
        <w:trPr>
          <w:trHeight w:val="31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17.24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17.24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8.05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8.05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p>
        </w:tc>
      </w:tr>
      <w:tr>
        <w:tblPrEx>
          <w:tblCellMar>
            <w:top w:w="0" w:type="dxa"/>
            <w:left w:w="108" w:type="dxa"/>
            <w:bottom w:w="0" w:type="dxa"/>
            <w:right w:w="108" w:type="dxa"/>
          </w:tblCellMar>
        </w:tblPrEx>
        <w:trPr>
          <w:trHeight w:val="42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1.96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1.96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p>
        </w:tc>
      </w:tr>
      <w:tr>
        <w:tblPrEx>
          <w:tblCellMar>
            <w:top w:w="0" w:type="dxa"/>
            <w:left w:w="108" w:type="dxa"/>
            <w:bottom w:w="0" w:type="dxa"/>
            <w:right w:w="108" w:type="dxa"/>
          </w:tblCellMar>
        </w:tblPrEx>
        <w:trPr>
          <w:trHeight w:val="49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3.22 </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3.22 </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color w:val="000000"/>
                <w:kern w:val="0"/>
                <w:sz w:val="20"/>
                <w:szCs w:val="20"/>
                <w:lang w:val="en-US" w:eastAsia="zh-CN" w:bidi="ar-SA"/>
              </w:rPr>
            </w:pPr>
          </w:p>
        </w:tc>
      </w:tr>
      <w:tr>
        <w:tblPrEx>
          <w:tblCellMar>
            <w:top w:w="0" w:type="dxa"/>
            <w:left w:w="108" w:type="dxa"/>
            <w:bottom w:w="0" w:type="dxa"/>
            <w:right w:w="108" w:type="dxa"/>
          </w:tblCellMar>
        </w:tblPrEx>
        <w:trPr>
          <w:trHeight w:val="473"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0.45 </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0.45 </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r>
      <w:tr>
        <w:tblPrEx>
          <w:tblCellMar>
            <w:top w:w="0" w:type="dxa"/>
            <w:left w:w="108" w:type="dxa"/>
            <w:bottom w:w="0" w:type="dxa"/>
            <w:right w:w="108" w:type="dxa"/>
          </w:tblCellMar>
        </w:tblPrEx>
        <w:trPr>
          <w:trHeight w:val="50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6.04 </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0.73 </w:t>
            </w:r>
          </w:p>
        </w:tc>
        <w:tc>
          <w:tcPr>
            <w:tcW w:w="1704"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0.73 </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r>
      <w:tr>
        <w:tblPrEx>
          <w:tblCellMar>
            <w:top w:w="0" w:type="dxa"/>
            <w:left w:w="108" w:type="dxa"/>
            <w:bottom w:w="0" w:type="dxa"/>
            <w:right w:w="108" w:type="dxa"/>
          </w:tblCellMar>
        </w:tblPrEx>
        <w:trPr>
          <w:trHeight w:val="49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ind w:firstLine="100" w:firstLineChars="50"/>
              <w:jc w:val="lef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二、</w:t>
            </w:r>
            <w:r>
              <w:rPr>
                <w:rFonts w:hint="eastAsia" w:ascii="宋体" w:hAnsi="宋体" w:eastAsia="宋体" w:cs="宋体"/>
                <w:color w:val="000000"/>
                <w:sz w:val="20"/>
                <w:szCs w:val="20"/>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6.72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6.72</w:t>
            </w:r>
          </w:p>
        </w:tc>
      </w:tr>
      <w:tr>
        <w:tblPrEx>
          <w:tblCellMar>
            <w:top w:w="0" w:type="dxa"/>
            <w:left w:w="108" w:type="dxa"/>
            <w:bottom w:w="0" w:type="dxa"/>
            <w:right w:w="108" w:type="dxa"/>
          </w:tblCellMar>
        </w:tblPrEx>
        <w:trPr>
          <w:trHeight w:val="451"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3.02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3.02</w:t>
            </w: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1.00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w:t>
            </w: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0.20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0.2</w:t>
            </w:r>
          </w:p>
        </w:tc>
      </w:tr>
      <w:tr>
        <w:tblPrEx>
          <w:tblCellMar>
            <w:top w:w="0" w:type="dxa"/>
            <w:left w:w="108" w:type="dxa"/>
            <w:bottom w:w="0" w:type="dxa"/>
            <w:right w:w="108" w:type="dxa"/>
          </w:tblCellMar>
        </w:tblPrEx>
        <w:trPr>
          <w:trHeight w:val="45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0.50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w:t>
            </w: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0.50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0.50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w:t>
            </w:r>
          </w:p>
        </w:tc>
      </w:tr>
      <w:tr>
        <w:tblPrEx>
          <w:tblCellMar>
            <w:top w:w="0" w:type="dxa"/>
            <w:left w:w="108" w:type="dxa"/>
            <w:bottom w:w="0" w:type="dxa"/>
            <w:right w:w="108" w:type="dxa"/>
          </w:tblCellMar>
        </w:tblPrEx>
        <w:trPr>
          <w:trHeight w:val="517"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xml:space="preserve">1.00 </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color w:val="000000"/>
                <w:kern w:val="0"/>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4</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7</w:t>
            </w:r>
            <w:r>
              <w:rPr>
                <w:color w:val="000000"/>
                <w:kern w:val="0"/>
                <w:sz w:val="28"/>
                <w:szCs w:val="28"/>
              </w:rPr>
              <w:t>人，其中：在职人员</w:t>
            </w:r>
            <w:r>
              <w:rPr>
                <w:rFonts w:hint="eastAsia" w:eastAsia="宋体"/>
                <w:color w:val="000000"/>
                <w:kern w:val="0"/>
                <w:sz w:val="28"/>
                <w:szCs w:val="28"/>
                <w:u w:val="single"/>
                <w:lang w:val="en-US" w:eastAsia="zh-CN"/>
              </w:rPr>
              <w:t>7</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sz w:val="30"/>
          <w:szCs w:val="30"/>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77.49万元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57.77万元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3.32万元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10.36万元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6.04万元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77.49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19.79</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人员福利待遇调整</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00"/>
        <w:rPr>
          <w:szCs w:val="32"/>
        </w:rPr>
      </w:pPr>
    </w:p>
    <w:p>
      <w:pPr>
        <w:ind w:firstLine="640" w:firstLineChars="2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57.77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10.36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3.32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6.04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70.77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91.33</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6.72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8.67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57.77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74.55</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事业单位人员工资发放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10.36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13.37</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事业单位人员养老保险缴纳</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6.04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7.79</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事业单位人员住房公积金缴纳</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77.49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70.77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6.72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咨询费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本部门无一般公共预算拨款。</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hint="eastAsia" w:ascii="仿宋_GB2312" w:hAnsi="仿宋_GB2312" w:cs="仿宋_GB2312"/>
          <w:szCs w:val="32"/>
          <w:lang w:eastAsia="zh-CN"/>
        </w:rPr>
        <w:t>本部门无政府性基金预算拨款</w:t>
      </w:r>
      <w:r>
        <w:rPr>
          <w:rFonts w:hint="eastAsia" w:ascii="仿宋_GB2312" w:hAnsi="仿宋_GB2312" w:eastAsia="仿宋_GB2312" w:cs="仿宋_GB2312"/>
          <w:szCs w:val="32"/>
          <w:highlight w:val="none"/>
        </w:rPr>
        <w:t>。</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eastAsia="楷体"/>
          <w:szCs w:val="32"/>
        </w:rPr>
      </w:pPr>
      <w:r>
        <w:rPr>
          <w:rFonts w:hint="eastAsia" w:ascii="仿宋_GB2312" w:hAnsi="仿宋_GB2312" w:eastAsia="仿宋_GB2312" w:cs="仿宋_GB2312"/>
          <w:szCs w:val="32"/>
          <w:highlight w:val="none"/>
        </w:rPr>
        <w:t>本部门无国有资本经营预算拨款。</w:t>
      </w: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楷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w:t>
      </w:r>
      <w:r>
        <w:rPr>
          <w:rFonts w:hint="eastAsia" w:ascii="仿宋_GB2312" w:hAnsi="仿宋_GB2312" w:cs="仿宋_GB2312"/>
          <w:szCs w:val="32"/>
          <w:lang w:val="en-US" w:eastAsia="zh-CN"/>
        </w:rPr>
        <w:t>其他重要事项</w:t>
      </w:r>
      <w:r>
        <w:rPr>
          <w:rFonts w:hint="eastAsia" w:ascii="仿宋_GB2312" w:hAnsi="仿宋_GB2312" w:eastAsia="仿宋_GB2312" w:cs="仿宋_GB2312"/>
          <w:szCs w:val="32"/>
        </w:rPr>
        <w:t>。</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86"/>
    <w:family w:val="auto"/>
    <w:pitch w:val="default"/>
    <w:sig w:usb0="A10006FF" w:usb1="4000205B" w:usb2="00000010" w:usb3="00000000" w:csb0="2000019F" w:csb1="00000000"/>
  </w:font>
  <w:font w:name="PMingLiU-ExtB">
    <w:panose1 w:val="02020500000000000000"/>
    <w:charset w:val="88"/>
    <w:family w:val="auto"/>
    <w:pitch w:val="default"/>
    <w:sig w:usb0="8000002F" w:usb1="02000008" w:usb2="00000000" w:usb3="00000000" w:csb0="00100001" w:csb1="00000000"/>
  </w:font>
  <w:font w:name="Narkisim">
    <w:panose1 w:val="020E0502050101010101"/>
    <w:charset w:val="00"/>
    <w:family w:val="auto"/>
    <w:pitch w:val="default"/>
    <w:sig w:usb0="00000801" w:usb1="00000000" w:usb2="00000000" w:usb3="00000000" w:csb0="00000020" w:csb1="00200000"/>
  </w:font>
  <w:font w:name="MingLiU-ExtB">
    <w:panose1 w:val="02020500000000000000"/>
    <w:charset w:val="88"/>
    <w:family w:val="auto"/>
    <w:pitch w:val="default"/>
    <w:sig w:usb0="8000002F" w:usb1="02000008" w:usb2="00000000" w:usb3="00000000" w:csb0="00100001" w:csb1="00000000"/>
  </w:font>
  <w:font w:name="Microsoft JhengHei">
    <w:panose1 w:val="020B0604030504040204"/>
    <w:charset w:val="88"/>
    <w:family w:val="auto"/>
    <w:pitch w:val="default"/>
    <w:sig w:usb0="00000087" w:usb1="28AF4000" w:usb2="00000016" w:usb3="00000000" w:csb0="00100009" w:csb1="00000000"/>
  </w:font>
  <w:font w:name="Meiryo">
    <w:panose1 w:val="020B0604030504040204"/>
    <w:charset w:val="80"/>
    <w:family w:val="auto"/>
    <w:pitch w:val="default"/>
    <w:sig w:usb0="E10102FF" w:usb1="EAC7FFFF" w:usb2="00010012" w:usb3="00000000" w:csb0="6002009F" w:csb1="DFD70000"/>
  </w:font>
  <w:font w:name="Kartika">
    <w:panose1 w:val="02020503030404060203"/>
    <w:charset w:val="00"/>
    <w:family w:val="auto"/>
    <w:pitch w:val="default"/>
    <w:sig w:usb0="00800003" w:usb1="00000000" w:usb2="00000000" w:usb3="00000000" w:csb0="00000001" w:csb1="00000000"/>
  </w:font>
  <w:font w:name="IrisUPC">
    <w:panose1 w:val="020B0604020202020204"/>
    <w:charset w:val="00"/>
    <w:family w:val="auto"/>
    <w:pitch w:val="default"/>
    <w:sig w:usb0="01000007" w:usb1="00000002" w:usb2="00000000" w:usb3="00000000" w:csb0="00010001" w:csb1="00000000"/>
  </w:font>
  <w:font w:name="Gungsuh">
    <w:panose1 w:val="0203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FreesiaUPC">
    <w:panose1 w:val="020B0604020202020204"/>
    <w:charset w:val="00"/>
    <w:family w:val="auto"/>
    <w:pitch w:val="default"/>
    <w:sig w:usb0="01000007" w:usb1="00000002" w:usb2="00000000" w:usb3="00000000" w:csb0="00010001" w:csb1="00000000"/>
  </w:font>
  <w:font w:name="Nyala">
    <w:panose1 w:val="02000504070300020003"/>
    <w:charset w:val="00"/>
    <w:family w:val="auto"/>
    <w:pitch w:val="default"/>
    <w:sig w:usb0="A000006F" w:usb1="00000000" w:usb2="000008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CD76FF"/>
    <w:rsid w:val="07D21289"/>
    <w:rsid w:val="07F544B0"/>
    <w:rsid w:val="09A0082A"/>
    <w:rsid w:val="0A334D52"/>
    <w:rsid w:val="0ABA06FE"/>
    <w:rsid w:val="0AE37FA3"/>
    <w:rsid w:val="0B593040"/>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443211"/>
    <w:rsid w:val="22A4003E"/>
    <w:rsid w:val="23984063"/>
    <w:rsid w:val="23A81EB5"/>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CD33FE"/>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CC51450"/>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303883"/>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1A21B88"/>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27</Pages>
  <Words>5873</Words>
  <Characters>6674</Characters>
  <Lines>71</Lines>
  <Paragraphs>20</Paragraphs>
  <TotalTime>5</TotalTime>
  <ScaleCrop>false</ScaleCrop>
  <LinksUpToDate>false</LinksUpToDate>
  <CharactersWithSpaces>7341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2024-02-06T01:00:53Z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