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u w:val="single"/>
        </w:rPr>
        <w:t>通榆县干部档案室（通榆县组织信息管理中心）</w:t>
      </w:r>
      <w:r>
        <w:rPr>
          <w:rFonts w:hint="eastAsia" w:eastAsia="方正小标宋简体"/>
          <w:sz w:val="44"/>
          <w:szCs w:val="44"/>
          <w:lang w:eastAsia="zh-CN"/>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keepNext w:val="0"/>
        <w:keepLines w:val="0"/>
        <w:pageBreakBefore w:val="0"/>
        <w:widowControl w:val="0"/>
        <w:kinsoku/>
        <w:wordWrap/>
        <w:overflowPunct/>
        <w:topLinePunct w:val="0"/>
        <w:autoSpaceDE/>
        <w:autoSpaceDN/>
        <w:bidi w:val="0"/>
        <w:adjustRightInd/>
        <w:snapToGrid/>
        <w:spacing w:line="576" w:lineRule="exact"/>
        <w:ind w:left="0"/>
        <w:textAlignment w:val="auto"/>
        <w:rPr>
          <w:rFonts w:ascii="宋体" w:hAnsi="宋体" w:eastAsia="宋体" w:cs="宋体"/>
          <w:spacing w:val="8"/>
          <w:sz w:val="24"/>
          <w:szCs w:val="24"/>
        </w:rPr>
      </w:pPr>
      <w:r>
        <w:rPr>
          <w:rFonts w:ascii="宋体" w:hAnsi="宋体" w:eastAsia="宋体" w:cs="宋体"/>
          <w:spacing w:val="8"/>
          <w:sz w:val="24"/>
          <w:szCs w:val="24"/>
        </w:rPr>
        <w:t>一）保管干部人事档案，为国家积累档案史料。</w:t>
      </w:r>
    </w:p>
    <w:p>
      <w:pPr>
        <w:keepNext w:val="0"/>
        <w:keepLines w:val="0"/>
        <w:pageBreakBefore w:val="0"/>
        <w:widowControl w:val="0"/>
        <w:kinsoku/>
        <w:wordWrap/>
        <w:overflowPunct/>
        <w:topLinePunct w:val="0"/>
        <w:autoSpaceDE/>
        <w:autoSpaceDN/>
        <w:bidi w:val="0"/>
        <w:adjustRightInd/>
        <w:snapToGrid/>
        <w:spacing w:line="576" w:lineRule="exact"/>
        <w:ind w:left="0"/>
        <w:textAlignment w:val="auto"/>
        <w:rPr>
          <w:rFonts w:ascii="宋体" w:hAnsi="宋体" w:eastAsia="宋体" w:cs="宋体"/>
          <w:spacing w:val="8"/>
          <w:sz w:val="24"/>
          <w:szCs w:val="24"/>
        </w:rPr>
      </w:pPr>
      <w:r>
        <w:rPr>
          <w:rFonts w:ascii="宋体" w:hAnsi="宋体" w:eastAsia="宋体" w:cs="宋体"/>
          <w:spacing w:val="8"/>
          <w:sz w:val="24"/>
          <w:szCs w:val="24"/>
        </w:rPr>
        <w:t>（二）收集、鉴别和整理干部人事档案材料。</w:t>
      </w:r>
    </w:p>
    <w:p>
      <w:pPr>
        <w:keepNext w:val="0"/>
        <w:keepLines w:val="0"/>
        <w:pageBreakBefore w:val="0"/>
        <w:widowControl w:val="0"/>
        <w:kinsoku/>
        <w:wordWrap/>
        <w:overflowPunct/>
        <w:topLinePunct w:val="0"/>
        <w:autoSpaceDE/>
        <w:autoSpaceDN/>
        <w:bidi w:val="0"/>
        <w:adjustRightInd/>
        <w:snapToGrid/>
        <w:spacing w:line="576" w:lineRule="exact"/>
        <w:ind w:left="0"/>
        <w:textAlignment w:val="auto"/>
        <w:rPr>
          <w:rFonts w:ascii="宋体" w:hAnsi="宋体" w:eastAsia="宋体" w:cs="宋体"/>
          <w:spacing w:val="8"/>
          <w:sz w:val="24"/>
          <w:szCs w:val="24"/>
        </w:rPr>
      </w:pPr>
      <w:r>
        <w:rPr>
          <w:rFonts w:ascii="宋体" w:hAnsi="宋体" w:eastAsia="宋体" w:cs="宋体"/>
          <w:spacing w:val="8"/>
          <w:sz w:val="24"/>
          <w:szCs w:val="24"/>
        </w:rPr>
        <w:t>（三）办理干部人事档案的查阅、借用和转递。</w:t>
      </w:r>
    </w:p>
    <w:p>
      <w:pPr>
        <w:keepNext w:val="0"/>
        <w:keepLines w:val="0"/>
        <w:pageBreakBefore w:val="0"/>
        <w:widowControl w:val="0"/>
        <w:kinsoku/>
        <w:wordWrap/>
        <w:overflowPunct/>
        <w:topLinePunct w:val="0"/>
        <w:autoSpaceDE/>
        <w:autoSpaceDN/>
        <w:bidi w:val="0"/>
        <w:adjustRightInd/>
        <w:snapToGrid/>
        <w:spacing w:line="576" w:lineRule="exact"/>
        <w:ind w:left="0"/>
        <w:textAlignment w:val="auto"/>
        <w:rPr>
          <w:rFonts w:ascii="宋体" w:hAnsi="宋体" w:eastAsia="宋体" w:cs="宋体"/>
          <w:spacing w:val="8"/>
          <w:sz w:val="24"/>
          <w:szCs w:val="24"/>
        </w:rPr>
      </w:pPr>
      <w:r>
        <w:rPr>
          <w:rFonts w:ascii="宋体" w:hAnsi="宋体" w:eastAsia="宋体" w:cs="宋体"/>
          <w:spacing w:val="8"/>
          <w:sz w:val="24"/>
          <w:szCs w:val="24"/>
        </w:rPr>
        <w:t>（四）登记干部职务、工资的变动情况。</w:t>
      </w:r>
    </w:p>
    <w:p>
      <w:pPr>
        <w:keepNext w:val="0"/>
        <w:keepLines w:val="0"/>
        <w:pageBreakBefore w:val="0"/>
        <w:widowControl w:val="0"/>
        <w:kinsoku/>
        <w:wordWrap/>
        <w:overflowPunct/>
        <w:topLinePunct w:val="0"/>
        <w:autoSpaceDE/>
        <w:autoSpaceDN/>
        <w:bidi w:val="0"/>
        <w:adjustRightInd/>
        <w:snapToGrid/>
        <w:spacing w:line="576" w:lineRule="exact"/>
        <w:ind w:left="0"/>
        <w:textAlignment w:val="auto"/>
        <w:rPr>
          <w:rFonts w:ascii="宋体" w:hAnsi="宋体" w:eastAsia="宋体" w:cs="宋体"/>
          <w:spacing w:val="8"/>
          <w:sz w:val="24"/>
          <w:szCs w:val="24"/>
        </w:rPr>
      </w:pPr>
      <w:r>
        <w:rPr>
          <w:rFonts w:ascii="宋体" w:hAnsi="宋体" w:eastAsia="宋体" w:cs="宋体"/>
          <w:spacing w:val="8"/>
          <w:sz w:val="24"/>
          <w:szCs w:val="24"/>
        </w:rPr>
        <w:t>（五）为有关部门提供干部的情况。</w:t>
      </w:r>
    </w:p>
    <w:p>
      <w:pPr>
        <w:keepNext w:val="0"/>
        <w:keepLines w:val="0"/>
        <w:pageBreakBefore w:val="0"/>
        <w:widowControl w:val="0"/>
        <w:kinsoku/>
        <w:wordWrap/>
        <w:overflowPunct/>
        <w:topLinePunct w:val="0"/>
        <w:autoSpaceDE/>
        <w:autoSpaceDN/>
        <w:bidi w:val="0"/>
        <w:adjustRightInd/>
        <w:snapToGrid/>
        <w:spacing w:line="576" w:lineRule="exact"/>
        <w:ind w:left="0"/>
        <w:textAlignment w:val="auto"/>
        <w:rPr>
          <w:rFonts w:ascii="宋体" w:hAnsi="宋体" w:eastAsia="宋体" w:cs="宋体"/>
          <w:spacing w:val="8"/>
          <w:sz w:val="24"/>
          <w:szCs w:val="24"/>
        </w:rPr>
      </w:pPr>
      <w:r>
        <w:rPr>
          <w:rFonts w:ascii="宋体" w:hAnsi="宋体" w:eastAsia="宋体" w:cs="宋体"/>
          <w:spacing w:val="8"/>
          <w:sz w:val="24"/>
          <w:szCs w:val="24"/>
        </w:rPr>
        <w:t>（六）做好干部人事档案的安全、保密、保管与保护工作。</w:t>
      </w:r>
    </w:p>
    <w:p>
      <w:pPr>
        <w:keepNext w:val="0"/>
        <w:keepLines w:val="0"/>
        <w:pageBreakBefore w:val="0"/>
        <w:widowControl w:val="0"/>
        <w:kinsoku/>
        <w:wordWrap/>
        <w:overflowPunct/>
        <w:topLinePunct w:val="0"/>
        <w:autoSpaceDE/>
        <w:autoSpaceDN/>
        <w:bidi w:val="0"/>
        <w:adjustRightInd/>
        <w:snapToGrid/>
        <w:spacing w:line="576" w:lineRule="exact"/>
        <w:ind w:left="0"/>
        <w:textAlignment w:val="auto"/>
        <w:rPr>
          <w:rFonts w:ascii="宋体" w:hAnsi="宋体" w:eastAsia="宋体" w:cs="宋体"/>
          <w:spacing w:val="8"/>
          <w:sz w:val="24"/>
          <w:szCs w:val="24"/>
        </w:rPr>
      </w:pPr>
      <w:r>
        <w:rPr>
          <w:rFonts w:ascii="宋体" w:hAnsi="宋体" w:eastAsia="宋体" w:cs="宋体"/>
          <w:spacing w:val="8"/>
          <w:sz w:val="24"/>
          <w:szCs w:val="24"/>
        </w:rPr>
        <w:t>（七）调查研究干部人事档案工作情况，制定规章制度。做好基础建设和业务指导。</w:t>
      </w:r>
    </w:p>
    <w:p>
      <w:pPr>
        <w:keepNext w:val="0"/>
        <w:keepLines w:val="0"/>
        <w:pageBreakBefore w:val="0"/>
        <w:widowControl w:val="0"/>
        <w:kinsoku/>
        <w:wordWrap/>
        <w:overflowPunct/>
        <w:topLinePunct w:val="0"/>
        <w:autoSpaceDE/>
        <w:autoSpaceDN/>
        <w:bidi w:val="0"/>
        <w:adjustRightInd/>
        <w:snapToGrid/>
        <w:spacing w:line="576" w:lineRule="exact"/>
        <w:ind w:left="0"/>
        <w:textAlignment w:val="auto"/>
        <w:rPr>
          <w:rFonts w:ascii="宋体" w:hAnsi="宋体" w:eastAsia="宋体" w:cs="宋体"/>
          <w:spacing w:val="8"/>
          <w:sz w:val="24"/>
          <w:szCs w:val="24"/>
        </w:rPr>
      </w:pPr>
      <w:r>
        <w:rPr>
          <w:rFonts w:ascii="宋体" w:hAnsi="宋体" w:eastAsia="宋体" w:cs="宋体"/>
          <w:spacing w:val="8"/>
          <w:sz w:val="24"/>
          <w:szCs w:val="24"/>
        </w:rPr>
        <w:t>（八）推广、应用干部人事档案现代化管理技术。</w:t>
      </w:r>
    </w:p>
    <w:p>
      <w:pPr>
        <w:keepNext w:val="0"/>
        <w:keepLines w:val="0"/>
        <w:pageBreakBefore w:val="0"/>
        <w:widowControl w:val="0"/>
        <w:kinsoku/>
        <w:wordWrap/>
        <w:overflowPunct/>
        <w:topLinePunct w:val="0"/>
        <w:autoSpaceDE/>
        <w:autoSpaceDN/>
        <w:bidi w:val="0"/>
        <w:adjustRightInd/>
        <w:snapToGrid/>
        <w:spacing w:line="576" w:lineRule="exact"/>
        <w:ind w:left="0"/>
        <w:textAlignment w:val="auto"/>
        <w:rPr>
          <w:rFonts w:ascii="宋体" w:hAnsi="宋体" w:eastAsia="宋体" w:cs="宋体"/>
          <w:spacing w:val="8"/>
          <w:sz w:val="24"/>
          <w:szCs w:val="24"/>
        </w:rPr>
      </w:pPr>
      <w:r>
        <w:rPr>
          <w:rFonts w:ascii="宋体" w:hAnsi="宋体" w:eastAsia="宋体" w:cs="宋体"/>
          <w:spacing w:val="8"/>
          <w:sz w:val="24"/>
          <w:szCs w:val="24"/>
        </w:rPr>
        <w:t>（九）定期向同级档案馆（室）移交死亡干部人事档案。</w:t>
      </w:r>
    </w:p>
    <w:p>
      <w:pPr>
        <w:keepNext w:val="0"/>
        <w:keepLines w:val="0"/>
        <w:pageBreakBefore w:val="0"/>
        <w:widowControl w:val="0"/>
        <w:kinsoku/>
        <w:wordWrap/>
        <w:overflowPunct/>
        <w:topLinePunct w:val="0"/>
        <w:autoSpaceDE/>
        <w:autoSpaceDN/>
        <w:bidi w:val="0"/>
        <w:adjustRightInd/>
        <w:snapToGrid/>
        <w:spacing w:line="576" w:lineRule="exact"/>
        <w:ind w:left="0"/>
        <w:textAlignment w:val="auto"/>
        <w:rPr>
          <w:rFonts w:ascii="宋体" w:hAnsi="宋体" w:eastAsia="宋体" w:cs="宋体"/>
          <w:spacing w:val="8"/>
          <w:sz w:val="24"/>
          <w:szCs w:val="24"/>
        </w:rPr>
      </w:pPr>
      <w:r>
        <w:rPr>
          <w:rFonts w:ascii="宋体" w:hAnsi="宋体" w:eastAsia="宋体" w:cs="宋体"/>
          <w:spacing w:val="8"/>
          <w:sz w:val="24"/>
          <w:szCs w:val="24"/>
        </w:rPr>
        <w:t>（十）负责全县组织部门信息管理系统网络的建设、规划、指导，同时做好与其它部门的连接和建站工作；</w:t>
      </w:r>
    </w:p>
    <w:p>
      <w:pPr>
        <w:keepNext w:val="0"/>
        <w:keepLines w:val="0"/>
        <w:pageBreakBefore w:val="0"/>
        <w:widowControl w:val="0"/>
        <w:kinsoku/>
        <w:wordWrap/>
        <w:overflowPunct/>
        <w:topLinePunct w:val="0"/>
        <w:autoSpaceDE/>
        <w:autoSpaceDN/>
        <w:bidi w:val="0"/>
        <w:adjustRightInd/>
        <w:snapToGrid/>
        <w:spacing w:line="576" w:lineRule="exact"/>
        <w:ind w:left="0"/>
        <w:textAlignment w:val="auto"/>
        <w:rPr>
          <w:rFonts w:ascii="宋体" w:hAnsi="宋体" w:eastAsia="宋体" w:cs="宋体"/>
          <w:spacing w:val="8"/>
          <w:sz w:val="24"/>
          <w:szCs w:val="24"/>
        </w:rPr>
      </w:pPr>
      <w:r>
        <w:rPr>
          <w:rFonts w:ascii="宋体" w:hAnsi="宋体" w:eastAsia="宋体" w:cs="宋体"/>
          <w:spacing w:val="8"/>
          <w:sz w:val="24"/>
          <w:szCs w:val="24"/>
        </w:rPr>
        <w:t>（十ー)负责全县组织工作网络宣传、舆论引导和组织系统网络宣传工作人员队伍建设工作；</w:t>
      </w:r>
    </w:p>
    <w:p>
      <w:pPr>
        <w:keepNext w:val="0"/>
        <w:keepLines w:val="0"/>
        <w:pageBreakBefore w:val="0"/>
        <w:widowControl w:val="0"/>
        <w:kinsoku/>
        <w:wordWrap/>
        <w:overflowPunct/>
        <w:topLinePunct w:val="0"/>
        <w:autoSpaceDE/>
        <w:autoSpaceDN/>
        <w:bidi w:val="0"/>
        <w:adjustRightInd/>
        <w:snapToGrid/>
        <w:spacing w:line="576" w:lineRule="exact"/>
        <w:ind w:left="0"/>
        <w:textAlignment w:val="auto"/>
        <w:rPr>
          <w:rFonts w:ascii="宋体" w:hAnsi="宋体" w:eastAsia="宋体" w:cs="宋体"/>
          <w:spacing w:val="8"/>
          <w:sz w:val="24"/>
          <w:szCs w:val="24"/>
        </w:rPr>
      </w:pPr>
      <w:r>
        <w:rPr>
          <w:rFonts w:ascii="宋体" w:hAnsi="宋体" w:eastAsia="宋体" w:cs="宋体"/>
          <w:spacing w:val="8"/>
          <w:sz w:val="24"/>
          <w:szCs w:val="24"/>
        </w:rPr>
        <w:t>（十二）负责组织全县组织系统的工作人员计算机应用知识业务技术培训和公务员统计、干部统计、党内统计的业务知识培训；</w:t>
      </w:r>
    </w:p>
    <w:p>
      <w:pPr>
        <w:keepNext w:val="0"/>
        <w:keepLines w:val="0"/>
        <w:pageBreakBefore w:val="0"/>
        <w:widowControl w:val="0"/>
        <w:kinsoku/>
        <w:wordWrap/>
        <w:overflowPunct/>
        <w:topLinePunct w:val="0"/>
        <w:autoSpaceDE/>
        <w:autoSpaceDN/>
        <w:bidi w:val="0"/>
        <w:adjustRightInd/>
        <w:snapToGrid/>
        <w:spacing w:line="576" w:lineRule="exact"/>
        <w:ind w:left="0"/>
        <w:textAlignment w:val="auto"/>
        <w:rPr>
          <w:rFonts w:ascii="宋体" w:hAnsi="宋体" w:eastAsia="宋体" w:cs="宋体"/>
          <w:spacing w:val="8"/>
          <w:sz w:val="24"/>
          <w:szCs w:val="24"/>
        </w:rPr>
      </w:pPr>
      <w:r>
        <w:rPr>
          <w:rFonts w:ascii="宋体" w:hAnsi="宋体" w:eastAsia="宋体" w:cs="宋体"/>
          <w:spacing w:val="8"/>
          <w:sz w:val="24"/>
          <w:szCs w:val="24"/>
        </w:rPr>
        <w:t>（十四）负责全县组织部门及有关管理软件的开发、系统维护和系统优化工作；</w:t>
      </w:r>
    </w:p>
    <w:p>
      <w:pPr>
        <w:keepNext w:val="0"/>
        <w:keepLines w:val="0"/>
        <w:pageBreakBefore w:val="0"/>
        <w:widowControl w:val="0"/>
        <w:kinsoku/>
        <w:wordWrap/>
        <w:overflowPunct/>
        <w:topLinePunct w:val="0"/>
        <w:autoSpaceDE/>
        <w:autoSpaceDN/>
        <w:bidi w:val="0"/>
        <w:adjustRightInd/>
        <w:snapToGrid/>
        <w:spacing w:line="576" w:lineRule="exact"/>
        <w:ind w:left="0"/>
        <w:textAlignment w:val="auto"/>
        <w:rPr>
          <w:rFonts w:ascii="宋体" w:hAnsi="宋体" w:eastAsia="宋体" w:cs="宋体"/>
          <w:spacing w:val="8"/>
          <w:sz w:val="24"/>
          <w:szCs w:val="24"/>
        </w:rPr>
      </w:pPr>
      <w:r>
        <w:rPr>
          <w:rFonts w:ascii="宋体" w:hAnsi="宋体" w:eastAsia="宋体" w:cs="宋体"/>
          <w:spacing w:val="8"/>
          <w:sz w:val="24"/>
          <w:szCs w:val="24"/>
        </w:rPr>
        <w:t>（十五）负责县委组织部机关信息系统的日常管理工作，以及其它办公自动化工作；</w:t>
      </w:r>
    </w:p>
    <w:p>
      <w:pPr>
        <w:keepNext w:val="0"/>
        <w:keepLines w:val="0"/>
        <w:pageBreakBefore w:val="0"/>
        <w:widowControl w:val="0"/>
        <w:kinsoku/>
        <w:wordWrap/>
        <w:overflowPunct/>
        <w:topLinePunct w:val="0"/>
        <w:autoSpaceDE/>
        <w:autoSpaceDN/>
        <w:bidi w:val="0"/>
        <w:adjustRightInd/>
        <w:snapToGrid/>
        <w:spacing w:line="576" w:lineRule="exact"/>
        <w:ind w:left="0"/>
        <w:textAlignment w:val="auto"/>
        <w:rPr>
          <w:rFonts w:ascii="宋体" w:hAnsi="宋体" w:eastAsia="宋体" w:cs="宋体"/>
          <w:spacing w:val="8"/>
          <w:sz w:val="24"/>
          <w:szCs w:val="24"/>
        </w:rPr>
      </w:pPr>
      <w:r>
        <w:rPr>
          <w:rFonts w:ascii="宋体" w:hAnsi="宋体" w:eastAsia="宋体" w:cs="宋体"/>
          <w:spacing w:val="8"/>
          <w:sz w:val="24"/>
          <w:szCs w:val="24"/>
        </w:rPr>
        <w:t>（十六）会同有关单位督促检查和考核全县组织部门信息管理系统的建设工作；</w:t>
      </w:r>
    </w:p>
    <w:p>
      <w:pPr>
        <w:keepNext w:val="0"/>
        <w:keepLines w:val="0"/>
        <w:pageBreakBefore w:val="0"/>
        <w:widowControl w:val="0"/>
        <w:kinsoku/>
        <w:wordWrap/>
        <w:overflowPunct/>
        <w:topLinePunct w:val="0"/>
        <w:autoSpaceDE/>
        <w:autoSpaceDN/>
        <w:bidi w:val="0"/>
        <w:adjustRightInd/>
        <w:snapToGrid/>
        <w:spacing w:line="576" w:lineRule="exact"/>
        <w:ind w:left="0"/>
        <w:textAlignment w:val="auto"/>
        <w:rPr>
          <w:rFonts w:hint="eastAsia" w:ascii="宋体" w:hAnsi="宋体" w:eastAsia="宋体" w:cs="宋体"/>
          <w:spacing w:val="8"/>
          <w:sz w:val="24"/>
          <w:szCs w:val="24"/>
          <w:lang w:val="en-US" w:eastAsia="zh-CN"/>
        </w:rPr>
      </w:pPr>
      <w:r>
        <w:rPr>
          <w:rFonts w:ascii="宋体" w:hAnsi="宋体" w:eastAsia="宋体" w:cs="宋体"/>
          <w:spacing w:val="8"/>
          <w:sz w:val="24"/>
          <w:szCs w:val="24"/>
        </w:rPr>
        <w:t>（十七）负责全县公务员统计、干部统计、党内统计，并对全县公务员统计、干部统计和党内统计工作进行业务指</w:t>
      </w:r>
      <w:r>
        <w:rPr>
          <w:rFonts w:hint="eastAsia" w:ascii="宋体" w:hAnsi="宋体" w:eastAsia="宋体" w:cs="宋体"/>
          <w:spacing w:val="8"/>
          <w:sz w:val="24"/>
          <w:szCs w:val="24"/>
          <w:lang w:val="en-US" w:eastAsia="zh-CN"/>
        </w:rPr>
        <w:t>导；</w:t>
      </w:r>
    </w:p>
    <w:p>
      <w:pPr>
        <w:keepNext w:val="0"/>
        <w:keepLines w:val="0"/>
        <w:pageBreakBefore w:val="0"/>
        <w:widowControl w:val="0"/>
        <w:kinsoku/>
        <w:wordWrap/>
        <w:overflowPunct/>
        <w:topLinePunct w:val="0"/>
        <w:autoSpaceDE/>
        <w:autoSpaceDN/>
        <w:bidi w:val="0"/>
        <w:adjustRightInd/>
        <w:snapToGrid/>
        <w:spacing w:line="576" w:lineRule="exact"/>
        <w:ind w:left="0"/>
        <w:textAlignment w:val="auto"/>
        <w:rPr>
          <w:rFonts w:ascii="宋体" w:hAnsi="宋体" w:eastAsia="宋体" w:cs="宋体"/>
          <w:spacing w:val="8"/>
          <w:sz w:val="24"/>
          <w:szCs w:val="24"/>
        </w:rPr>
      </w:pPr>
      <w:r>
        <w:rPr>
          <w:rFonts w:ascii="宋体" w:hAnsi="宋体" w:eastAsia="宋体" w:cs="宋体"/>
          <w:spacing w:val="8"/>
          <w:sz w:val="24"/>
          <w:szCs w:val="24"/>
        </w:rPr>
        <w:t>（十八）办理领导交办的其他事项。</w:t>
      </w:r>
    </w:p>
    <w:p>
      <w:pPr>
        <w:keepNext w:val="0"/>
        <w:keepLines w:val="0"/>
        <w:pageBreakBefore w:val="0"/>
        <w:widowControl w:val="0"/>
        <w:kinsoku/>
        <w:wordWrap/>
        <w:overflowPunct/>
        <w:topLinePunct w:val="0"/>
        <w:autoSpaceDE/>
        <w:autoSpaceDN/>
        <w:bidi w:val="0"/>
        <w:adjustRightInd/>
        <w:snapToGrid/>
        <w:spacing w:line="576" w:lineRule="exact"/>
        <w:ind w:left="0"/>
        <w:textAlignment w:val="auto"/>
        <w:rPr>
          <w:rFonts w:ascii="宋体" w:hAnsi="宋体" w:eastAsia="宋体" w:cs="宋体"/>
          <w:spacing w:val="8"/>
          <w:sz w:val="24"/>
          <w:szCs w:val="24"/>
        </w:rPr>
      </w:pPr>
      <w:r>
        <w:rPr>
          <w:rFonts w:ascii="宋体" w:hAnsi="宋体" w:eastAsia="宋体" w:cs="宋体"/>
          <w:spacing w:val="8"/>
          <w:sz w:val="24"/>
          <w:szCs w:val="24"/>
        </w:rPr>
        <w:t>二、机构设置</w:t>
      </w:r>
    </w:p>
    <w:p>
      <w:pPr>
        <w:keepNext w:val="0"/>
        <w:keepLines w:val="0"/>
        <w:pageBreakBefore w:val="0"/>
        <w:widowControl w:val="0"/>
        <w:kinsoku/>
        <w:wordWrap/>
        <w:overflowPunct/>
        <w:topLinePunct w:val="0"/>
        <w:autoSpaceDE/>
        <w:autoSpaceDN/>
        <w:bidi w:val="0"/>
        <w:adjustRightInd/>
        <w:snapToGrid/>
        <w:spacing w:line="576" w:lineRule="exact"/>
        <w:ind w:left="0"/>
        <w:textAlignment w:val="auto"/>
        <w:rPr>
          <w:rFonts w:hint="eastAsia" w:ascii="仿宋_GB2312" w:hAnsi="仿宋_GB2312" w:eastAsia="仿宋_GB2312" w:cs="仿宋_GB2312"/>
          <w:sz w:val="24"/>
          <w:szCs w:val="24"/>
        </w:rPr>
      </w:pPr>
      <w:r>
        <w:rPr>
          <w:rFonts w:ascii="宋体" w:hAnsi="宋体" w:eastAsia="宋体" w:cs="宋体"/>
          <w:spacing w:val="8"/>
          <w:sz w:val="24"/>
          <w:szCs w:val="24"/>
        </w:rPr>
        <w:t>根据上述职责，通榆县干部档案室（通榆县组织信息管理中心） 内设 0 个机构。下设 0 家预算单位。</w:t>
      </w:r>
      <w:r>
        <w:rPr>
          <w:rFonts w:hint="eastAsia" w:ascii="宋体" w:hAnsi="宋体" w:eastAsia="宋体" w:cs="宋体"/>
          <w:spacing w:val="8"/>
          <w:sz w:val="24"/>
          <w:szCs w:val="24"/>
        </w:rPr>
        <w:t>。</w:t>
      </w:r>
    </w:p>
    <w:p>
      <w:pPr>
        <w:pStyle w:val="52"/>
        <w:ind w:firstLine="640" w:firstLineChars="200"/>
        <w:rPr>
          <w:rFonts w:eastAsia="楷体"/>
        </w:rPr>
      </w:pPr>
    </w:p>
    <w:p>
      <w:pPr>
        <w:pStyle w:val="52"/>
        <w:ind w:firstLine="640" w:firstLineChars="200"/>
        <w:rPr>
          <w:rFonts w:eastAsia="楷体"/>
        </w:rPr>
      </w:pPr>
    </w:p>
    <w:p>
      <w:pPr>
        <w:pStyle w:val="52"/>
        <w:ind w:firstLine="640" w:firstLineChars="200"/>
        <w:rPr>
          <w:rFonts w:hAnsi="楷体" w:eastAsia="楷体"/>
        </w:rPr>
      </w:pPr>
    </w:p>
    <w:p>
      <w:pPr>
        <w:pStyle w:val="52"/>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10"/>
        <w:tblpPr w:leftFromText="180" w:rightFromText="180" w:vertAnchor="text" w:horzAnchor="page" w:tblpX="1126" w:tblpY="698"/>
        <w:tblOverlap w:val="never"/>
        <w:tblW w:w="9908" w:type="dxa"/>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109.99</w:t>
            </w:r>
          </w:p>
        </w:tc>
        <w:tc>
          <w:tcPr>
            <w:tcW w:w="1073" w:type="dxa"/>
            <w:tcBorders>
              <w:top w:val="nil"/>
              <w:left w:val="nil"/>
              <w:bottom w:val="single" w:color="auto" w:sz="4" w:space="0"/>
              <w:right w:val="single" w:color="auto" w:sz="4" w:space="0"/>
            </w:tcBorders>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109.99</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84.98</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84.98</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109.99</w:t>
            </w:r>
          </w:p>
        </w:tc>
        <w:tc>
          <w:tcPr>
            <w:tcW w:w="1073" w:type="dxa"/>
            <w:tcBorders>
              <w:top w:val="nil"/>
              <w:left w:val="nil"/>
              <w:bottom w:val="single" w:color="auto" w:sz="4" w:space="0"/>
              <w:right w:val="single" w:color="auto" w:sz="4" w:space="0"/>
            </w:tcBorders>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109.99</w:t>
            </w: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12.74</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12.74</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7.73</w:t>
            </w:r>
          </w:p>
        </w:tc>
        <w:tc>
          <w:tcPr>
            <w:tcW w:w="1182" w:type="dxa"/>
            <w:gridSpan w:val="2"/>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7.73</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4.54</w:t>
            </w:r>
          </w:p>
        </w:tc>
        <w:tc>
          <w:tcPr>
            <w:tcW w:w="1182" w:type="dxa"/>
            <w:gridSpan w:val="2"/>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4.54</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109.99</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109.99</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109.99</w:t>
            </w:r>
          </w:p>
        </w:tc>
        <w:tc>
          <w:tcPr>
            <w:tcW w:w="1182" w:type="dxa"/>
            <w:gridSpan w:val="2"/>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109.99</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109.99</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109.99</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109.99</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109.99</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10"/>
        <w:tblW w:w="0" w:type="auto"/>
        <w:jc w:val="center"/>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416"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416"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noWrap w:val="0"/>
            <w:vAlign w:val="center"/>
          </w:tcPr>
          <w:p>
            <w:pPr>
              <w:widowControl/>
              <w:jc w:val="left"/>
              <w:rPr>
                <w:rFonts w:eastAsia="宋体"/>
                <w:color w:val="000000"/>
                <w:sz w:val="20"/>
              </w:rPr>
            </w:pPr>
            <w:r>
              <w:rPr>
                <w:rFonts w:hint="eastAsia" w:eastAsia="宋体"/>
                <w:color w:val="000000"/>
                <w:sz w:val="20"/>
              </w:rPr>
              <w:t>通榆县干部档案室（通榆县组织信息管理中心）</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109.99</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109.99</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109.99</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仿宋_GB2312"/>
                <w:color w:val="000000"/>
                <w:sz w:val="20"/>
                <w:shd w:val="clear" w:color="auto" w:fill="FFFFFF"/>
                <w:lang w:val="en-US" w:eastAsia="zh-CN"/>
              </w:rPr>
            </w:pPr>
            <w:r>
              <w:rPr>
                <w:rFonts w:hint="eastAsia"/>
                <w:color w:val="000000"/>
                <w:sz w:val="20"/>
                <w:shd w:val="clear" w:color="auto" w:fill="FFFFFF"/>
                <w:lang w:val="en-US" w:eastAsia="zh-CN"/>
              </w:rPr>
              <w:t>109.99</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仿宋_GB2312"/>
                <w:color w:val="000000"/>
                <w:sz w:val="20"/>
                <w:shd w:val="clear" w:color="auto" w:fill="FFFFFF"/>
                <w:lang w:val="en-US" w:eastAsia="zh-CN"/>
              </w:rPr>
            </w:pPr>
            <w:r>
              <w:rPr>
                <w:rFonts w:hint="eastAsia"/>
                <w:color w:val="000000"/>
                <w:sz w:val="20"/>
                <w:shd w:val="clear" w:color="auto" w:fill="FFFFFF"/>
                <w:lang w:val="en-US" w:eastAsia="zh-CN"/>
              </w:rPr>
              <w:t>109.99</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仿宋_GB2312"/>
                <w:color w:val="000000"/>
                <w:sz w:val="20"/>
                <w:shd w:val="clear" w:color="auto" w:fill="FFFFFF"/>
                <w:lang w:val="en-US" w:eastAsia="zh-CN"/>
              </w:rPr>
            </w:pPr>
            <w:r>
              <w:rPr>
                <w:rFonts w:hint="eastAsia"/>
                <w:color w:val="000000"/>
                <w:sz w:val="20"/>
                <w:shd w:val="clear" w:color="auto" w:fill="FFFFFF"/>
                <w:lang w:val="en-US" w:eastAsia="zh-CN"/>
              </w:rPr>
              <w:t>109.99</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10"/>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10"/>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Verdana" w:hAnsi="Verdana" w:eastAsia="Verdana" w:cs="Times New Roman"/>
                      <w:color w:val="000000"/>
                      <w:kern w:val="2"/>
                      <w:sz w:val="24"/>
                      <w:szCs w:val="24"/>
                      <w:lang w:val="en-US" w:eastAsia="zh-CN" w:bidi="ar-SA"/>
                    </w:rPr>
                  </w:pPr>
                  <w:r>
                    <w:rPr>
                      <w:rFonts w:hint="eastAsia" w:ascii="Verdana" w:hAnsi="Verdana" w:eastAsia="宋体"/>
                      <w:color w:val="000000"/>
                      <w:sz w:val="24"/>
                      <w:szCs w:val="24"/>
                      <w:lang w:val="en-US" w:eastAsia="zh-CN"/>
                    </w:rPr>
                    <w:t>一、</w:t>
                  </w:r>
                  <w:r>
                    <w:rPr>
                      <w:rFonts w:hint="eastAsia" w:ascii="Verdana" w:hAnsi="Verdana" w:eastAsia="Verdana"/>
                      <w:color w:val="000000"/>
                      <w:sz w:val="24"/>
                      <w:szCs w:val="24"/>
                    </w:rPr>
                    <w:t>一般公共服务支出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84.98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84.98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　组织事务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84.98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84.98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　　行政运行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84.98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84.98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Verdana" w:hAnsi="Verdana" w:eastAsia="Verdana" w:cs="Times New Roman"/>
                      <w:color w:val="000000"/>
                      <w:kern w:val="2"/>
                      <w:sz w:val="24"/>
                      <w:szCs w:val="24"/>
                      <w:lang w:val="en-US" w:eastAsia="zh-CN" w:bidi="ar-SA"/>
                    </w:rPr>
                  </w:pPr>
                  <w:r>
                    <w:rPr>
                      <w:rFonts w:hint="eastAsia" w:ascii="Verdana" w:hAnsi="Verdana" w:eastAsia="宋体"/>
                      <w:color w:val="000000"/>
                      <w:sz w:val="24"/>
                      <w:szCs w:val="24"/>
                      <w:lang w:val="en-US" w:eastAsia="zh-CN"/>
                    </w:rPr>
                    <w:t>二、</w:t>
                  </w:r>
                  <w:r>
                    <w:rPr>
                      <w:rFonts w:hint="eastAsia" w:ascii="Verdana" w:hAnsi="Verdana" w:eastAsia="Verdana"/>
                      <w:color w:val="000000"/>
                      <w:sz w:val="24"/>
                      <w:szCs w:val="24"/>
                    </w:rPr>
                    <w:t>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12.74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12.74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　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12.74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12.74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　　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10.30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10.30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　　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2.44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2.44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Verdana" w:hAnsi="Verdana" w:eastAsia="Verdana" w:cs="Times New Roman"/>
                      <w:color w:val="000000"/>
                      <w:kern w:val="2"/>
                      <w:sz w:val="24"/>
                      <w:szCs w:val="24"/>
                      <w:lang w:val="en-US" w:eastAsia="zh-CN" w:bidi="ar-SA"/>
                    </w:rPr>
                  </w:pPr>
                  <w:r>
                    <w:rPr>
                      <w:rFonts w:hint="eastAsia" w:ascii="Verdana" w:hAnsi="Verdana" w:eastAsia="宋体"/>
                      <w:color w:val="000000"/>
                      <w:sz w:val="24"/>
                      <w:szCs w:val="24"/>
                      <w:lang w:val="en-US" w:eastAsia="zh-CN"/>
                    </w:rPr>
                    <w:t>三、</w:t>
                  </w:r>
                  <w:r>
                    <w:rPr>
                      <w:rFonts w:hint="eastAsia" w:ascii="Verdana" w:hAnsi="Verdana" w:eastAsia="Verdana"/>
                      <w:color w:val="000000"/>
                      <w:sz w:val="24"/>
                      <w:szCs w:val="24"/>
                    </w:rPr>
                    <w:t>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4.54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4.54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　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4.54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4.54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　　行政单位医疗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4.47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4.47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　　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0.06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0.06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Verdana" w:hAnsi="Verdana" w:eastAsia="Verdana" w:cs="Times New Roman"/>
                      <w:color w:val="000000"/>
                      <w:kern w:val="2"/>
                      <w:sz w:val="24"/>
                      <w:szCs w:val="24"/>
                      <w:lang w:val="en-US" w:eastAsia="zh-CN" w:bidi="ar-SA"/>
                    </w:rPr>
                  </w:pPr>
                  <w:r>
                    <w:rPr>
                      <w:rFonts w:hint="eastAsia" w:ascii="Verdana" w:hAnsi="Verdana" w:eastAsia="宋体"/>
                      <w:color w:val="000000"/>
                      <w:sz w:val="24"/>
                      <w:szCs w:val="24"/>
                      <w:lang w:val="en-US" w:eastAsia="zh-CN"/>
                    </w:rPr>
                    <w:t>四、</w:t>
                  </w:r>
                  <w:r>
                    <w:rPr>
                      <w:rFonts w:hint="eastAsia" w:ascii="Verdana" w:hAnsi="Verdana" w:eastAsia="Verdana"/>
                      <w:color w:val="000000"/>
                      <w:sz w:val="24"/>
                      <w:szCs w:val="24"/>
                    </w:rPr>
                    <w:t>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7.73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7.73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　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7.73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7.73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　　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7.73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Verdana" w:hAnsi="Verdana" w:eastAsia="Verdana" w:cs="Times New Roman"/>
                      <w:color w:val="000000"/>
                      <w:kern w:val="2"/>
                      <w:sz w:val="24"/>
                      <w:szCs w:val="24"/>
                      <w:lang w:val="en-US" w:eastAsia="zh-CN" w:bidi="ar-SA"/>
                    </w:rPr>
                  </w:pPr>
                  <w:r>
                    <w:rPr>
                      <w:rFonts w:hint="eastAsia" w:ascii="Verdana" w:hAnsi="Verdana" w:eastAsia="Verdana"/>
                      <w:color w:val="000000"/>
                      <w:sz w:val="24"/>
                      <w:szCs w:val="24"/>
                    </w:rPr>
                    <w:t>7.73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default" w:ascii="Verdana" w:hAnsi="Verdana" w:eastAsia="宋体" w:cs="Times New Roman"/>
                      <w:color w:val="000000"/>
                      <w:kern w:val="2"/>
                      <w:sz w:val="24"/>
                      <w:szCs w:val="24"/>
                      <w:lang w:val="en-US" w:eastAsia="zh-CN" w:bidi="ar-SA"/>
                    </w:rPr>
                  </w:pPr>
                  <w:r>
                    <w:rPr>
                      <w:rFonts w:hint="eastAsia" w:ascii="Verdana" w:hAnsi="Verdana" w:eastAsia="宋体"/>
                      <w:color w:val="000000"/>
                      <w:sz w:val="24"/>
                      <w:szCs w:val="24"/>
                      <w:lang w:val="en-US" w:eastAsia="zh-CN"/>
                    </w:rPr>
                    <w:t>109.99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default" w:ascii="Verdana" w:hAnsi="Verdana" w:eastAsia="宋体" w:cs="Times New Roman"/>
                      <w:color w:val="000000"/>
                      <w:kern w:val="2"/>
                      <w:sz w:val="24"/>
                      <w:szCs w:val="24"/>
                      <w:lang w:val="en-US" w:eastAsia="zh-CN" w:bidi="ar-SA"/>
                    </w:rPr>
                  </w:pPr>
                  <w:r>
                    <w:rPr>
                      <w:rFonts w:hint="eastAsia" w:ascii="Verdana" w:hAnsi="Verdana" w:eastAsia="宋体"/>
                      <w:color w:val="000000"/>
                      <w:sz w:val="24"/>
                      <w:szCs w:val="24"/>
                      <w:lang w:val="en-US" w:eastAsia="zh-CN"/>
                    </w:rPr>
                    <w:t>109.99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rPr>
          <w:rFonts w:hAnsi="楷体" w:eastAsia="楷体"/>
        </w:rPr>
      </w:pPr>
    </w:p>
    <w:tbl>
      <w:tblPr>
        <w:tblStyle w:val="10"/>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10"/>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688"/>
              <w:gridCol w:w="688"/>
              <w:gridCol w:w="1721"/>
              <w:gridCol w:w="864"/>
              <w:gridCol w:w="744"/>
              <w:gridCol w:w="744"/>
              <w:gridCol w:w="804"/>
              <w:gridCol w:w="772"/>
            </w:tblGrid>
            <w:tr>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109.99</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109.99</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84.98</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84.98</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109.99</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eastAsia="宋体"/>
                      <w:kern w:val="0"/>
                      <w:sz w:val="20"/>
                      <w:lang w:val="en-US" w:eastAsia="zh-CN"/>
                    </w:rPr>
                  </w:pPr>
                  <w:r>
                    <w:rPr>
                      <w:rFonts w:hint="eastAsia" w:eastAsia="宋体"/>
                      <w:kern w:val="0"/>
                      <w:sz w:val="20"/>
                      <w:lang w:val="en-US" w:eastAsia="zh-CN"/>
                    </w:rPr>
                    <w:t>109.99</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12.74</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12.74</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4.54</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4.54</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7.73</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7.73</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109.99</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109.99</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109.99</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109.99</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109.99</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109.99</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109.99</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109.99</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10"/>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10"/>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lang w:val="en-US" w:eastAsia="zh-CN"/>
                    </w:rPr>
                    <w:t>一、</w:t>
                  </w:r>
                  <w:r>
                    <w:rPr>
                      <w:rFonts w:hint="eastAsia" w:ascii="宋体" w:hAnsi="宋体" w:eastAsia="宋体" w:cs="宋体"/>
                      <w:color w:val="000000"/>
                      <w:sz w:val="20"/>
                      <w:szCs w:val="20"/>
                    </w:rPr>
                    <w:t>一般公共服务支出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84.98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84.98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68.66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16.32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组织事务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84.98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84.98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68.66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16.32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行政运行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84.98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84.98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68.66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16.32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lang w:val="en-US" w:eastAsia="zh-CN"/>
                    </w:rPr>
                    <w:t>二、</w:t>
                  </w:r>
                  <w:r>
                    <w:rPr>
                      <w:rFonts w:hint="eastAsia" w:ascii="宋体" w:hAnsi="宋体" w:eastAsia="宋体" w:cs="宋体"/>
                      <w:color w:val="000000"/>
                      <w:sz w:val="20"/>
                      <w:szCs w:val="20"/>
                    </w:rPr>
                    <w:t>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12.74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12.74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12.74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12.74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12.74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12.74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10.30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10.30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10.30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2.44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2.44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2.44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lang w:val="en-US" w:eastAsia="zh-CN"/>
                    </w:rPr>
                    <w:t>三、</w:t>
                  </w:r>
                  <w:r>
                    <w:rPr>
                      <w:rFonts w:hint="eastAsia" w:ascii="宋体" w:hAnsi="宋体" w:eastAsia="宋体" w:cs="宋体"/>
                      <w:color w:val="000000"/>
                      <w:sz w:val="20"/>
                      <w:szCs w:val="20"/>
                    </w:rPr>
                    <w:t>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4.54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4.54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4.54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4.54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4.54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4.54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行政单位医疗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4.47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4.47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4.47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0.06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0.06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0.06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lang w:val="en-US" w:eastAsia="zh-CN"/>
                    </w:rPr>
                    <w:t>四、</w:t>
                  </w:r>
                  <w:r>
                    <w:rPr>
                      <w:rFonts w:hint="eastAsia" w:ascii="宋体" w:hAnsi="宋体" w:eastAsia="宋体" w:cs="宋体"/>
                      <w:color w:val="000000"/>
                      <w:sz w:val="20"/>
                      <w:szCs w:val="20"/>
                    </w:rPr>
                    <w:t>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7.73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7.73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7.73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7.73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7.73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7.73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7.73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7.73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7.73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109.99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109.99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93.67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16.32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10"/>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40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spacing w:beforeLines="0" w:afterLines="0"/>
              <w:jc w:val="left"/>
              <w:rPr>
                <w:rFonts w:hint="eastAsia" w:ascii="宋体" w:hAnsi="宋体" w:eastAsia="宋体" w:cs="宋体"/>
                <w:color w:val="000000"/>
                <w:sz w:val="20"/>
                <w:szCs w:val="20"/>
              </w:rPr>
            </w:pPr>
            <w:r>
              <w:rPr>
                <w:rFonts w:hint="eastAsia" w:ascii="宋体" w:hAnsi="宋体" w:eastAsia="宋体" w:cs="宋体"/>
                <w:spacing w:val="8"/>
                <w:sz w:val="20"/>
                <w:szCs w:val="20"/>
              </w:rPr>
              <w:t>一、工资福利支出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beforeLines="0" w:afterLines="0"/>
              <w:jc w:val="right"/>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93.67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beforeLines="0" w:afterLines="0"/>
              <w:jc w:val="right"/>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93.67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sz w:val="20"/>
                <w:szCs w:val="20"/>
              </w:rPr>
            </w:pPr>
          </w:p>
        </w:tc>
      </w:tr>
      <w:tr>
        <w:tblPrEx>
          <w:tblCellMar>
            <w:top w:w="0" w:type="dxa"/>
            <w:left w:w="108" w:type="dxa"/>
            <w:bottom w:w="0" w:type="dxa"/>
            <w:right w:w="108" w:type="dxa"/>
          </w:tblCellMar>
        </w:tblPrEx>
        <w:trPr>
          <w:trHeight w:val="40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28.64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28.64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sz w:val="20"/>
                <w:szCs w:val="20"/>
              </w:rPr>
            </w:pPr>
          </w:p>
        </w:tc>
      </w:tr>
      <w:tr>
        <w:tblPrEx>
          <w:tblCellMar>
            <w:top w:w="0" w:type="dxa"/>
            <w:left w:w="108" w:type="dxa"/>
            <w:bottom w:w="0" w:type="dxa"/>
            <w:right w:w="108" w:type="dxa"/>
          </w:tblCellMar>
        </w:tblPrEx>
        <w:trPr>
          <w:trHeight w:val="463"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24.71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24.71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sz w:val="20"/>
                <w:szCs w:val="20"/>
              </w:rPr>
            </w:pPr>
          </w:p>
        </w:tc>
      </w:tr>
      <w:tr>
        <w:tblPrEx>
          <w:tblCellMar>
            <w:top w:w="0" w:type="dxa"/>
            <w:left w:w="108" w:type="dxa"/>
            <w:bottom w:w="0" w:type="dxa"/>
            <w:right w:w="108" w:type="dxa"/>
          </w:tblCellMar>
        </w:tblPrEx>
        <w:trPr>
          <w:trHeight w:val="445"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14.36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14.36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机关事业单位基本养老保险缴费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10.30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10.30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sz w:val="20"/>
                <w:szCs w:val="20"/>
              </w:rPr>
            </w:pPr>
          </w:p>
        </w:tc>
      </w:tr>
      <w:tr>
        <w:tblPrEx>
          <w:tblCellMar>
            <w:top w:w="0" w:type="dxa"/>
            <w:left w:w="108" w:type="dxa"/>
            <w:bottom w:w="0" w:type="dxa"/>
            <w:right w:w="108" w:type="dxa"/>
          </w:tblCellMar>
        </w:tblPrEx>
        <w:trPr>
          <w:trHeight w:val="39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2.44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2.44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sz w:val="20"/>
                <w:szCs w:val="20"/>
              </w:rPr>
            </w:pPr>
          </w:p>
        </w:tc>
      </w:tr>
      <w:tr>
        <w:tblPrEx>
          <w:tblCellMar>
            <w:top w:w="0" w:type="dxa"/>
            <w:left w:w="108" w:type="dxa"/>
            <w:bottom w:w="0" w:type="dxa"/>
            <w:right w:w="108" w:type="dxa"/>
          </w:tblCellMar>
        </w:tblPrEx>
        <w:trPr>
          <w:trHeight w:val="436"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4.47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4.47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sz w:val="20"/>
                <w:szCs w:val="20"/>
              </w:rPr>
            </w:pPr>
          </w:p>
        </w:tc>
      </w:tr>
      <w:tr>
        <w:tblPrEx>
          <w:tblCellMar>
            <w:top w:w="0" w:type="dxa"/>
            <w:left w:w="108" w:type="dxa"/>
            <w:bottom w:w="0" w:type="dxa"/>
            <w:right w:w="108" w:type="dxa"/>
          </w:tblCellMar>
        </w:tblPrEx>
        <w:trPr>
          <w:trHeight w:val="408"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其他社会保障缴费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0.06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0.06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sz w:val="20"/>
                <w:szCs w:val="20"/>
              </w:rPr>
            </w:pPr>
          </w:p>
        </w:tc>
      </w:tr>
      <w:tr>
        <w:tblPrEx>
          <w:tblCellMar>
            <w:top w:w="0" w:type="dxa"/>
            <w:left w:w="108" w:type="dxa"/>
            <w:bottom w:w="0" w:type="dxa"/>
            <w:right w:w="108" w:type="dxa"/>
          </w:tblCellMar>
        </w:tblPrEx>
        <w:trPr>
          <w:trHeight w:val="435"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住房公积金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7.73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7.73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sz w:val="20"/>
                <w:szCs w:val="20"/>
              </w:rPr>
            </w:pPr>
          </w:p>
        </w:tc>
      </w:tr>
      <w:tr>
        <w:tblPrEx>
          <w:tblCellMar>
            <w:top w:w="0" w:type="dxa"/>
            <w:left w:w="108" w:type="dxa"/>
            <w:bottom w:w="0" w:type="dxa"/>
            <w:right w:w="108" w:type="dxa"/>
          </w:tblCellMar>
        </w:tblPrEx>
        <w:trPr>
          <w:trHeight w:val="399"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其他工资福利支出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0.95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0.95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sz w:val="20"/>
                <w:szCs w:val="20"/>
              </w:rPr>
            </w:pPr>
          </w:p>
        </w:tc>
      </w:tr>
      <w:tr>
        <w:tblPrEx>
          <w:tblCellMar>
            <w:top w:w="0" w:type="dxa"/>
            <w:left w:w="108" w:type="dxa"/>
            <w:bottom w:w="0" w:type="dxa"/>
            <w:right w:w="108" w:type="dxa"/>
          </w:tblCellMar>
        </w:tblPrEx>
        <w:trPr>
          <w:trHeight w:val="463"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二、商品和服务支出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16.32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sz w:val="20"/>
                <w:szCs w:val="20"/>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kern w:val="2"/>
                <w:sz w:val="20"/>
                <w:szCs w:val="20"/>
                <w:lang w:val="en-US" w:eastAsia="zh-CN" w:bidi="ar-SA"/>
              </w:rPr>
              <w:t>16.32</w:t>
            </w:r>
          </w:p>
        </w:tc>
      </w:tr>
      <w:tr>
        <w:tblPrEx>
          <w:tblCellMar>
            <w:top w:w="0" w:type="dxa"/>
            <w:left w:w="108" w:type="dxa"/>
            <w:bottom w:w="0" w:type="dxa"/>
            <w:right w:w="108" w:type="dxa"/>
          </w:tblCellMar>
        </w:tblPrEx>
        <w:trPr>
          <w:trHeight w:val="436"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办公费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6.10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sz w:val="20"/>
                <w:szCs w:val="20"/>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6.10</w:t>
            </w:r>
          </w:p>
        </w:tc>
      </w:tr>
      <w:tr>
        <w:tblPrEx>
          <w:tblCellMar>
            <w:top w:w="0" w:type="dxa"/>
            <w:left w:w="108" w:type="dxa"/>
            <w:bottom w:w="0" w:type="dxa"/>
            <w:right w:w="108" w:type="dxa"/>
          </w:tblCellMar>
        </w:tblPrEx>
        <w:trPr>
          <w:trHeight w:val="45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印刷费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1.00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sz w:val="20"/>
                <w:szCs w:val="20"/>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1.00</w:t>
            </w:r>
          </w:p>
        </w:tc>
      </w:tr>
      <w:tr>
        <w:tblPrEx>
          <w:tblCellMar>
            <w:top w:w="0" w:type="dxa"/>
            <w:left w:w="108" w:type="dxa"/>
            <w:bottom w:w="0" w:type="dxa"/>
            <w:right w:w="108" w:type="dxa"/>
          </w:tblCellMar>
        </w:tblPrEx>
        <w:trPr>
          <w:trHeight w:val="471"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咨询费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0.20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sz w:val="20"/>
                <w:szCs w:val="20"/>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0.20</w:t>
            </w:r>
          </w:p>
        </w:tc>
      </w:tr>
      <w:tr>
        <w:tblPrEx>
          <w:tblCellMar>
            <w:top w:w="0" w:type="dxa"/>
            <w:left w:w="108" w:type="dxa"/>
            <w:bottom w:w="0" w:type="dxa"/>
            <w:right w:w="108" w:type="dxa"/>
          </w:tblCellMar>
        </w:tblPrEx>
        <w:trPr>
          <w:trHeight w:val="472"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差旅费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0.50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0.50</w:t>
            </w:r>
          </w:p>
        </w:tc>
      </w:tr>
      <w:tr>
        <w:tblPrEx>
          <w:tblCellMar>
            <w:top w:w="0" w:type="dxa"/>
            <w:left w:w="108" w:type="dxa"/>
            <w:bottom w:w="0" w:type="dxa"/>
            <w:right w:w="108" w:type="dxa"/>
          </w:tblCellMar>
        </w:tblPrEx>
        <w:trPr>
          <w:trHeight w:val="481"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租赁费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0.50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0.50</w:t>
            </w:r>
          </w:p>
        </w:tc>
      </w:tr>
      <w:tr>
        <w:tblPrEx>
          <w:tblCellMar>
            <w:top w:w="0" w:type="dxa"/>
            <w:left w:w="108" w:type="dxa"/>
            <w:bottom w:w="0" w:type="dxa"/>
            <w:right w:w="108" w:type="dxa"/>
          </w:tblCellMar>
        </w:tblPrEx>
        <w:trPr>
          <w:trHeight w:val="436"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会议费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0.50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0.50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其他交通费用</w:t>
            </w:r>
          </w:p>
        </w:tc>
        <w:tc>
          <w:tcPr>
            <w:tcW w:w="2220"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5.52</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5.52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lef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　办公设备购置</w:t>
            </w:r>
          </w:p>
        </w:tc>
        <w:tc>
          <w:tcPr>
            <w:tcW w:w="2220"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2.00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spacing w:beforeLines="0" w:afterLines="0"/>
              <w:jc w:val="right"/>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rPr>
              <w:t>2.00</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10"/>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hint="eastAsia" w:eastAsia="宋体"/>
                <w:color w:val="000000"/>
                <w:kern w:val="0"/>
                <w:sz w:val="28"/>
                <w:szCs w:val="28"/>
                <w:u w:val="single"/>
                <w:lang w:val="en-US" w:eastAsia="zh-CN"/>
              </w:rPr>
              <w:t>1</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hint="eastAsia" w:eastAsia="宋体"/>
                <w:color w:val="000000"/>
                <w:kern w:val="0"/>
                <w:sz w:val="28"/>
                <w:szCs w:val="28"/>
                <w:u w:val="single"/>
                <w:lang w:val="en-US" w:eastAsia="zh-CN"/>
              </w:rPr>
              <w:t>9</w:t>
            </w:r>
            <w:r>
              <w:rPr>
                <w:color w:val="000000"/>
                <w:kern w:val="0"/>
                <w:sz w:val="28"/>
                <w:szCs w:val="28"/>
              </w:rPr>
              <w:t>人，其中：在职人员</w:t>
            </w:r>
            <w:r>
              <w:rPr>
                <w:rFonts w:hint="eastAsia" w:eastAsia="宋体"/>
                <w:color w:val="000000"/>
                <w:kern w:val="0"/>
                <w:sz w:val="28"/>
                <w:szCs w:val="28"/>
                <w:u w:val="single"/>
                <w:lang w:val="en-US" w:eastAsia="zh-CN"/>
              </w:rPr>
              <w:t>9</w:t>
            </w:r>
            <w:r>
              <w:rPr>
                <w:color w:val="000000"/>
                <w:kern w:val="0"/>
                <w:sz w:val="28"/>
                <w:szCs w:val="28"/>
              </w:rPr>
              <w:t>人，离退休人员</w:t>
            </w:r>
            <w:r>
              <w:rPr>
                <w:rFonts w:hint="eastAsia" w:eastAsia="宋体"/>
                <w:color w:val="000000"/>
                <w:kern w:val="0"/>
                <w:sz w:val="28"/>
                <w:szCs w:val="28"/>
                <w:u w:val="single"/>
                <w:lang w:val="en-US" w:eastAsia="zh-CN"/>
              </w:rPr>
              <w:t>0</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10"/>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10"/>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498"/>
        <w:gridCol w:w="553"/>
        <w:gridCol w:w="554"/>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0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0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6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498"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628"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562"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170"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64"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498"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628"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jc w:val="center"/>
              <w:textAlignment w:val="center"/>
              <w:rPr>
                <w:rFonts w:ascii="Calibri" w:hAnsi="Calibri" w:eastAsia="华文细黑"/>
                <w:color w:val="000000"/>
                <w:sz w:val="20"/>
                <w:szCs w:val="22"/>
              </w:rPr>
            </w:pPr>
          </w:p>
        </w:tc>
        <w:tc>
          <w:tcPr>
            <w:tcW w:w="106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07"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864" w:type="dxa"/>
            <w:vMerge w:val="continue"/>
            <w:noWrap w:val="0"/>
            <w:vAlign w:val="center"/>
          </w:tcPr>
          <w:p>
            <w:pPr>
              <w:autoSpaceDN w:val="0"/>
              <w:jc w:val="center"/>
              <w:textAlignment w:val="center"/>
              <w:rPr>
                <w:rFonts w:ascii="Calibri" w:hAnsi="Calibri" w:eastAsia="华文细黑"/>
                <w:color w:val="000000"/>
                <w:sz w:val="20"/>
                <w:szCs w:val="22"/>
              </w:rPr>
            </w:pPr>
          </w:p>
        </w:tc>
        <w:tc>
          <w:tcPr>
            <w:tcW w:w="498" w:type="dxa"/>
            <w:vMerge w:val="continue"/>
            <w:noWrap w:val="0"/>
            <w:vAlign w:val="center"/>
          </w:tcPr>
          <w:p>
            <w:pPr>
              <w:autoSpaceDN w:val="0"/>
              <w:jc w:val="center"/>
              <w:textAlignment w:val="center"/>
              <w:rPr>
                <w:rFonts w:ascii="Calibri" w:hAnsi="Calibri" w:eastAsia="华文细黑"/>
                <w:color w:val="000000"/>
                <w:sz w:val="20"/>
                <w:szCs w:val="22"/>
              </w:rPr>
            </w:pPr>
          </w:p>
        </w:tc>
        <w:tc>
          <w:tcPr>
            <w:tcW w:w="55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554"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21"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1063" w:type="dxa"/>
            <w:noWrap w:val="0"/>
            <w:vAlign w:val="center"/>
          </w:tcPr>
          <w:p>
            <w:pPr>
              <w:autoSpaceDN w:val="0"/>
              <w:jc w:val="center"/>
              <w:textAlignment w:val="center"/>
              <w:rPr>
                <w:rFonts w:ascii="Calibri" w:hAnsi="Calibri" w:eastAsia="华文细黑"/>
                <w:color w:val="000000"/>
                <w:sz w:val="20"/>
                <w:szCs w:val="2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bl>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tbl>
      <w:tblPr>
        <w:tblStyle w:val="10"/>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bl>
    <w:p>
      <w:pPr>
        <w:spacing w:line="700" w:lineRule="exact"/>
        <w:rPr>
          <w:rFonts w:hint="eastAsia" w:ascii="楷体" w:hAnsi="楷体" w:eastAsia="楷体" w:cs="楷体"/>
          <w:kern w:val="0"/>
          <w:sz w:val="24"/>
          <w:szCs w:val="24"/>
        </w:rPr>
      </w:pPr>
    </w:p>
    <w:p>
      <w:pPr>
        <w:spacing w:line="700" w:lineRule="exact"/>
        <w:ind w:firstLine="640" w:firstLineChars="200"/>
        <w:rPr>
          <w:rFonts w:hint="eastAsia" w:eastAsia="楷体"/>
          <w:kern w:val="0"/>
          <w:szCs w:val="32"/>
        </w:rPr>
      </w:pPr>
      <w:r>
        <w:rPr>
          <w:rFonts w:hint="eastAsia" w:eastAsia="楷体"/>
          <w:kern w:val="0"/>
          <w:szCs w:val="32"/>
        </w:rPr>
        <w:br w:type="page"/>
      </w: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eastAsia="楷体"/>
          <w:szCs w:val="30"/>
        </w:rPr>
      </w:pPr>
      <w:r>
        <w:rPr>
          <w:rFonts w:hint="eastAsia" w:ascii="仿宋_GB2312" w:hAnsi="仿宋_GB2312" w:eastAsia="仿宋_GB2312" w:cs="仿宋_GB2312"/>
          <w:szCs w:val="32"/>
        </w:rPr>
        <w:t>按照综合预算的原则，所有收入和支出全部纳入部门预算管理。收入包括：一般公共预算拨款收入</w:t>
      </w:r>
      <w:r>
        <w:rPr>
          <w:rFonts w:hint="eastAsia" w:ascii="仿宋_GB2312" w:hAnsi="仿宋_GB2312" w:cs="仿宋_GB2312"/>
          <w:szCs w:val="32"/>
          <w:lang w:val="en-US" w:eastAsia="zh-CN"/>
        </w:rPr>
        <w:t>109.99万元</w:t>
      </w:r>
      <w:r>
        <w:rPr>
          <w:rFonts w:hint="eastAsia" w:ascii="仿宋_GB2312" w:hAnsi="仿宋_GB2312" w:eastAsia="仿宋_GB2312" w:cs="仿宋_GB2312"/>
          <w:szCs w:val="32"/>
        </w:rPr>
        <w:t>；支出包括：一般公共服务支出</w:t>
      </w:r>
      <w:r>
        <w:rPr>
          <w:rFonts w:hint="eastAsia" w:ascii="仿宋_GB2312" w:hAnsi="仿宋_GB2312" w:cs="仿宋_GB2312"/>
          <w:szCs w:val="32"/>
          <w:lang w:val="en-US" w:eastAsia="zh-CN"/>
        </w:rPr>
        <w:t>84.98万元</w:t>
      </w:r>
      <w:r>
        <w:rPr>
          <w:rFonts w:hint="eastAsia" w:ascii="仿宋_GB2312" w:hAnsi="仿宋_GB2312" w:eastAsia="仿宋_GB2312" w:cs="仿宋_GB2312"/>
          <w:szCs w:val="32"/>
        </w:rPr>
        <w:t>、</w:t>
      </w:r>
      <w:r>
        <w:rPr>
          <w:rFonts w:hint="eastAsia" w:ascii="仿宋_GB2312" w:hAnsi="仿宋_GB2312" w:cs="仿宋_GB2312"/>
          <w:szCs w:val="32"/>
          <w:lang w:val="en-US" w:eastAsia="zh-CN"/>
        </w:rPr>
        <w:t>卫生健康</w:t>
      </w:r>
      <w:r>
        <w:rPr>
          <w:rFonts w:hint="eastAsia" w:ascii="仿宋_GB2312" w:hAnsi="仿宋_GB2312" w:eastAsia="仿宋_GB2312" w:cs="仿宋_GB2312"/>
          <w:szCs w:val="32"/>
        </w:rPr>
        <w:t>支出</w:t>
      </w:r>
      <w:r>
        <w:rPr>
          <w:rFonts w:hint="eastAsia" w:ascii="仿宋_GB2312" w:hAnsi="仿宋_GB2312" w:cs="仿宋_GB2312"/>
          <w:szCs w:val="32"/>
          <w:lang w:val="en-US" w:eastAsia="zh-CN"/>
        </w:rPr>
        <w:t>4.54万元</w:t>
      </w:r>
      <w:r>
        <w:rPr>
          <w:rFonts w:hint="eastAsia" w:ascii="仿宋_GB2312" w:hAnsi="仿宋_GB2312" w:eastAsia="仿宋_GB2312" w:cs="仿宋_GB2312"/>
          <w:szCs w:val="32"/>
        </w:rPr>
        <w:t>、社会保障和就业支出</w:t>
      </w:r>
      <w:r>
        <w:rPr>
          <w:rFonts w:hint="eastAsia" w:ascii="仿宋_GB2312" w:hAnsi="仿宋_GB2312" w:cs="仿宋_GB2312"/>
          <w:szCs w:val="32"/>
          <w:lang w:val="en-US" w:eastAsia="zh-CN"/>
        </w:rPr>
        <w:t>12,.74万元</w:t>
      </w:r>
      <w:r>
        <w:rPr>
          <w:rFonts w:hint="eastAsia" w:ascii="仿宋_GB2312" w:hAnsi="仿宋_GB2312" w:eastAsia="仿宋_GB2312" w:cs="仿宋_GB2312"/>
          <w:szCs w:val="32"/>
        </w:rPr>
        <w:t>、住房保障支出</w:t>
      </w:r>
      <w:r>
        <w:rPr>
          <w:rFonts w:hint="eastAsia" w:ascii="仿宋_GB2312" w:hAnsi="仿宋_GB2312" w:cs="仿宋_GB2312"/>
          <w:szCs w:val="32"/>
          <w:lang w:val="en-US" w:eastAsia="zh-CN"/>
        </w:rPr>
        <w:t>12.74万元</w:t>
      </w:r>
      <w:r>
        <w:rPr>
          <w:rFonts w:hint="eastAsia" w:ascii="仿宋_GB2312" w:hAnsi="仿宋_GB2312" w:eastAsia="仿宋_GB2312" w:cs="仿宋_GB2312"/>
          <w:szCs w:val="32"/>
        </w:rPr>
        <w:t>。</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lang w:val="en-US" w:eastAsia="zh-CN"/>
        </w:rPr>
        <w:t>109.99</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109.99</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年预算增加</w:t>
      </w:r>
      <w:r>
        <w:rPr>
          <w:rFonts w:hint="eastAsia" w:ascii="仿宋_GB2312" w:hAnsi="仿宋_GB2312" w:cs="仿宋_GB2312"/>
          <w:szCs w:val="32"/>
          <w:lang w:val="en-US" w:eastAsia="zh-CN"/>
        </w:rPr>
        <w:t>44.99</w:t>
      </w:r>
      <w:r>
        <w:rPr>
          <w:rFonts w:hint="eastAsia" w:ascii="仿宋_GB2312" w:hAnsi="仿宋_GB2312" w:eastAsia="仿宋_GB2312" w:cs="仿宋_GB2312"/>
          <w:szCs w:val="32"/>
        </w:rPr>
        <w:t>万元，主要原因是</w:t>
      </w:r>
      <w:r>
        <w:rPr>
          <w:rFonts w:hint="eastAsia" w:ascii="仿宋_GB2312" w:hAnsi="仿宋_GB2312" w:cs="仿宋_GB2312"/>
          <w:szCs w:val="32"/>
          <w:lang w:val="en-US" w:eastAsia="zh-CN"/>
        </w:rPr>
        <w:t>单位人员福利待遇调整</w:t>
      </w:r>
      <w:r>
        <w:rPr>
          <w:rFonts w:hint="eastAsia" w:ascii="仿宋_GB2312" w:hAnsi="仿宋_GB2312" w:eastAsia="仿宋_GB2312" w:cs="仿宋_GB2312"/>
          <w:szCs w:val="32"/>
        </w:rPr>
        <w:t>。</w:t>
      </w: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eastAsia="楷体"/>
          <w:szCs w:val="30"/>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lang w:val="en-US" w:eastAsia="zh-CN"/>
        </w:rPr>
        <w:t>109.99</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109.99</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%；上年结转</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%。本年收入中，一般公共预算拨款收入</w:t>
      </w:r>
      <w:r>
        <w:rPr>
          <w:rFonts w:hint="eastAsia" w:ascii="仿宋_GB2312" w:hAnsi="仿宋_GB2312" w:cs="仿宋_GB2312"/>
          <w:szCs w:val="32"/>
          <w:lang w:val="en-US" w:eastAsia="zh-CN"/>
        </w:rPr>
        <w:t>109.99</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%；政府性基金预算拨款收入</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%；国有资本经营预算拨款收入</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%；财政专户管理资金收入</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%；事业收入</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%；上级补助收入</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%；附属单位上缴收入</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%；事业单位经营收入</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%；其他收入</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%。上年结转中，一般公共预算拨款结转</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%；政府性基金预算拨款结转</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%；国有资本经营预算拨款结转</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%；财政专户管理资金结转结余</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%；单位资金结转</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%；用事业基金弥补收支差额</w:t>
      </w:r>
      <w:r>
        <w:rPr>
          <w:rFonts w:hint="eastAsia" w:ascii="仿宋_GB2312" w:hAnsi="仿宋_GB2312" w:cs="仿宋_GB2312"/>
          <w:szCs w:val="32"/>
          <w:lang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eastAsia="zh-CN"/>
        </w:rPr>
        <w:t>0</w:t>
      </w:r>
      <w:r>
        <w:rPr>
          <w:rFonts w:hint="eastAsia" w:ascii="仿宋_GB2312" w:hAnsi="仿宋_GB2312" w:eastAsia="仿宋_GB2312" w:cs="仿宋_GB2312"/>
          <w:szCs w:val="32"/>
        </w:rPr>
        <w:t>%。</w:t>
      </w: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lang w:val="en-US" w:eastAsia="zh-CN"/>
        </w:rPr>
        <w:t>109.99</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109.99</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%；事业单位经营支出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%；上缴上级支出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%；对附属单位补助支出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40" w:firstLineChars="200"/>
        <w:rPr>
          <w:rFonts w:hint="eastAsia" w:ascii="黑体" w:hAnsi="黑体" w:eastAsia="黑体" w:cs="黑体"/>
          <w:szCs w:val="32"/>
        </w:rPr>
      </w:pP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lang w:val="en-US" w:eastAsia="zh-CN"/>
        </w:rPr>
        <w:t>109.99</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109.99</w:t>
      </w:r>
      <w:r>
        <w:rPr>
          <w:rFonts w:hint="eastAsia" w:ascii="仿宋_GB2312" w:hAnsi="仿宋_GB2312" w:eastAsia="仿宋_GB2312" w:cs="仿宋_GB2312"/>
          <w:szCs w:val="32"/>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kern w:val="0"/>
          <w:szCs w:val="32"/>
          <w:lang w:val="en-US" w:eastAsia="zh-CN"/>
        </w:rPr>
        <w:t>84.98</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lang w:val="en-US" w:eastAsia="zh-CN"/>
        </w:rPr>
        <w:t>12.74</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szCs w:val="32"/>
          <w:lang w:val="en-US" w:eastAsia="zh-CN"/>
        </w:rPr>
        <w:t>4.54</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szCs w:val="32"/>
          <w:lang w:val="en-US" w:eastAsia="zh-CN"/>
        </w:rPr>
        <w:t>7.73</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cs="仿宋_GB2312"/>
          <w:szCs w:val="32"/>
          <w:lang w:eastAsia="zh-CN"/>
        </w:rPr>
        <w:t>0</w:t>
      </w:r>
      <w:r>
        <w:rPr>
          <w:rFonts w:hint="eastAsia" w:ascii="仿宋_GB2312" w:hAnsi="仿宋_GB2312" w:eastAsia="仿宋_GB2312" w:cs="仿宋_GB2312"/>
          <w:szCs w:val="32"/>
        </w:rPr>
        <w:t>万元。</w:t>
      </w: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40" w:firstLineChars="200"/>
        <w:rPr>
          <w:rFonts w:eastAsia="黑体"/>
          <w:szCs w:val="30"/>
        </w:rPr>
      </w:pP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lang w:val="en-US" w:eastAsia="zh-CN"/>
        </w:rPr>
        <w:t>109.99</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109.99</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%。基本支出中，人员经费</w:t>
      </w:r>
      <w:r>
        <w:rPr>
          <w:rFonts w:hint="eastAsia" w:ascii="仿宋_GB2312" w:hAnsi="仿宋_GB2312" w:cs="仿宋_GB2312"/>
          <w:szCs w:val="32"/>
          <w:lang w:val="en-US" w:eastAsia="zh-CN"/>
        </w:rPr>
        <w:t>93.67</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85.16</w:t>
      </w:r>
      <w:r>
        <w:rPr>
          <w:rFonts w:hint="eastAsia" w:ascii="仿宋_GB2312" w:hAnsi="仿宋_GB2312" w:eastAsia="仿宋_GB2312" w:cs="仿宋_GB2312"/>
          <w:szCs w:val="32"/>
        </w:rPr>
        <w:t>%；公用经费</w:t>
      </w:r>
      <w:r>
        <w:rPr>
          <w:rFonts w:hint="eastAsia" w:ascii="仿宋_GB2312" w:hAnsi="仿宋_GB2312" w:cs="仿宋_GB2312"/>
          <w:szCs w:val="32"/>
          <w:lang w:val="en-US" w:eastAsia="zh-CN"/>
        </w:rPr>
        <w:t>16.32</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14.84</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w:t>
      </w:r>
      <w:r>
        <w:rPr>
          <w:rFonts w:hint="eastAsia" w:ascii="仿宋_GB2312" w:hAnsi="仿宋_GB2312" w:cs="仿宋_GB2312"/>
          <w:szCs w:val="32"/>
          <w:lang w:val="en-US" w:eastAsia="zh-CN"/>
        </w:rPr>
        <w:t>84.98</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77.26</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单位工作人员工资发放</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国防（类）支出_____万元，占_____%，主要用于_____________________。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教育（类）支出_____万元，占_____%，主要用于_____________________。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科学技术（类）支出_____万元，占_____%，主要用于_____________________。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文化旅游体育与传媒（类）支出_____万元，占_____%，主要用于_____________________。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w:t>
      </w:r>
      <w:r>
        <w:rPr>
          <w:rFonts w:hint="eastAsia" w:ascii="仿宋_GB2312" w:hAnsi="仿宋_GB2312" w:cs="仿宋_GB2312"/>
          <w:szCs w:val="32"/>
          <w:lang w:val="en-US" w:eastAsia="zh-CN"/>
        </w:rPr>
        <w:t>12.74</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11.58</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单位工作人员养老保险缴纳</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农林水支出（类）支出_____万元，占_____%，主要用于_____________________。</w:t>
      </w:r>
    </w:p>
    <w:p>
      <w:pPr>
        <w:spacing w:line="520" w:lineRule="exact"/>
        <w:ind w:firstLine="200"/>
        <w:rPr>
          <w:rFonts w:hint="eastAsia"/>
          <w:szCs w:val="32"/>
        </w:rPr>
      </w:pPr>
      <w:r>
        <w:rPr>
          <w:rFonts w:hint="eastAsia" w:ascii="仿宋_GB2312" w:hAnsi="仿宋_GB2312" w:eastAsia="仿宋_GB2312" w:cs="仿宋_GB2312"/>
          <w:szCs w:val="32"/>
        </w:rPr>
        <w:t>住房保障（类）支出</w:t>
      </w:r>
      <w:r>
        <w:rPr>
          <w:rFonts w:hint="eastAsia" w:ascii="仿宋_GB2312" w:hAnsi="仿宋_GB2312" w:cs="仿宋_GB2312"/>
          <w:szCs w:val="32"/>
          <w:lang w:val="en-US" w:eastAsia="zh-CN"/>
        </w:rPr>
        <w:t>7.73</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7.03</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单位工作人员住房公积金缴纳</w:t>
      </w:r>
      <w:r>
        <w:rPr>
          <w:rFonts w:hint="eastAsia" w:ascii="仿宋_GB2312" w:hAnsi="仿宋_GB2312" w:eastAsia="仿宋_GB2312" w:cs="仿宋_GB2312"/>
          <w:szCs w:val="32"/>
        </w:rPr>
        <w:t>。</w:t>
      </w: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lang w:val="en-US" w:eastAsia="zh-CN"/>
        </w:rPr>
        <w:t>109.99</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lang w:val="en-US" w:eastAsia="zh-CN"/>
        </w:rPr>
        <w:t>93.67</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离休费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抚恤金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生活补助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助学金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szCs w:val="32"/>
          <w:lang w:val="en-US" w:eastAsia="zh-CN"/>
        </w:rPr>
        <w:t>16.32</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取暖费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物业管理费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会议费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培训费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公务接待费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工会经费、福利费</w:t>
      </w:r>
      <w:r>
        <w:rPr>
          <w:rFonts w:hint="eastAsia" w:ascii="仿宋_GB2312" w:hAnsi="仿宋_GB2312" w:eastAsia="仿宋_GB2312" w:cs="仿宋_GB2312"/>
          <w:szCs w:val="32"/>
        </w:rPr>
        <w:t>、公</w:t>
      </w:r>
      <w:r>
        <w:rPr>
          <w:rFonts w:hint="eastAsia" w:ascii="仿宋_GB2312" w:hAnsi="仿宋_GB2312" w:eastAsia="仿宋_GB2312" w:cs="仿宋_GB2312"/>
          <w:kern w:val="0"/>
          <w:szCs w:val="32"/>
        </w:rPr>
        <w:t>务用车运行维护费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其他交通补助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其他商品和服务支出。</w:t>
      </w: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rPr>
      </w:pPr>
      <w:r>
        <w:rPr>
          <w:rFonts w:eastAsia="楷体"/>
          <w:szCs w:val="32"/>
        </w:rPr>
        <w:t>部门无一般公共预算拨款</w:t>
      </w:r>
      <w:r>
        <w:rPr>
          <w:rFonts w:hint="eastAsia" w:ascii="仿宋_GB2312" w:hAnsi="仿宋_GB2312" w:eastAsia="仿宋_GB2312" w:cs="仿宋_GB2312"/>
          <w:szCs w:val="32"/>
        </w:rPr>
        <w:t>。</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rPr>
          <w:rFonts w:hint="eastAsia" w:ascii="仿宋_GB2312" w:hAnsi="仿宋_GB2312" w:eastAsia="仿宋_GB2312" w:cs="仿宋_GB2312"/>
          <w:szCs w:val="32"/>
          <w:highlight w:val="none"/>
        </w:rPr>
      </w:pPr>
      <w:r>
        <w:rPr>
          <w:rFonts w:eastAsia="楷体"/>
          <w:szCs w:val="32"/>
        </w:rPr>
        <w:t>本部门无政府性基金预算拨款</w:t>
      </w:r>
      <w:r>
        <w:rPr>
          <w:rFonts w:hint="eastAsia" w:ascii="仿宋_GB2312" w:hAnsi="仿宋_GB2312" w:eastAsia="仿宋_GB2312" w:cs="仿宋_GB2312"/>
          <w:szCs w:val="32"/>
          <w:highlight w:val="none"/>
        </w:rPr>
        <w:t>。</w:t>
      </w:r>
    </w:p>
    <w:p>
      <w:pPr>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szCs w:val="32"/>
        </w:rPr>
      </w:pPr>
      <w:r>
        <w:rPr>
          <w:rFonts w:eastAsia="楷体"/>
          <w:szCs w:val="32"/>
        </w:rPr>
        <w:t>本部门无</w:t>
      </w:r>
      <w:r>
        <w:rPr>
          <w:rFonts w:hint="eastAsia" w:eastAsia="楷体"/>
          <w:szCs w:val="32"/>
        </w:rPr>
        <w:t>国有资本经营</w:t>
      </w:r>
      <w:r>
        <w:rPr>
          <w:rFonts w:eastAsia="楷体"/>
          <w:szCs w:val="32"/>
        </w:rPr>
        <w:t>预算拨款</w:t>
      </w:r>
    </w:p>
    <w:p>
      <w:pPr>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ind w:firstLine="645"/>
        <w:rPr>
          <w:rFonts w:hint="eastAsia" w:ascii="仿宋_GB2312" w:hAnsi="仿宋_GB2312" w:eastAsia="仿宋_GB2312" w:cs="仿宋_GB2312"/>
          <w:szCs w:val="32"/>
        </w:rPr>
      </w:pPr>
      <w:r>
        <w:rPr>
          <w:rFonts w:hint="eastAsia" w:eastAsia="楷体"/>
          <w:szCs w:val="32"/>
          <w:lang w:val="en-US" w:eastAsia="zh-CN"/>
        </w:rPr>
        <w:t>本部门无其他重要事项</w:t>
      </w:r>
      <w:r>
        <w:rPr>
          <w:rFonts w:hint="eastAsia" w:ascii="仿宋_GB2312" w:hAnsi="仿宋_GB2312" w:eastAsia="仿宋_GB2312" w:cs="仿宋_GB2312"/>
        </w:rPr>
        <w:t>。</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jc w:val="center"/>
        <w:rPr>
          <w:rFonts w:eastAsia="黑体"/>
        </w:rPr>
      </w:pPr>
      <w:bookmarkStart w:id="0" w:name="_GoBack"/>
      <w:bookmarkEnd w:id="0"/>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方正小标宋简体">
    <w:panose1 w:val="02000000000000000000"/>
    <w:charset w:val="86"/>
    <w:family w:val="auto"/>
    <w:pitch w:val="default"/>
    <w:sig w:usb0="00000001" w:usb1="08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Verdana">
    <w:panose1 w:val="020B0604030504040204"/>
    <w:charset w:val="86"/>
    <w:family w:val="auto"/>
    <w:pitch w:val="default"/>
    <w:sig w:usb0="A10006FF" w:usb1="4000205B" w:usb2="0000001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page" w:x="5372" w:y="-73"/>
      <w:rPr>
        <w:rStyle w:val="13"/>
        <w:sz w:val="28"/>
      </w:rPr>
    </w:pPr>
    <w:r>
      <w:rPr>
        <w:rStyle w:val="13"/>
        <w:rFonts w:hint="eastAsia"/>
        <w:sz w:val="28"/>
      </w:rPr>
      <w:t>—</w:t>
    </w:r>
    <w:r>
      <w:rPr>
        <w:sz w:val="28"/>
      </w:rPr>
      <w:fldChar w:fldCharType="begin"/>
    </w:r>
    <w:r>
      <w:rPr>
        <w:rStyle w:val="13"/>
        <w:sz w:val="28"/>
      </w:rPr>
      <w:instrText xml:space="preserve">PAGE  </w:instrText>
    </w:r>
    <w:r>
      <w:rPr>
        <w:sz w:val="28"/>
      </w:rPr>
      <w:fldChar w:fldCharType="separate"/>
    </w:r>
    <w:r>
      <w:rPr>
        <w:rStyle w:val="13"/>
        <w:sz w:val="28"/>
      </w:rPr>
      <w:t>4</w:t>
    </w:r>
    <w:r>
      <w:rPr>
        <w:sz w:val="28"/>
      </w:rPr>
      <w:fldChar w:fldCharType="end"/>
    </w:r>
    <w:r>
      <w:rPr>
        <w:rStyle w:val="13"/>
        <w:rFonts w:hint="eastAsia"/>
        <w:sz w:val="28"/>
      </w:rPr>
      <w:t>—</w:t>
    </w:r>
  </w:p>
  <w:p>
    <w:pPr>
      <w:pStyle w:val="7"/>
      <w:framePr w:wrap="around" w:vAnchor="text" w:hAnchor="margin" w:xAlign="center" w:y="1"/>
      <w:ind w:right="360"/>
      <w:rPr>
        <w:rStyle w:val="13"/>
      </w:rPr>
    </w:pPr>
  </w:p>
  <w:p>
    <w:pPr>
      <w:pStyle w:val="7"/>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right" w:y="1"/>
      <w:rPr>
        <w:rStyle w:val="13"/>
      </w:rPr>
    </w:pPr>
    <w:r>
      <w:fldChar w:fldCharType="begin"/>
    </w:r>
    <w:r>
      <w:rPr>
        <w:rStyle w:val="13"/>
      </w:rPr>
      <w:instrText xml:space="preserve">PAGE  </w:instrText>
    </w:r>
    <w:r>
      <w:fldChar w:fldCharType="separate"/>
    </w:r>
    <w:r>
      <w:rPr>
        <w:rStyle w:val="13"/>
      </w:rPr>
      <w:t>0</w:t>
    </w:r>
    <w:r>
      <w:fldChar w:fldCharType="end"/>
    </w:r>
  </w:p>
  <w:p>
    <w:pPr>
      <w:pStyle w:val="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NmNmQwNGI3ZjgzMTY2YTE4OTlhMDRhMzliNDdjMzYifQ=="/>
  </w:docVars>
  <w:rsids>
    <w:rsidRoot w:val="00172A27"/>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2424B16"/>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A0082A"/>
    <w:rsid w:val="0A334D52"/>
    <w:rsid w:val="0ABA06FE"/>
    <w:rsid w:val="0B5F5ADA"/>
    <w:rsid w:val="0B710869"/>
    <w:rsid w:val="0C2A5C84"/>
    <w:rsid w:val="0DA001B0"/>
    <w:rsid w:val="0DB6446C"/>
    <w:rsid w:val="0DEB170B"/>
    <w:rsid w:val="0E4C7841"/>
    <w:rsid w:val="0F3E0406"/>
    <w:rsid w:val="0F8B592F"/>
    <w:rsid w:val="0FD62F63"/>
    <w:rsid w:val="107728C7"/>
    <w:rsid w:val="10AE7F82"/>
    <w:rsid w:val="10C93B35"/>
    <w:rsid w:val="11177619"/>
    <w:rsid w:val="112605C8"/>
    <w:rsid w:val="12E711B7"/>
    <w:rsid w:val="136D62BD"/>
    <w:rsid w:val="13F21722"/>
    <w:rsid w:val="1441443C"/>
    <w:rsid w:val="14C12787"/>
    <w:rsid w:val="15593E10"/>
    <w:rsid w:val="159F7E25"/>
    <w:rsid w:val="15F848D0"/>
    <w:rsid w:val="160E1FA5"/>
    <w:rsid w:val="160F2600"/>
    <w:rsid w:val="17765BCA"/>
    <w:rsid w:val="17A027D8"/>
    <w:rsid w:val="1A817DF8"/>
    <w:rsid w:val="1ADC594E"/>
    <w:rsid w:val="1AEB5252"/>
    <w:rsid w:val="1C852172"/>
    <w:rsid w:val="1CA40C0C"/>
    <w:rsid w:val="1CFF4A32"/>
    <w:rsid w:val="1D833200"/>
    <w:rsid w:val="1E2D59A2"/>
    <w:rsid w:val="1E3A3FD0"/>
    <w:rsid w:val="1EB55C07"/>
    <w:rsid w:val="1F351A10"/>
    <w:rsid w:val="1FED47E9"/>
    <w:rsid w:val="206816AC"/>
    <w:rsid w:val="22A4003E"/>
    <w:rsid w:val="23984063"/>
    <w:rsid w:val="23CE11F0"/>
    <w:rsid w:val="23EC61F6"/>
    <w:rsid w:val="244C543C"/>
    <w:rsid w:val="24624768"/>
    <w:rsid w:val="2539376C"/>
    <w:rsid w:val="254C6FAD"/>
    <w:rsid w:val="259B5BC5"/>
    <w:rsid w:val="25C7462E"/>
    <w:rsid w:val="25F62C4E"/>
    <w:rsid w:val="26643D6C"/>
    <w:rsid w:val="26FE109D"/>
    <w:rsid w:val="27073E1E"/>
    <w:rsid w:val="27B04AB3"/>
    <w:rsid w:val="28A63332"/>
    <w:rsid w:val="29C45F24"/>
    <w:rsid w:val="2DF8796C"/>
    <w:rsid w:val="2EB22F18"/>
    <w:rsid w:val="2EE12108"/>
    <w:rsid w:val="2EED35E3"/>
    <w:rsid w:val="2F250383"/>
    <w:rsid w:val="2F63610B"/>
    <w:rsid w:val="300965A3"/>
    <w:rsid w:val="30730D6E"/>
    <w:rsid w:val="30B91A70"/>
    <w:rsid w:val="32CF2C5D"/>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C92948"/>
    <w:rsid w:val="3BE370D4"/>
    <w:rsid w:val="3C29381E"/>
    <w:rsid w:val="3C711E1D"/>
    <w:rsid w:val="3C7F463D"/>
    <w:rsid w:val="3CAE3960"/>
    <w:rsid w:val="3D365BF6"/>
    <w:rsid w:val="3DF23324"/>
    <w:rsid w:val="3EA14040"/>
    <w:rsid w:val="3EE8108D"/>
    <w:rsid w:val="405745EF"/>
    <w:rsid w:val="40B80EFF"/>
    <w:rsid w:val="41A35364"/>
    <w:rsid w:val="41C31686"/>
    <w:rsid w:val="42982B4E"/>
    <w:rsid w:val="436B1E42"/>
    <w:rsid w:val="43993170"/>
    <w:rsid w:val="44054362"/>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C5567C9"/>
    <w:rsid w:val="4D730507"/>
    <w:rsid w:val="4D741DD3"/>
    <w:rsid w:val="4DC93207"/>
    <w:rsid w:val="4E2A22FD"/>
    <w:rsid w:val="4E8D5761"/>
    <w:rsid w:val="4EF54A85"/>
    <w:rsid w:val="4F6F75D9"/>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7C7777"/>
    <w:rsid w:val="5B9462A0"/>
    <w:rsid w:val="5BEC6771"/>
    <w:rsid w:val="5CA506B9"/>
    <w:rsid w:val="5CFD5FB2"/>
    <w:rsid w:val="5D2B52D8"/>
    <w:rsid w:val="5D5A7C63"/>
    <w:rsid w:val="5E256F6F"/>
    <w:rsid w:val="5F6235A9"/>
    <w:rsid w:val="614125C2"/>
    <w:rsid w:val="624C5C52"/>
    <w:rsid w:val="63952BB5"/>
    <w:rsid w:val="63DF08E4"/>
    <w:rsid w:val="64127E15"/>
    <w:rsid w:val="64C04AFD"/>
    <w:rsid w:val="661A7B69"/>
    <w:rsid w:val="664909C1"/>
    <w:rsid w:val="66C63EB5"/>
    <w:rsid w:val="677772D0"/>
    <w:rsid w:val="679461D3"/>
    <w:rsid w:val="6858287E"/>
    <w:rsid w:val="690C5764"/>
    <w:rsid w:val="69157114"/>
    <w:rsid w:val="691A443E"/>
    <w:rsid w:val="6A80735F"/>
    <w:rsid w:val="6ACC5E47"/>
    <w:rsid w:val="6AD43ED1"/>
    <w:rsid w:val="6B11024D"/>
    <w:rsid w:val="6B7D5B36"/>
    <w:rsid w:val="6CF120A8"/>
    <w:rsid w:val="714213DD"/>
    <w:rsid w:val="717F272E"/>
    <w:rsid w:val="728027C6"/>
    <w:rsid w:val="72D54D7C"/>
    <w:rsid w:val="737664E0"/>
    <w:rsid w:val="73FE7ACC"/>
    <w:rsid w:val="74053F35"/>
    <w:rsid w:val="74556746"/>
    <w:rsid w:val="74AB7A24"/>
    <w:rsid w:val="76BB79B1"/>
    <w:rsid w:val="76C17E06"/>
    <w:rsid w:val="76CA67BD"/>
    <w:rsid w:val="774E6400"/>
    <w:rsid w:val="775B0046"/>
    <w:rsid w:val="78796248"/>
    <w:rsid w:val="79700BEF"/>
    <w:rsid w:val="79F85634"/>
    <w:rsid w:val="7A090695"/>
    <w:rsid w:val="7AE175F4"/>
    <w:rsid w:val="7B417685"/>
    <w:rsid w:val="7B5220F0"/>
    <w:rsid w:val="7BA169C0"/>
    <w:rsid w:val="7BE95D3C"/>
    <w:rsid w:val="7CAD595B"/>
    <w:rsid w:val="7CF65D07"/>
    <w:rsid w:val="7D2975D1"/>
    <w:rsid w:val="7DCC0C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2">
    <w:name w:val="Default Paragraph Font"/>
    <w:qFormat/>
    <w:uiPriority w:val="0"/>
  </w:style>
  <w:style w:type="table" w:default="1" w:styleId="10">
    <w:name w:val="Normal Table"/>
    <w:unhideWhenUsed/>
    <w:qFormat/>
    <w:uiPriority w:val="99"/>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Body Text Indent"/>
    <w:basedOn w:val="1"/>
    <w:qFormat/>
    <w:uiPriority w:val="0"/>
    <w:pPr>
      <w:tabs>
        <w:tab w:val="left" w:pos="8372"/>
      </w:tabs>
      <w:spacing w:line="540" w:lineRule="exact"/>
      <w:ind w:firstLine="630"/>
    </w:pPr>
    <w:rPr>
      <w:rFonts w:eastAsia="黑体"/>
    </w:rPr>
  </w:style>
  <w:style w:type="paragraph" w:styleId="4">
    <w:name w:val="Date"/>
    <w:basedOn w:val="1"/>
    <w:next w:val="1"/>
    <w:qFormat/>
    <w:uiPriority w:val="0"/>
  </w:style>
  <w:style w:type="paragraph" w:styleId="5">
    <w:name w:val="Body Text Indent 2"/>
    <w:basedOn w:val="1"/>
    <w:qFormat/>
    <w:uiPriority w:val="0"/>
    <w:pPr>
      <w:tabs>
        <w:tab w:val="left" w:pos="8372"/>
      </w:tabs>
      <w:spacing w:line="540" w:lineRule="exact"/>
      <w:ind w:firstLine="630"/>
    </w:pPr>
    <w:rPr>
      <w:b/>
      <w:bCs/>
    </w:rPr>
  </w:style>
  <w:style w:type="paragraph" w:styleId="6">
    <w:name w:val="Balloon Text"/>
    <w:basedOn w:val="1"/>
    <w:link w:val="14"/>
    <w:qFormat/>
    <w:uiPriority w:val="0"/>
    <w:rPr>
      <w:sz w:val="18"/>
      <w:szCs w:val="18"/>
    </w:rPr>
  </w:style>
  <w:style w:type="paragraph" w:styleId="7">
    <w:name w:val="footer"/>
    <w:basedOn w:val="1"/>
    <w:link w:val="15"/>
    <w:qFormat/>
    <w:uiPriority w:val="0"/>
    <w:pPr>
      <w:tabs>
        <w:tab w:val="center" w:pos="4153"/>
        <w:tab w:val="right" w:pos="8306"/>
      </w:tabs>
      <w:snapToGrid w:val="0"/>
      <w:jc w:val="left"/>
    </w:pPr>
    <w:rPr>
      <w:sz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1">
    <w:name w:val="Table Grid"/>
    <w:basedOn w:val="10"/>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3">
    <w:name w:val="page number"/>
    <w:basedOn w:val="12"/>
    <w:qFormat/>
    <w:uiPriority w:val="0"/>
  </w:style>
  <w:style w:type="character" w:customStyle="1" w:styleId="14">
    <w:name w:val="批注框文本 字符"/>
    <w:link w:val="6"/>
    <w:qFormat/>
    <w:uiPriority w:val="0"/>
    <w:rPr>
      <w:rFonts w:eastAsia="仿宋_GB2312"/>
      <w:kern w:val="2"/>
      <w:sz w:val="18"/>
      <w:szCs w:val="18"/>
    </w:rPr>
  </w:style>
  <w:style w:type="character" w:customStyle="1" w:styleId="15">
    <w:name w:val="页脚 字符"/>
    <w:link w:val="7"/>
    <w:qFormat/>
    <w:uiPriority w:val="0"/>
    <w:rPr>
      <w:rFonts w:eastAsia="仿宋_GB2312"/>
      <w:kern w:val="2"/>
      <w:sz w:val="18"/>
    </w:rPr>
  </w:style>
  <w:style w:type="character" w:customStyle="1" w:styleId="16">
    <w:name w:val="font11"/>
    <w:qFormat/>
    <w:uiPriority w:val="0"/>
    <w:rPr>
      <w:rFonts w:hint="default" w:ascii="Arial" w:hAnsi="Arial" w:cs="Arial"/>
      <w:color w:val="000000"/>
      <w:sz w:val="24"/>
      <w:szCs w:val="24"/>
      <w:u w:val="none"/>
    </w:rPr>
  </w:style>
  <w:style w:type="character" w:customStyle="1" w:styleId="17">
    <w:name w:val="font61"/>
    <w:qFormat/>
    <w:uiPriority w:val="0"/>
    <w:rPr>
      <w:rFonts w:hint="eastAsia" w:ascii="宋体" w:hAnsi="宋体" w:eastAsia="宋体" w:cs="宋体"/>
      <w:color w:val="000000"/>
      <w:sz w:val="24"/>
      <w:szCs w:val="24"/>
      <w:u w:val="none"/>
    </w:rPr>
  </w:style>
  <w:style w:type="character" w:customStyle="1" w:styleId="18">
    <w:name w:val="font01"/>
    <w:qFormat/>
    <w:uiPriority w:val="0"/>
    <w:rPr>
      <w:rFonts w:hint="default" w:ascii="Times New Roman" w:hAnsi="Times New Roman" w:cs="Times New Roman"/>
      <w:color w:val="000000"/>
      <w:sz w:val="24"/>
      <w:szCs w:val="24"/>
      <w:u w:val="none"/>
    </w:rPr>
  </w:style>
  <w:style w:type="character" w:customStyle="1" w:styleId="19">
    <w:name w:val="font41"/>
    <w:qFormat/>
    <w:uiPriority w:val="0"/>
    <w:rPr>
      <w:rFonts w:hint="default" w:ascii="华文细黑" w:hAnsi="华文细黑" w:eastAsia="华文细黑" w:cs="华文细黑"/>
      <w:color w:val="000000"/>
      <w:sz w:val="20"/>
      <w:szCs w:val="20"/>
      <w:u w:val="none"/>
    </w:rPr>
  </w:style>
  <w:style w:type="character" w:customStyle="1" w:styleId="20">
    <w:name w:val="font21"/>
    <w:qFormat/>
    <w:uiPriority w:val="0"/>
    <w:rPr>
      <w:rFonts w:hint="default" w:ascii="Arial" w:hAnsi="Arial" w:cs="Arial"/>
      <w:color w:val="000000"/>
      <w:sz w:val="20"/>
      <w:szCs w:val="20"/>
      <w:u w:val="none"/>
    </w:rPr>
  </w:style>
  <w:style w:type="paragraph" w:customStyle="1" w:styleId="21">
    <w:name w:val="Char"/>
    <w:basedOn w:val="1"/>
    <w:qFormat/>
    <w:uiPriority w:val="0"/>
    <w:rPr>
      <w:rFonts w:eastAsia="宋体"/>
      <w:sz w:val="21"/>
      <w:szCs w:val="21"/>
    </w:rPr>
  </w:style>
  <w:style w:type="paragraph" w:customStyle="1" w:styleId="22">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4">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5">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6">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9">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2">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5">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6">
    <w:name w:val="正文文本 21"/>
    <w:basedOn w:val="1"/>
    <w:qFormat/>
    <w:uiPriority w:val="0"/>
    <w:pPr>
      <w:adjustRightInd w:val="0"/>
      <w:ind w:firstLine="630"/>
      <w:jc w:val="left"/>
      <w:textAlignment w:val="baseline"/>
    </w:pPr>
    <w:rPr>
      <w:rFonts w:eastAsia="黑体"/>
    </w:rPr>
  </w:style>
  <w:style w:type="paragraph" w:customStyle="1" w:styleId="37">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8">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0">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1">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3">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4">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5">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6">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1">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2">
    <w:name w:val="p0"/>
    <w:basedOn w:val="1"/>
    <w:qFormat/>
    <w:uiPriority w:val="0"/>
    <w:pPr>
      <w:widowControl/>
    </w:pPr>
    <w:rPr>
      <w:rFonts w:eastAsia="宋体"/>
      <w:kern w:val="0"/>
      <w:szCs w:val="32"/>
    </w:rPr>
  </w:style>
  <w:style w:type="paragraph" w:customStyle="1" w:styleId="53">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4">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6">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7">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0">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2">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3">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6">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7">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8">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9">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0">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1">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3">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74">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5">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6">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7">
    <w:name w:val="页眉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8">
    <w:name w:val="页脚 New New"/>
    <w:basedOn w:val="1"/>
    <w:qFormat/>
    <w:uiPriority w:val="0"/>
    <w:pPr>
      <w:tabs>
        <w:tab w:val="center" w:pos="4153"/>
        <w:tab w:val="right" w:pos="8306"/>
      </w:tabs>
      <w:snapToGrid w:val="0"/>
      <w:jc w:val="left"/>
    </w:pPr>
    <w:rPr>
      <w:rFonts w:eastAsia="仿宋_GB2312"/>
      <w:kern w:val="2"/>
      <w:sz w:val="18"/>
    </w:rPr>
  </w:style>
  <w:style w:type="paragraph" w:customStyle="1" w:styleId="79">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0">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1">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2">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3">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28</Pages>
  <Words>6307</Words>
  <Characters>7332</Characters>
  <Lines>71</Lines>
  <Paragraphs>20</Paragraphs>
  <TotalTime>41</TotalTime>
  <ScaleCrop>false</ScaleCrop>
  <LinksUpToDate>false</LinksUpToDate>
  <CharactersWithSpaces>7893</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2024-02-06T01:06:29Z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commondata">
    <vt:lpwstr>eyJoZGlkIjoiZWM5MjE1YWFmYzZkMzU5ZGRkN2NlNjYxOGIzMjAyOWQifQ==</vt:lpwstr>
  </property>
  <property fmtid="{D5CDD505-2E9C-101B-9397-08002B2CF9AE}" pid="4" name="ICV">
    <vt:lpwstr>56F2210FB38A46ABA9E8C2F7D09A3590_13</vt:lpwstr>
  </property>
</Properties>
</file>