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hint="eastAsia" w:eastAsia="方正小标宋简体"/>
          <w:sz w:val="44"/>
          <w:szCs w:val="44"/>
          <w:u w:val="single"/>
          <w:lang w:val="en-US" w:eastAsia="zh-CN"/>
        </w:rPr>
      </w:pPr>
      <w:r>
        <w:rPr>
          <w:rFonts w:hint="eastAsia" w:eastAsia="方正小标宋简体"/>
          <w:sz w:val="44"/>
          <w:szCs w:val="44"/>
          <w:u w:val="single"/>
          <w:lang w:val="en-US" w:eastAsia="zh-CN"/>
        </w:rPr>
        <w:t>中共通榆县委政府委员会（本级）</w:t>
      </w:r>
    </w:p>
    <w:p>
      <w:pPr>
        <w:jc w:val="center"/>
        <w:rPr>
          <w:rFonts w:eastAsia="方正小标宋简体"/>
          <w:sz w:val="44"/>
          <w:szCs w:val="44"/>
        </w:rPr>
      </w:pP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pStyle w:val="8"/>
        <w:spacing w:beforeAutospacing="0" w:afterAutospacing="0" w:line="600" w:lineRule="exact"/>
        <w:ind w:firstLine="640" w:firstLineChars="200"/>
        <w:jc w:val="both"/>
        <w:rPr>
          <w:rFonts w:ascii="仿宋" w:hAnsi="仿宋" w:eastAsia="仿宋"/>
          <w:color w:val="030303"/>
          <w:sz w:val="32"/>
          <w:szCs w:val="32"/>
        </w:rPr>
      </w:pPr>
      <w:r>
        <w:rPr>
          <w:rFonts w:hint="eastAsia" w:ascii="仿宋" w:hAnsi="仿宋" w:eastAsia="仿宋"/>
          <w:color w:val="030303"/>
          <w:sz w:val="32"/>
          <w:szCs w:val="32"/>
        </w:rPr>
        <w:t>（一）贯彻习近平新时代中国特色社会主义思想，坚决执行党的路线方针政策和党中央重大决策部署，坚持党对政法工作的绝对领导，统一全县政法各部门思想和行动，坚决维护党中央权威和集中统一领导。</w:t>
      </w:r>
    </w:p>
    <w:p>
      <w:pPr>
        <w:pStyle w:val="8"/>
        <w:spacing w:beforeAutospacing="0" w:afterAutospacing="0" w:line="600" w:lineRule="exact"/>
        <w:jc w:val="both"/>
        <w:rPr>
          <w:rFonts w:ascii="仿宋" w:hAnsi="仿宋" w:eastAsia="仿宋"/>
          <w:color w:val="030303"/>
          <w:sz w:val="32"/>
          <w:szCs w:val="32"/>
        </w:rPr>
      </w:pPr>
      <w:r>
        <w:rPr>
          <w:rFonts w:hint="eastAsia" w:ascii="仿宋" w:hAnsi="仿宋" w:eastAsia="仿宋"/>
          <w:color w:val="030303"/>
          <w:sz w:val="32"/>
          <w:szCs w:val="32"/>
        </w:rPr>
        <w:t>　　（二）贯彻党中央以及上级党组织决定，对政法工作提出全局性部署，推进平安通榆、法治通榆建设，加强过硬队伍建设，坚决维护国家政治安全、确保社会大局稳定、促进社会公平正义、保障人民安居乐业。</w:t>
      </w:r>
    </w:p>
    <w:p>
      <w:pPr>
        <w:pStyle w:val="8"/>
        <w:spacing w:beforeAutospacing="0" w:afterAutospacing="0" w:line="600" w:lineRule="exact"/>
        <w:jc w:val="both"/>
        <w:rPr>
          <w:rFonts w:ascii="仿宋" w:hAnsi="仿宋" w:eastAsia="仿宋"/>
          <w:color w:val="030303"/>
          <w:sz w:val="32"/>
          <w:szCs w:val="32"/>
        </w:rPr>
      </w:pPr>
      <w:r>
        <w:rPr>
          <w:rFonts w:hint="eastAsia" w:ascii="仿宋" w:hAnsi="仿宋" w:eastAsia="仿宋"/>
          <w:color w:val="030303"/>
          <w:sz w:val="32"/>
          <w:szCs w:val="32"/>
        </w:rPr>
        <w:t>　　（三）加强对政法领域重大实践和理论问题调查研究，提出重大决策部署和改革措施的意见和建议，协助党委决策和统筹推进政法改革等各项工作。</w:t>
      </w:r>
    </w:p>
    <w:p>
      <w:pPr>
        <w:pStyle w:val="8"/>
        <w:spacing w:beforeAutospacing="0" w:afterAutospacing="0" w:line="600" w:lineRule="exact"/>
        <w:jc w:val="both"/>
        <w:rPr>
          <w:rFonts w:ascii="仿宋" w:hAnsi="仿宋" w:eastAsia="仿宋"/>
          <w:color w:val="030303"/>
          <w:sz w:val="32"/>
          <w:szCs w:val="32"/>
        </w:rPr>
      </w:pPr>
      <w:r>
        <w:rPr>
          <w:rFonts w:hint="eastAsia" w:ascii="仿宋" w:hAnsi="仿宋" w:eastAsia="仿宋"/>
          <w:color w:val="030303"/>
          <w:sz w:val="32"/>
          <w:szCs w:val="32"/>
        </w:rPr>
        <w:t>　　（四）了解掌握和分析研判社会稳定形势、政法工作情况动态，创新完善多部门参与的平安建设工作协调机制，协调推动预防、化解影响稳定的社会矛盾和风险，协调应对和妥善处置重大突发事件，协调指导政法单位和相关部门做好反邪教、反暴恐工作。</w:t>
      </w:r>
    </w:p>
    <w:p>
      <w:pPr>
        <w:pStyle w:val="8"/>
        <w:spacing w:beforeAutospacing="0" w:afterAutospacing="0" w:line="600" w:lineRule="exact"/>
        <w:jc w:val="both"/>
        <w:rPr>
          <w:rFonts w:ascii="仿宋" w:hAnsi="仿宋" w:eastAsia="仿宋"/>
          <w:color w:val="030303"/>
          <w:sz w:val="32"/>
          <w:szCs w:val="32"/>
        </w:rPr>
      </w:pPr>
      <w:r>
        <w:rPr>
          <w:rFonts w:hint="eastAsia" w:ascii="仿宋" w:hAnsi="仿宋" w:eastAsia="仿宋"/>
          <w:color w:val="030303"/>
          <w:sz w:val="32"/>
          <w:szCs w:val="32"/>
        </w:rPr>
        <w:t>　　（五）加强对政法工作的督查，统筹协调社会治安综合治理、维护社会稳定、反邪教、反暴恐等有关国家法律法规和政策的实施工作。</w:t>
      </w:r>
    </w:p>
    <w:p>
      <w:pPr>
        <w:pStyle w:val="8"/>
        <w:spacing w:beforeAutospacing="0" w:afterAutospacing="0" w:line="600" w:lineRule="exact"/>
        <w:ind w:firstLine="692"/>
        <w:jc w:val="both"/>
        <w:rPr>
          <w:rFonts w:ascii="仿宋" w:hAnsi="仿宋" w:eastAsia="仿宋"/>
          <w:color w:val="030303"/>
          <w:sz w:val="32"/>
          <w:szCs w:val="32"/>
        </w:rPr>
      </w:pPr>
      <w:r>
        <w:rPr>
          <w:rFonts w:hint="eastAsia" w:ascii="仿宋" w:hAnsi="仿宋" w:eastAsia="仿宋"/>
          <w:color w:val="030303"/>
          <w:sz w:val="32"/>
          <w:szCs w:val="32"/>
        </w:rPr>
        <w:t>（六）支持和监督政法单位依法行使职权，指导和协调政法各部门密切配合，完善与纪检监察机关工作衔接和协作配合机制，研究和协调重大、疑难案件，推进严格执法、公正司法。</w:t>
      </w:r>
    </w:p>
    <w:p>
      <w:pPr>
        <w:pStyle w:val="8"/>
        <w:spacing w:beforeAutospacing="0" w:afterAutospacing="0" w:line="600" w:lineRule="exact"/>
        <w:jc w:val="both"/>
        <w:rPr>
          <w:rFonts w:ascii="仿宋" w:hAnsi="仿宋" w:eastAsia="仿宋"/>
          <w:color w:val="030303"/>
          <w:sz w:val="32"/>
          <w:szCs w:val="32"/>
        </w:rPr>
      </w:pPr>
      <w:r>
        <w:rPr>
          <w:rFonts w:hint="eastAsia" w:ascii="仿宋" w:hAnsi="仿宋" w:eastAsia="仿宋"/>
          <w:color w:val="030303"/>
          <w:sz w:val="32"/>
          <w:szCs w:val="32"/>
        </w:rPr>
        <w:t>　　（七）指导和推动政法单位党的建设和政法队伍建设，协助党委及组织部门加强政法单位领导班子和干部队伍建设，协助党委和纪检监察机关做好监督检查、审查调查工作，派员列席同级政法单位党组（党委）民主生活会。</w:t>
      </w:r>
    </w:p>
    <w:p>
      <w:pPr>
        <w:pStyle w:val="8"/>
        <w:spacing w:beforeAutospacing="0" w:afterAutospacing="0" w:line="600" w:lineRule="exact"/>
        <w:jc w:val="both"/>
        <w:rPr>
          <w:rFonts w:ascii="仿宋" w:hAnsi="仿宋" w:eastAsia="仿宋"/>
          <w:color w:val="030303"/>
          <w:sz w:val="32"/>
          <w:szCs w:val="32"/>
        </w:rPr>
      </w:pPr>
      <w:r>
        <w:rPr>
          <w:rFonts w:hint="eastAsia" w:ascii="仿宋" w:hAnsi="仿宋" w:eastAsia="仿宋"/>
          <w:color w:val="030303"/>
          <w:sz w:val="32"/>
          <w:szCs w:val="32"/>
        </w:rPr>
        <w:t>（八）掌握分析政法舆情动态，指导和协调政法单位和有关部门做好宣传报道和舆论引导等相关工作。</w:t>
      </w:r>
    </w:p>
    <w:p>
      <w:pPr>
        <w:ind w:firstLine="640" w:firstLineChars="200"/>
      </w:pPr>
      <w:r>
        <w:rPr>
          <w:rFonts w:hint="eastAsia" w:ascii="仿宋" w:hAnsi="仿宋" w:eastAsia="仿宋"/>
          <w:color w:val="030303"/>
          <w:sz w:val="32"/>
          <w:szCs w:val="32"/>
        </w:rPr>
        <w:t>（九）完成党委和上级党委政法委员会交办的其他任务。</w:t>
      </w:r>
      <w:r>
        <w:rPr>
          <w:rFonts w:eastAsia="楷体_GB2312"/>
        </w:rPr>
        <w:t>二、机构设置</w:t>
      </w:r>
    </w:p>
    <w:p>
      <w:pPr>
        <w:widowControl/>
        <w:ind w:firstLine="640" w:firstLineChars="200"/>
        <w:jc w:val="left"/>
        <w:rPr>
          <w:rFonts w:ascii="仿宋" w:hAnsi="仿宋" w:eastAsia="仿宋"/>
          <w:color w:val="030303"/>
          <w:szCs w:val="32"/>
          <w:shd w:val="clear" w:color="auto" w:fill="FFFFFF"/>
        </w:rPr>
      </w:pPr>
      <w:r>
        <w:rPr>
          <w:rFonts w:ascii="仿宋" w:hAnsi="仿宋" w:eastAsia="仿宋"/>
          <w:szCs w:val="32"/>
        </w:rPr>
        <w:t>根据上述职责，中共通榆县委政法委员会内</w:t>
      </w:r>
      <w:r>
        <w:rPr>
          <w:rFonts w:hint="eastAsia" w:ascii="仿宋" w:hAnsi="仿宋" w:eastAsia="仿宋"/>
          <w:szCs w:val="32"/>
        </w:rPr>
        <w:t>5</w:t>
      </w:r>
      <w:r>
        <w:rPr>
          <w:rFonts w:ascii="仿宋" w:hAnsi="仿宋" w:eastAsia="仿宋"/>
          <w:szCs w:val="32"/>
        </w:rPr>
        <w:t>个机构，分别为</w:t>
      </w:r>
      <w:r>
        <w:rPr>
          <w:rFonts w:hint="eastAsia" w:ascii="仿宋" w:hAnsi="仿宋" w:eastAsia="仿宋"/>
          <w:color w:val="030303"/>
          <w:szCs w:val="32"/>
          <w:shd w:val="clear" w:color="auto" w:fill="FFFFFF"/>
        </w:rPr>
        <w:t>政治部、基层社会治理科、维稳指导科、人秘科、执法监督科等5个内设机构。</w:t>
      </w:r>
    </w:p>
    <w:p>
      <w:pPr>
        <w:pStyle w:val="51"/>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rPr>
        <w:t>家预算单位，分别为</w:t>
      </w:r>
      <w:r>
        <w:rPr>
          <w:rFonts w:hint="eastAsia" w:ascii="仿宋_GB2312" w:hAnsi="仿宋_GB2312" w:eastAsia="仿宋_GB2312" w:cs="仿宋_GB2312"/>
          <w:lang w:val="en-US" w:eastAsia="zh-CN"/>
        </w:rPr>
        <w:t>中共通榆县委政法委员会本级和通榆县法学会</w:t>
      </w:r>
      <w:r>
        <w:rPr>
          <w:rFonts w:hint="eastAsia" w:ascii="仿宋_GB2312" w:hAnsi="仿宋_GB2312" w:eastAsia="仿宋_GB2312" w:cs="仿宋_GB2312"/>
        </w:rPr>
        <w:t>。</w:t>
      </w:r>
    </w:p>
    <w:p>
      <w:pPr>
        <w:pStyle w:val="51"/>
        <w:ind w:firstLine="640" w:firstLineChars="200"/>
        <w:rPr>
          <w:rFonts w:eastAsia="楷体"/>
        </w:rPr>
      </w:pP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278.93</w:t>
            </w:r>
          </w:p>
        </w:tc>
        <w:tc>
          <w:tcPr>
            <w:tcW w:w="1073" w:type="dxa"/>
            <w:tcBorders>
              <w:top w:val="nil"/>
              <w:left w:val="nil"/>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278.93</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221.81</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color w:val="000000"/>
                <w:kern w:val="0"/>
                <w:sz w:val="20"/>
                <w:lang w:val="en-US" w:eastAsia="zh-CN"/>
              </w:rPr>
              <w:t>221.81</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278.93</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278.93</w:t>
            </w: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29.24</w:t>
            </w:r>
          </w:p>
        </w:tc>
        <w:tc>
          <w:tcPr>
            <w:tcW w:w="1182" w:type="dxa"/>
            <w:gridSpan w:val="2"/>
            <w:tcBorders>
              <w:top w:val="nil"/>
              <w:left w:val="nil"/>
              <w:bottom w:val="single" w:color="auto" w:sz="4" w:space="0"/>
              <w:right w:val="single" w:color="auto" w:sz="4" w:space="0"/>
            </w:tcBorders>
            <w:noWrap w:val="0"/>
            <w:vAlign w:val="center"/>
          </w:tcPr>
          <w:p>
            <w:pPr>
              <w:widowControl/>
              <w:tabs>
                <w:tab w:val="left" w:pos="376"/>
              </w:tabs>
              <w:jc w:val="left"/>
              <w:rPr>
                <w:rFonts w:hint="eastAsia" w:eastAsia="宋体"/>
                <w:kern w:val="0"/>
                <w:sz w:val="20"/>
                <w:lang w:eastAsia="zh-CN"/>
              </w:rPr>
            </w:pPr>
            <w:r>
              <w:rPr>
                <w:rFonts w:hint="eastAsia" w:eastAsia="宋体"/>
                <w:kern w:val="0"/>
                <w:sz w:val="20"/>
                <w:lang w:eastAsia="zh-CN"/>
              </w:rPr>
              <w:tab/>
            </w:r>
            <w:r>
              <w:rPr>
                <w:rFonts w:hint="eastAsia" w:eastAsia="宋体"/>
                <w:color w:val="000000"/>
                <w:kern w:val="0"/>
                <w:sz w:val="20"/>
                <w:lang w:val="en-US" w:eastAsia="zh-CN"/>
              </w:rPr>
              <w:t>29.24</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17.67</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17.67</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10.21</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10.21</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278.93</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278.93</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bCs/>
                <w:kern w:val="0"/>
                <w:sz w:val="20"/>
                <w:lang w:val="en-US" w:eastAsia="zh-CN"/>
              </w:rPr>
            </w:pPr>
            <w:r>
              <w:rPr>
                <w:rFonts w:hint="eastAsia" w:eastAsia="宋体"/>
                <w:b/>
                <w:bCs/>
                <w:kern w:val="0"/>
                <w:sz w:val="20"/>
                <w:lang w:val="en-US" w:eastAsia="zh-CN"/>
              </w:rPr>
              <w:t>278.93</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bCs/>
                <w:kern w:val="0"/>
                <w:sz w:val="20"/>
                <w:lang w:val="en-US" w:eastAsia="zh-CN" w:bidi="ar-SA"/>
              </w:rPr>
            </w:pPr>
            <w:r>
              <w:rPr>
                <w:rFonts w:hint="eastAsia" w:eastAsia="宋体"/>
                <w:b/>
                <w:bCs/>
                <w:kern w:val="0"/>
                <w:sz w:val="20"/>
                <w:lang w:val="en-US" w:eastAsia="zh-CN"/>
              </w:rPr>
              <w:t>278.93</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278.93</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278.93</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b/>
                <w:bCs/>
                <w:kern w:val="0"/>
                <w:sz w:val="20"/>
                <w:lang w:val="en-US" w:eastAsia="zh-CN"/>
              </w:rPr>
              <w:t>278.93</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r>
              <w:rPr>
                <w:rFonts w:hint="eastAsia" w:eastAsia="宋体"/>
                <w:b/>
                <w:bCs/>
                <w:kern w:val="0"/>
                <w:sz w:val="20"/>
                <w:lang w:val="en-US" w:eastAsia="zh-CN"/>
              </w:rPr>
              <w:t>278.93</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hint="default" w:eastAsia="宋体"/>
                <w:color w:val="000000"/>
                <w:sz w:val="20"/>
                <w:lang w:val="en-US" w:eastAsia="zh-CN"/>
              </w:rPr>
            </w:pPr>
            <w:r>
              <w:rPr>
                <w:rFonts w:hint="eastAsia" w:eastAsia="宋体"/>
                <w:color w:val="000000"/>
                <w:sz w:val="20"/>
                <w:lang w:val="en-US" w:eastAsia="zh-CN"/>
              </w:rPr>
              <w:t>中共通榆县委政府委员会</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278.93</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278.93</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278.93</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278.93</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278.93</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278.93</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一、一般公共服务支持</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221.81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183.01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38.8</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 xml:space="preserve">      党委办公厅（室）及相关机构事务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221.81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183.01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38.8</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221.81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183.01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38.8</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宋体"/>
                      <w:color w:val="000000"/>
                      <w:kern w:val="0"/>
                      <w:sz w:val="20"/>
                      <w:lang w:val="en-US" w:eastAsia="zh-CN"/>
                    </w:rPr>
                    <w:t>二</w:t>
                  </w:r>
                  <w:r>
                    <w:rPr>
                      <w:rFonts w:eastAsia="宋体"/>
                      <w:color w:val="000000"/>
                      <w:kern w:val="0"/>
                      <w:sz w:val="20"/>
                    </w:rPr>
                    <w:t>、</w:t>
                  </w:r>
                  <w:r>
                    <w:rPr>
                      <w:rFonts w:hint="eastAsia" w:eastAsia="宋体"/>
                      <w:color w:val="000000"/>
                      <w:kern w:val="0"/>
                      <w:sz w:val="20"/>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29.24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29.24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eastAsia="宋体"/>
                      <w:color w:val="000000"/>
                      <w:kern w:val="0"/>
                      <w:sz w:val="20"/>
                    </w:rPr>
                    <w:t xml:space="preserve">    </w:t>
                  </w:r>
                  <w:r>
                    <w:rPr>
                      <w:rFonts w:hint="eastAsia" w:eastAsia="宋体"/>
                      <w:color w:val="000000"/>
                      <w:kern w:val="0"/>
                      <w:sz w:val="20"/>
                    </w:rPr>
                    <w:t>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29.24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29.24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w:t>
                  </w:r>
                  <w:r>
                    <w:rPr>
                      <w:rFonts w:hint="eastAsia" w:eastAsia="宋体"/>
                      <w:color w:val="000000"/>
                      <w:kern w:val="0"/>
                      <w:sz w:val="20"/>
                    </w:rPr>
                    <w:t>　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23.56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23.56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hint="eastAsia" w:eastAsia="宋体"/>
                      <w:color w:val="000000"/>
                      <w:kern w:val="0"/>
                      <w:sz w:val="20"/>
                      <w:lang w:val="en-US" w:eastAsia="zh-CN"/>
                    </w:rPr>
                  </w:pPr>
                  <w:r>
                    <w:rPr>
                      <w:rFonts w:hint="eastAsia" w:eastAsia="宋体"/>
                      <w:color w:val="000000"/>
                      <w:kern w:val="0"/>
                      <w:sz w:val="20"/>
                      <w:lang w:val="en-US" w:eastAsia="zh-CN"/>
                    </w:rPr>
                    <w:t>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tabs>
                      <w:tab w:val="left" w:pos="580"/>
                    </w:tabs>
                    <w:ind w:firstLine="400" w:firstLineChars="200"/>
                    <w:jc w:val="both"/>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5.68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tabs>
                      <w:tab w:val="left" w:pos="580"/>
                    </w:tabs>
                    <w:jc w:val="center"/>
                    <w:rPr>
                      <w:rFonts w:hint="default" w:eastAsia="宋体"/>
                      <w:color w:val="000000"/>
                      <w:kern w:val="0"/>
                      <w:sz w:val="20"/>
                      <w:lang w:val="en-US" w:eastAsia="zh-CN"/>
                    </w:rPr>
                  </w:pPr>
                  <w:r>
                    <w:rPr>
                      <w:rFonts w:hint="eastAsia" w:eastAsia="宋体"/>
                      <w:color w:val="000000"/>
                      <w:kern w:val="0"/>
                      <w:sz w:val="20"/>
                      <w:lang w:val="en-US" w:eastAsia="zh-CN"/>
                    </w:rPr>
                    <w:t>5.68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wordWrap/>
                    <w:jc w:val="right"/>
                    <w:rPr>
                      <w:rFonts w:hint="default" w:eastAsia="宋体"/>
                      <w:color w:val="000000"/>
                      <w:kern w:val="0"/>
                      <w:sz w:val="20"/>
                      <w:lang w:val="en-US" w:eastAsia="zh-CN"/>
                    </w:rPr>
                  </w:pPr>
                  <w:r>
                    <w:rPr>
                      <w:rFonts w:hint="eastAsia" w:eastAsia="宋体"/>
                      <w:color w:val="000000"/>
                      <w:kern w:val="0"/>
                      <w:sz w:val="20"/>
                      <w:lang w:val="en-US" w:eastAsia="zh-CN"/>
                    </w:rPr>
                    <w:t xml:space="preserve">    </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三、卫生健康支出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10.21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10.21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10.21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10.21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 xml:space="preserve">      行政单位医疗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10.06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10.06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0.15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0.15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6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eastAsia" w:ascii="Arial" w:hAnsi="Arial" w:eastAsia="宋体" w:cs="Arial"/>
                      <w:i w:val="0"/>
                      <w:iCs w:val="0"/>
                      <w:color w:val="000000"/>
                      <w:kern w:val="0"/>
                      <w:sz w:val="20"/>
                      <w:szCs w:val="20"/>
                      <w:u w:val="none"/>
                      <w:lang w:val="en-US" w:eastAsia="zh-CN" w:bidi="ar"/>
                    </w:rPr>
                    <w:t>四、</w:t>
                  </w:r>
                  <w:r>
                    <w:rPr>
                      <w:rFonts w:hint="default" w:ascii="Arial" w:hAnsi="Arial" w:eastAsia="宋体" w:cs="Arial"/>
                      <w:i w:val="0"/>
                      <w:iCs w:val="0"/>
                      <w:color w:val="000000"/>
                      <w:kern w:val="0"/>
                      <w:sz w:val="20"/>
                      <w:szCs w:val="20"/>
                      <w:u w:val="none"/>
                      <w:lang w:val="en-US" w:eastAsia="zh-CN" w:bidi="ar"/>
                    </w:rPr>
                    <w:t>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17.67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s="Times New Roman"/>
                      <w:color w:val="000000"/>
                      <w:kern w:val="0"/>
                      <w:sz w:val="20"/>
                      <w:lang w:val="en-US" w:eastAsia="zh-CN" w:bidi="ar-SA"/>
                    </w:rPr>
                    <w:t>17.67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17.67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17.67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17.67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17.67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278.93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240.13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38.80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278.93</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278.93</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tabs>
                      <w:tab w:val="left" w:pos="239"/>
                      <w:tab w:val="right" w:pos="968"/>
                    </w:tabs>
                    <w:jc w:val="left"/>
                    <w:rPr>
                      <w:rFonts w:eastAsia="宋体"/>
                      <w:kern w:val="0"/>
                      <w:sz w:val="20"/>
                    </w:rPr>
                  </w:pPr>
                  <w:r>
                    <w:rPr>
                      <w:rFonts w:hint="eastAsia" w:eastAsia="宋体"/>
                      <w:kern w:val="0"/>
                      <w:sz w:val="20"/>
                      <w:lang w:eastAsia="zh-CN"/>
                    </w:rPr>
                    <w:tab/>
                  </w:r>
                  <w:r>
                    <w:rPr>
                      <w:rFonts w:hint="eastAsia" w:eastAsia="宋体"/>
                      <w:kern w:val="0"/>
                      <w:sz w:val="20"/>
                      <w:lang w:val="en-US" w:eastAsia="zh-CN"/>
                    </w:rPr>
                    <w:t>221.81</w:t>
                  </w:r>
                  <w:r>
                    <w:rPr>
                      <w:rFonts w:hint="eastAsia" w:eastAsia="宋体"/>
                      <w:kern w:val="0"/>
                      <w:sz w:val="20"/>
                      <w:lang w:eastAsia="zh-CN"/>
                    </w:rPr>
                    <w:tab/>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tabs>
                      <w:tab w:val="left" w:pos="239"/>
                      <w:tab w:val="right" w:pos="968"/>
                    </w:tabs>
                    <w:jc w:val="left"/>
                    <w:rPr>
                      <w:rFonts w:ascii="Times New Roman" w:hAnsi="Times New Roman" w:eastAsia="宋体" w:cs="Times New Roman"/>
                      <w:kern w:val="0"/>
                      <w:sz w:val="20"/>
                      <w:lang w:val="en-US" w:eastAsia="zh-CN" w:bidi="ar-SA"/>
                    </w:rPr>
                  </w:pPr>
                  <w:r>
                    <w:rPr>
                      <w:rFonts w:hint="eastAsia" w:eastAsia="宋体"/>
                      <w:kern w:val="0"/>
                      <w:sz w:val="20"/>
                      <w:lang w:eastAsia="zh-CN"/>
                    </w:rPr>
                    <w:tab/>
                  </w:r>
                  <w:r>
                    <w:rPr>
                      <w:rFonts w:hint="eastAsia" w:eastAsia="宋体"/>
                      <w:kern w:val="0"/>
                      <w:sz w:val="20"/>
                      <w:lang w:val="en-US" w:eastAsia="zh-CN"/>
                    </w:rPr>
                    <w:t>221.81</w:t>
                  </w:r>
                  <w:r>
                    <w:rPr>
                      <w:rFonts w:hint="eastAsia" w:eastAsia="宋体"/>
                      <w:kern w:val="0"/>
                      <w:sz w:val="20"/>
                      <w:lang w:eastAsia="zh-CN"/>
                    </w:rPr>
                    <w:tab/>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tabs>
                      <w:tab w:val="left" w:pos="307"/>
                      <w:tab w:val="right" w:pos="1067"/>
                    </w:tabs>
                    <w:jc w:val="left"/>
                    <w:rPr>
                      <w:rFonts w:eastAsia="宋体"/>
                      <w:kern w:val="0"/>
                      <w:sz w:val="20"/>
                    </w:rPr>
                  </w:pPr>
                  <w:r>
                    <w:rPr>
                      <w:rFonts w:hint="eastAsia" w:eastAsia="宋体"/>
                      <w:kern w:val="0"/>
                      <w:sz w:val="20"/>
                      <w:lang w:eastAsia="zh-CN"/>
                    </w:rPr>
                    <w:tab/>
                  </w:r>
                  <w:r>
                    <w:rPr>
                      <w:rFonts w:hint="eastAsia" w:eastAsia="宋体"/>
                      <w:kern w:val="0"/>
                      <w:sz w:val="20"/>
                      <w:lang w:val="en-US" w:eastAsia="zh-CN"/>
                    </w:rPr>
                    <w:t>278.93</w:t>
                  </w:r>
                  <w:r>
                    <w:rPr>
                      <w:rFonts w:hint="eastAsia" w:eastAsia="宋体"/>
                      <w:kern w:val="0"/>
                      <w:sz w:val="20"/>
                      <w:lang w:eastAsia="zh-CN"/>
                    </w:rPr>
                    <w:tab/>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tabs>
                      <w:tab w:val="left" w:pos="307"/>
                      <w:tab w:val="right" w:pos="1067"/>
                    </w:tabs>
                    <w:jc w:val="left"/>
                    <w:rPr>
                      <w:rFonts w:hint="default" w:ascii="Times New Roman" w:hAnsi="Times New Roman" w:eastAsia="宋体" w:cs="Times New Roman"/>
                      <w:kern w:val="0"/>
                      <w:sz w:val="20"/>
                      <w:lang w:val="en-US" w:eastAsia="zh-CN" w:bidi="ar-SA"/>
                    </w:rPr>
                  </w:pPr>
                  <w:r>
                    <w:rPr>
                      <w:rFonts w:hint="eastAsia" w:eastAsia="宋体"/>
                      <w:kern w:val="0"/>
                      <w:sz w:val="20"/>
                      <w:lang w:eastAsia="zh-CN"/>
                    </w:rPr>
                    <w:tab/>
                  </w:r>
                  <w:r>
                    <w:rPr>
                      <w:rFonts w:hint="eastAsia" w:eastAsia="宋体"/>
                      <w:kern w:val="0"/>
                      <w:sz w:val="20"/>
                      <w:lang w:val="en-US" w:eastAsia="zh-CN"/>
                    </w:rPr>
                    <w:t>278.93</w:t>
                  </w:r>
                  <w:r>
                    <w:rPr>
                      <w:rFonts w:hint="eastAsia" w:eastAsia="宋体"/>
                      <w:kern w:val="0"/>
                      <w:sz w:val="20"/>
                      <w:lang w:eastAsia="zh-CN"/>
                    </w:rPr>
                    <w:tab/>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29.24</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29.24</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10.21</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10.21</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17.67</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17.67</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278.93</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278.93</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278.93</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278.93</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ascii="Times New Roman" w:hAnsi="Times New Roman" w:eastAsia="宋体" w:cs="Times New Roman"/>
                      <w:kern w:val="2"/>
                      <w:sz w:val="20"/>
                      <w:lang w:val="en-US" w:eastAsia="zh-CN" w:bidi="ar-SA"/>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ascii="Times New Roman" w:hAnsi="Times New Roman" w:eastAsia="宋体" w:cs="Times New Roman"/>
                      <w:kern w:val="2"/>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宋体"/>
                      <w:kern w:val="0"/>
                      <w:sz w:val="20"/>
                      <w:lang w:val="en-US" w:eastAsia="zh-CN"/>
                    </w:rPr>
                    <w:t>278.93</w:t>
                  </w:r>
                  <w:r>
                    <w:rPr>
                      <w:rFonts w:eastAsia="黑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黑体" w:cs="Times New Roman"/>
                      <w:kern w:val="0"/>
                      <w:sz w:val="20"/>
                      <w:lang w:val="en-US" w:eastAsia="zh-CN" w:bidi="ar-SA"/>
                    </w:rPr>
                  </w:pPr>
                  <w:r>
                    <w:rPr>
                      <w:rFonts w:hint="eastAsia" w:eastAsia="宋体"/>
                      <w:kern w:val="0"/>
                      <w:sz w:val="20"/>
                      <w:lang w:val="en-US" w:eastAsia="zh-CN"/>
                    </w:rPr>
                    <w:t>278.93</w:t>
                  </w:r>
                  <w:r>
                    <w:rPr>
                      <w:rFonts w:eastAsia="黑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278.93</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278.93</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7980"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一、一般公共服务支持</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221.81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183.01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156.13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26.88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color w:val="000000"/>
                      <w:kern w:val="0"/>
                      <w:sz w:val="20"/>
                      <w:lang w:val="en-US" w:eastAsia="zh-CN"/>
                    </w:rPr>
                    <w:t>38.80</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 xml:space="preserve">      党委办公厅（室）及相关机构事务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221.81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183.01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156.13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26.88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color w:val="000000"/>
                      <w:kern w:val="0"/>
                      <w:sz w:val="20"/>
                      <w:lang w:val="en-US" w:eastAsia="zh-CN"/>
                    </w:rPr>
                    <w:t>38.80</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221.81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183.01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156.13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26.88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38.80</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宋体"/>
                      <w:color w:val="000000"/>
                      <w:kern w:val="0"/>
                      <w:sz w:val="20"/>
                      <w:lang w:val="en-US" w:eastAsia="zh-CN"/>
                    </w:rPr>
                    <w:t>二</w:t>
                  </w:r>
                  <w:r>
                    <w:rPr>
                      <w:rFonts w:eastAsia="宋体"/>
                      <w:color w:val="000000"/>
                      <w:kern w:val="0"/>
                      <w:sz w:val="20"/>
                    </w:rPr>
                    <w:t>、</w:t>
                  </w:r>
                  <w:r>
                    <w:rPr>
                      <w:rFonts w:hint="eastAsia" w:eastAsia="宋体"/>
                      <w:color w:val="000000"/>
                      <w:kern w:val="0"/>
                      <w:sz w:val="20"/>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tabs>
                      <w:tab w:val="left" w:pos="462"/>
                    </w:tabs>
                    <w:jc w:val="left"/>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ab/>
                  </w:r>
                  <w:r>
                    <w:rPr>
                      <w:rFonts w:hint="eastAsia" w:eastAsia="宋体" w:cs="Times New Roman"/>
                      <w:color w:val="000000"/>
                      <w:kern w:val="0"/>
                      <w:sz w:val="20"/>
                      <w:lang w:val="en-US" w:eastAsia="zh-CN" w:bidi="ar-SA"/>
                    </w:rPr>
                    <w:t>29.24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tabs>
                      <w:tab w:val="left" w:pos="462"/>
                    </w:tabs>
                    <w:jc w:val="left"/>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ab/>
                  </w:r>
                  <w:r>
                    <w:rPr>
                      <w:rFonts w:hint="eastAsia" w:eastAsia="宋体" w:cs="Times New Roman"/>
                      <w:color w:val="000000"/>
                      <w:kern w:val="0"/>
                      <w:sz w:val="20"/>
                      <w:lang w:val="en-US" w:eastAsia="zh-CN" w:bidi="ar-SA"/>
                    </w:rPr>
                    <w:t>29.24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tabs>
                      <w:tab w:val="left" w:pos="462"/>
                    </w:tabs>
                    <w:jc w:val="left"/>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ab/>
                  </w:r>
                  <w:r>
                    <w:rPr>
                      <w:rFonts w:hint="eastAsia" w:eastAsia="宋体" w:cs="Times New Roman"/>
                      <w:color w:val="000000"/>
                      <w:kern w:val="0"/>
                      <w:sz w:val="20"/>
                      <w:lang w:val="en-US" w:eastAsia="zh-CN" w:bidi="ar-SA"/>
                    </w:rPr>
                    <w:t>29.24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eastAsia="宋体"/>
                      <w:color w:val="000000"/>
                      <w:kern w:val="0"/>
                      <w:sz w:val="20"/>
                    </w:rPr>
                    <w:t xml:space="preserve">    </w:t>
                  </w:r>
                  <w:r>
                    <w:rPr>
                      <w:rFonts w:hint="eastAsia" w:eastAsia="宋体"/>
                      <w:color w:val="000000"/>
                      <w:kern w:val="0"/>
                      <w:sz w:val="20"/>
                    </w:rPr>
                    <w:t>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29.24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29.24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29.24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w:t>
                  </w:r>
                  <w:r>
                    <w:rPr>
                      <w:rFonts w:hint="eastAsia" w:eastAsia="宋体"/>
                      <w:color w:val="000000"/>
                      <w:kern w:val="0"/>
                      <w:sz w:val="20"/>
                    </w:rPr>
                    <w:t>　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23.56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23.56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23.56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eastAsia="宋体"/>
                      <w:color w:val="000000"/>
                      <w:kern w:val="0"/>
                      <w:sz w:val="20"/>
                    </w:rPr>
                  </w:pPr>
                  <w:r>
                    <w:rPr>
                      <w:rFonts w:hint="eastAsia" w:eastAsia="宋体"/>
                      <w:color w:val="000000"/>
                      <w:kern w:val="0"/>
                      <w:sz w:val="20"/>
                      <w:lang w:val="en-US" w:eastAsia="zh-CN"/>
                    </w:rPr>
                    <w:t>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tabs>
                      <w:tab w:val="left" w:pos="580"/>
                    </w:tabs>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5.68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tabs>
                      <w:tab w:val="left" w:pos="580"/>
                    </w:tabs>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5.68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tabs>
                      <w:tab w:val="left" w:pos="580"/>
                    </w:tabs>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5.68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三、卫生健康支出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10.21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10.21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10.21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10.21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10.21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10.21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行政</w:t>
                  </w:r>
                  <w:r>
                    <w:rPr>
                      <w:rFonts w:hint="default" w:ascii="Arial" w:hAnsi="Arial" w:eastAsia="宋体" w:cs="Arial"/>
                      <w:i w:val="0"/>
                      <w:iCs w:val="0"/>
                      <w:color w:val="000000"/>
                      <w:kern w:val="0"/>
                      <w:sz w:val="20"/>
                      <w:szCs w:val="20"/>
                      <w:u w:val="none"/>
                      <w:lang w:val="en-US" w:eastAsia="zh-CN" w:bidi="ar"/>
                    </w:rPr>
                    <w:t>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10.06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10.06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10.06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0.15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0.15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0.15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四、</w:t>
                  </w:r>
                  <w:r>
                    <w:rPr>
                      <w:rFonts w:hint="default" w:ascii="Arial" w:hAnsi="Arial" w:eastAsia="宋体" w:cs="Arial"/>
                      <w:i w:val="0"/>
                      <w:iCs w:val="0"/>
                      <w:color w:val="000000"/>
                      <w:kern w:val="0"/>
                      <w:sz w:val="20"/>
                      <w:szCs w:val="20"/>
                      <w:u w:val="none"/>
                      <w:lang w:val="en-US" w:eastAsia="zh-CN" w:bidi="ar"/>
                    </w:rPr>
                    <w:t>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17.67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17.67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17.67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17.67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17.67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17.67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17.67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17.67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17.67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278.93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240.13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213.25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26.88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38.80</w:t>
                  </w: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ind w:firstLine="600" w:firstLineChars="300"/>
              <w:jc w:val="center"/>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211.10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211.10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67.10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67.10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58.94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58.94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sz w:val="20"/>
                <w:szCs w:val="20"/>
              </w:rPr>
            </w:pP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奖金</w:t>
            </w:r>
          </w:p>
          <w:p>
            <w:pPr>
              <w:autoSpaceDN w:val="0"/>
              <w:ind w:firstLine="400" w:firstLineChars="200"/>
              <w:jc w:val="left"/>
              <w:textAlignment w:val="center"/>
              <w:rPr>
                <w:rFonts w:hint="eastAsia" w:ascii="宋体" w:hAnsi="宋体" w:eastAsia="宋体" w:cs="宋体"/>
                <w:color w:val="000000"/>
                <w:sz w:val="20"/>
                <w:szCs w:val="20"/>
                <w:lang w:val="en-US" w:eastAsia="zh-CN"/>
              </w:rPr>
            </w:pP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26.28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26.28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bidi w:val="0"/>
              <w:ind w:firstLine="400" w:firstLineChars="200"/>
              <w:jc w:val="center"/>
              <w:rPr>
                <w:rFonts w:hint="eastAsia" w:ascii="宋体" w:hAnsi="宋体" w:eastAsia="宋体" w:cs="宋体"/>
                <w:kern w:val="2"/>
                <w:sz w:val="20"/>
                <w:szCs w:val="20"/>
                <w:lang w:val="en-US" w:eastAsia="zh-CN" w:bidi="ar-SA"/>
              </w:rPr>
            </w:pPr>
            <w:r>
              <w:rPr>
                <w:rFonts w:hint="eastAsia" w:ascii="宋体" w:hAnsi="宋体" w:eastAsia="宋体" w:cs="宋体"/>
                <w:kern w:val="2"/>
                <w:sz w:val="20"/>
                <w:szCs w:val="20"/>
                <w:lang w:val="en-US" w:eastAsia="zh-CN" w:bidi="ar-SA"/>
              </w:rPr>
              <w:t>23.56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bidi w:val="0"/>
              <w:ind w:firstLine="400" w:firstLineChars="200"/>
              <w:jc w:val="center"/>
              <w:rPr>
                <w:rFonts w:hint="eastAsia" w:ascii="宋体" w:hAnsi="宋体" w:eastAsia="宋体" w:cs="宋体"/>
                <w:kern w:val="2"/>
                <w:sz w:val="20"/>
                <w:szCs w:val="20"/>
                <w:lang w:val="en-US" w:eastAsia="zh-CN" w:bidi="ar-SA"/>
              </w:rPr>
            </w:pPr>
            <w:r>
              <w:rPr>
                <w:rFonts w:hint="eastAsia" w:ascii="宋体" w:hAnsi="宋体" w:eastAsia="宋体" w:cs="宋体"/>
                <w:kern w:val="2"/>
                <w:sz w:val="20"/>
                <w:szCs w:val="20"/>
                <w:lang w:val="en-US" w:eastAsia="zh-CN" w:bidi="ar-SA"/>
              </w:rPr>
              <w:t>23.56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　  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5.68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5.68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　  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10.06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10.06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 xml:space="preserve">    其他社会保障缴费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0.15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0.15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　  住房公积金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17.67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17.67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ascii="宋体" w:hAnsi="宋体" w:eastAsia="宋体" w:cs="宋体"/>
                <w:kern w:val="0"/>
                <w:sz w:val="20"/>
                <w:szCs w:val="20"/>
              </w:rPr>
            </w:pPr>
            <w:r>
              <w:rPr>
                <w:rFonts w:hint="eastAsia" w:ascii="宋体" w:hAnsi="宋体" w:eastAsia="宋体" w:cs="宋体"/>
                <w:color w:val="000000"/>
                <w:sz w:val="20"/>
                <w:szCs w:val="20"/>
              </w:rPr>
              <w:t>其他工资福利支出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1.66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1.66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hint="eastAsia" w:ascii="宋体" w:hAnsi="宋体" w:eastAsia="宋体" w:cs="宋体"/>
                <w:kern w:val="0"/>
                <w:sz w:val="20"/>
                <w:szCs w:val="20"/>
              </w:rPr>
            </w:pPr>
            <w:r>
              <w:rPr>
                <w:rFonts w:hint="eastAsia" w:ascii="宋体" w:hAnsi="宋体" w:eastAsia="宋体" w:cs="宋体"/>
                <w:color w:val="000000"/>
                <w:sz w:val="20"/>
                <w:szCs w:val="20"/>
              </w:rPr>
              <w:t>二、商品和服务支出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26.88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26.88</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　  办公费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9.50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9.50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ind w:firstLine="400" w:firstLineChars="200"/>
              <w:jc w:val="left"/>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手续费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0.10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0.10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　  邮电费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1.20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1.20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 xml:space="preserve">    差旅费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1.50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1.50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　  租赁费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0.50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0.50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0"/>
                <w:szCs w:val="20"/>
                <w:lang w:val="en-US"/>
              </w:rPr>
            </w:pPr>
            <w:r>
              <w:rPr>
                <w:rFonts w:hint="eastAsia" w:ascii="宋体" w:hAnsi="宋体" w:eastAsia="宋体" w:cs="宋体"/>
                <w:i w:val="0"/>
                <w:iCs w:val="0"/>
                <w:color w:val="000000"/>
                <w:kern w:val="0"/>
                <w:sz w:val="20"/>
                <w:szCs w:val="20"/>
                <w:u w:val="none"/>
                <w:lang w:val="en-US" w:eastAsia="zh-CN" w:bidi="ar"/>
              </w:rPr>
              <w:t>　 公务接待费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0.50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0.50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经费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3.50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3.50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tabs>
                <w:tab w:val="left" w:pos="792"/>
              </w:tabs>
              <w:ind w:firstLine="400" w:firstLineChars="20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其他交通费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10.08</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10.08</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三、对个人和家庭的补助</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2"/>
                <w:sz w:val="20"/>
                <w:szCs w:val="20"/>
                <w:lang w:val="en-US" w:eastAsia="zh-CN" w:bidi="ar-SA"/>
              </w:rPr>
            </w:pPr>
            <w:r>
              <w:rPr>
                <w:rFonts w:hint="eastAsia" w:ascii="宋体" w:hAnsi="宋体" w:eastAsia="宋体" w:cs="宋体"/>
                <w:kern w:val="2"/>
                <w:sz w:val="20"/>
                <w:szCs w:val="20"/>
                <w:lang w:val="en-US" w:eastAsia="zh-CN" w:bidi="ar-SA"/>
              </w:rPr>
              <w:t>2.15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2.15</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sz w:val="20"/>
                <w:szCs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退休费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2"/>
                <w:sz w:val="20"/>
                <w:szCs w:val="20"/>
                <w:lang w:val="en-US" w:eastAsia="zh-CN" w:bidi="ar-SA"/>
              </w:rPr>
            </w:pPr>
            <w:r>
              <w:rPr>
                <w:rFonts w:hint="eastAsia" w:ascii="宋体" w:hAnsi="宋体" w:eastAsia="宋体" w:cs="宋体"/>
                <w:kern w:val="2"/>
                <w:sz w:val="20"/>
                <w:szCs w:val="20"/>
                <w:lang w:val="en-US" w:eastAsia="zh-CN" w:bidi="ar-SA"/>
              </w:rPr>
              <w:t>2.15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2.15</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sz w:val="20"/>
                <w:szCs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四、</w:t>
            </w:r>
            <w:r>
              <w:rPr>
                <w:rFonts w:hint="default" w:ascii="Arial" w:hAnsi="Arial" w:eastAsia="宋体" w:cs="Arial"/>
                <w:i w:val="0"/>
                <w:iCs w:val="0"/>
                <w:color w:val="000000"/>
                <w:kern w:val="0"/>
                <w:sz w:val="20"/>
                <w:szCs w:val="20"/>
                <w:u w:val="none"/>
                <w:lang w:val="en-US" w:eastAsia="zh-CN" w:bidi="ar"/>
              </w:rPr>
              <w:t>资本性支出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仿宋_GB2312" w:cs="Times New Roman"/>
                <w:kern w:val="2"/>
                <w:sz w:val="32"/>
                <w:lang w:val="en-US" w:eastAsia="zh-CN" w:bidi="ar-SA"/>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办公设备购置</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仿宋_GB2312" w:cs="Times New Roman"/>
                <w:kern w:val="2"/>
                <w:sz w:val="32"/>
                <w:lang w:val="en-US" w:eastAsia="zh-CN" w:bidi="ar-SA"/>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lang w:val="en-US" w:eastAsia="zh-CN"/>
              </w:rPr>
            </w:pP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9114" w:type="dxa"/>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0.5</w:t>
            </w:r>
          </w:p>
        </w:tc>
        <w:tc>
          <w:tcPr>
            <w:tcW w:w="1378"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0.5</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378" w:type="dxa"/>
            <w:tcBorders>
              <w:top w:val="nil"/>
              <w:left w:val="nil"/>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0.50</w:t>
            </w:r>
          </w:p>
        </w:tc>
        <w:tc>
          <w:tcPr>
            <w:tcW w:w="1378"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0.50</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378" w:type="dxa"/>
            <w:tcBorders>
              <w:top w:val="nil"/>
              <w:left w:val="nil"/>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378" w:type="dxa"/>
            <w:tcBorders>
              <w:top w:val="nil"/>
              <w:left w:val="nil"/>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378" w:type="dxa"/>
            <w:tcBorders>
              <w:top w:val="nil"/>
              <w:left w:val="nil"/>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17</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14</w:t>
            </w:r>
            <w:r>
              <w:rPr>
                <w:color w:val="000000"/>
                <w:kern w:val="0"/>
                <w:sz w:val="28"/>
                <w:szCs w:val="28"/>
              </w:rPr>
              <w:t>人，退休人员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3</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6"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lang w:val="en-US" w:eastAsia="zh-CN"/>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1220"/>
        <w:gridCol w:w="1170"/>
        <w:gridCol w:w="1005"/>
        <w:gridCol w:w="885"/>
        <w:gridCol w:w="855"/>
        <w:gridCol w:w="440"/>
        <w:gridCol w:w="416"/>
        <w:gridCol w:w="416"/>
        <w:gridCol w:w="416"/>
        <w:gridCol w:w="416"/>
        <w:gridCol w:w="416"/>
        <w:gridCol w:w="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947"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876"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220"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70"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05"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85"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711"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080"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876"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39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100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88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711"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24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16"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16"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876" w:type="dxa"/>
            <w:vMerge w:val="continue"/>
            <w:noWrap w:val="0"/>
            <w:vAlign w:val="center"/>
          </w:tcPr>
          <w:p>
            <w:pPr>
              <w:autoSpaceDN w:val="0"/>
              <w:jc w:val="center"/>
              <w:textAlignment w:val="center"/>
              <w:rPr>
                <w:rFonts w:ascii="Calibri" w:hAnsi="Calibri" w:eastAsia="华文细黑"/>
                <w:color w:val="000000"/>
                <w:sz w:val="20"/>
                <w:szCs w:val="22"/>
              </w:rPr>
            </w:pPr>
          </w:p>
        </w:tc>
        <w:tc>
          <w:tcPr>
            <w:tcW w:w="1220"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70"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1005" w:type="dxa"/>
            <w:vMerge w:val="continue"/>
            <w:noWrap w:val="0"/>
            <w:vAlign w:val="center"/>
          </w:tcPr>
          <w:p>
            <w:pPr>
              <w:autoSpaceDN w:val="0"/>
              <w:jc w:val="center"/>
              <w:textAlignment w:val="center"/>
              <w:rPr>
                <w:rFonts w:ascii="Calibri" w:hAnsi="Calibri" w:eastAsia="华文细黑"/>
                <w:color w:val="000000"/>
                <w:sz w:val="20"/>
                <w:szCs w:val="22"/>
              </w:rPr>
            </w:pPr>
          </w:p>
        </w:tc>
        <w:tc>
          <w:tcPr>
            <w:tcW w:w="885" w:type="dxa"/>
            <w:vMerge w:val="continue"/>
            <w:noWrap w:val="0"/>
            <w:vAlign w:val="center"/>
          </w:tcPr>
          <w:p>
            <w:pPr>
              <w:autoSpaceDN w:val="0"/>
              <w:jc w:val="center"/>
              <w:textAlignment w:val="center"/>
              <w:rPr>
                <w:rFonts w:ascii="Calibri" w:hAnsi="Calibri" w:eastAsia="华文细黑"/>
                <w:color w:val="000000"/>
                <w:sz w:val="20"/>
                <w:szCs w:val="22"/>
              </w:rPr>
            </w:pPr>
          </w:p>
        </w:tc>
        <w:tc>
          <w:tcPr>
            <w:tcW w:w="855"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440"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16"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416"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16"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16"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16"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16"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2" w:hRule="exact"/>
          <w:jc w:val="center"/>
        </w:trPr>
        <w:tc>
          <w:tcPr>
            <w:tcW w:w="876" w:type="dxa"/>
            <w:noWrap w:val="0"/>
            <w:vAlign w:val="center"/>
          </w:tcPr>
          <w:p>
            <w:pPr>
              <w:spacing w:line="240" w:lineRule="auto"/>
              <w:jc w:val="both"/>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专项业务支出</w:t>
            </w:r>
          </w:p>
        </w:tc>
        <w:tc>
          <w:tcPr>
            <w:tcW w:w="1220" w:type="dxa"/>
            <w:noWrap w:val="0"/>
            <w:vAlign w:val="center"/>
          </w:tcPr>
          <w:p>
            <w:pPr>
              <w:spacing w:line="240" w:lineRule="auto"/>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政法委2024年驻村工作队生活补贴</w:t>
            </w:r>
          </w:p>
        </w:tc>
        <w:tc>
          <w:tcPr>
            <w:tcW w:w="1170" w:type="dxa"/>
            <w:noWrap w:val="0"/>
            <w:vAlign w:val="center"/>
          </w:tcPr>
          <w:p>
            <w:pPr>
              <w:spacing w:line="240" w:lineRule="auto"/>
              <w:jc w:val="center"/>
              <w:rPr>
                <w:rFonts w:hint="eastAsia" w:ascii="宋体" w:hAnsi="宋体" w:eastAsia="宋体" w:cs="宋体"/>
                <w:kern w:val="0"/>
                <w:sz w:val="20"/>
                <w:szCs w:val="20"/>
              </w:rPr>
            </w:pPr>
            <w:r>
              <w:rPr>
                <w:rFonts w:hint="eastAsia" w:ascii="宋体" w:hAnsi="宋体" w:eastAsia="宋体" w:cs="宋体"/>
                <w:kern w:val="0"/>
                <w:sz w:val="20"/>
                <w:szCs w:val="20"/>
                <w:lang w:val="en-US" w:eastAsia="zh-CN"/>
              </w:rPr>
              <w:t>政法委2024年驻村工作队生活补贴</w:t>
            </w:r>
          </w:p>
        </w:tc>
        <w:tc>
          <w:tcPr>
            <w:tcW w:w="1005" w:type="dxa"/>
            <w:noWrap w:val="0"/>
            <w:vAlign w:val="center"/>
          </w:tcPr>
          <w:p>
            <w:pPr>
              <w:spacing w:line="240" w:lineRule="auto"/>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中共通榆县委政法委员会</w:t>
            </w:r>
          </w:p>
        </w:tc>
        <w:tc>
          <w:tcPr>
            <w:tcW w:w="885" w:type="dxa"/>
            <w:noWrap w:val="0"/>
            <w:vAlign w:val="center"/>
          </w:tcPr>
          <w:p>
            <w:pPr>
              <w:spacing w:line="240" w:lineRule="auto"/>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10.80</w:t>
            </w:r>
          </w:p>
        </w:tc>
        <w:tc>
          <w:tcPr>
            <w:tcW w:w="855" w:type="dxa"/>
            <w:noWrap w:val="0"/>
            <w:vAlign w:val="center"/>
          </w:tcPr>
          <w:p>
            <w:pPr>
              <w:spacing w:line="240" w:lineRule="auto"/>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10.80</w:t>
            </w:r>
          </w:p>
        </w:tc>
        <w:tc>
          <w:tcPr>
            <w:tcW w:w="440" w:type="dxa"/>
            <w:noWrap w:val="0"/>
            <w:vAlign w:val="center"/>
          </w:tcPr>
          <w:p>
            <w:pPr>
              <w:spacing w:line="240" w:lineRule="auto"/>
              <w:jc w:val="center"/>
              <w:rPr>
                <w:rFonts w:hint="eastAsia" w:ascii="宋体" w:hAnsi="宋体" w:eastAsia="宋体" w:cs="宋体"/>
                <w:kern w:val="0"/>
                <w:sz w:val="20"/>
                <w:szCs w:val="20"/>
              </w:rPr>
            </w:pPr>
          </w:p>
        </w:tc>
        <w:tc>
          <w:tcPr>
            <w:tcW w:w="416" w:type="dxa"/>
            <w:noWrap w:val="0"/>
            <w:vAlign w:val="center"/>
          </w:tcPr>
          <w:p>
            <w:pPr>
              <w:spacing w:line="240" w:lineRule="auto"/>
              <w:jc w:val="center"/>
              <w:rPr>
                <w:rFonts w:hint="eastAsia" w:ascii="宋体" w:hAnsi="宋体" w:eastAsia="宋体" w:cs="宋体"/>
                <w:kern w:val="0"/>
                <w:sz w:val="20"/>
                <w:szCs w:val="20"/>
              </w:rPr>
            </w:pPr>
          </w:p>
        </w:tc>
        <w:tc>
          <w:tcPr>
            <w:tcW w:w="416" w:type="dxa"/>
            <w:noWrap w:val="0"/>
            <w:vAlign w:val="center"/>
          </w:tcPr>
          <w:p>
            <w:pPr>
              <w:spacing w:line="240" w:lineRule="auto"/>
              <w:jc w:val="center"/>
              <w:rPr>
                <w:rFonts w:hint="eastAsia" w:ascii="宋体" w:hAnsi="宋体" w:eastAsia="宋体" w:cs="宋体"/>
                <w:kern w:val="0"/>
                <w:sz w:val="20"/>
                <w:szCs w:val="20"/>
              </w:rPr>
            </w:pPr>
          </w:p>
        </w:tc>
        <w:tc>
          <w:tcPr>
            <w:tcW w:w="416" w:type="dxa"/>
            <w:noWrap w:val="0"/>
            <w:vAlign w:val="center"/>
          </w:tcPr>
          <w:p>
            <w:pPr>
              <w:spacing w:line="240" w:lineRule="auto"/>
              <w:jc w:val="center"/>
              <w:rPr>
                <w:rFonts w:hint="eastAsia" w:ascii="宋体" w:hAnsi="宋体" w:eastAsia="宋体" w:cs="宋体"/>
                <w:kern w:val="0"/>
                <w:sz w:val="20"/>
                <w:szCs w:val="20"/>
              </w:rPr>
            </w:pPr>
          </w:p>
        </w:tc>
        <w:tc>
          <w:tcPr>
            <w:tcW w:w="416" w:type="dxa"/>
            <w:noWrap w:val="0"/>
            <w:vAlign w:val="center"/>
          </w:tcPr>
          <w:p>
            <w:pPr>
              <w:spacing w:line="240" w:lineRule="auto"/>
              <w:jc w:val="center"/>
              <w:rPr>
                <w:rFonts w:hint="eastAsia" w:ascii="宋体" w:hAnsi="宋体" w:eastAsia="宋体" w:cs="宋体"/>
                <w:kern w:val="0"/>
                <w:sz w:val="20"/>
                <w:szCs w:val="20"/>
              </w:rPr>
            </w:pPr>
          </w:p>
        </w:tc>
        <w:tc>
          <w:tcPr>
            <w:tcW w:w="416" w:type="dxa"/>
            <w:noWrap w:val="0"/>
            <w:vAlign w:val="center"/>
          </w:tcPr>
          <w:p>
            <w:pPr>
              <w:spacing w:line="240" w:lineRule="auto"/>
              <w:jc w:val="center"/>
              <w:rPr>
                <w:rFonts w:hint="eastAsia" w:ascii="宋体" w:hAnsi="宋体" w:eastAsia="宋体" w:cs="宋体"/>
                <w:kern w:val="0"/>
                <w:sz w:val="20"/>
                <w:szCs w:val="20"/>
              </w:rPr>
            </w:pPr>
          </w:p>
        </w:tc>
        <w:tc>
          <w:tcPr>
            <w:tcW w:w="416" w:type="dxa"/>
            <w:noWrap w:val="0"/>
            <w:vAlign w:val="center"/>
          </w:tcPr>
          <w:p>
            <w:pPr>
              <w:spacing w:line="240" w:lineRule="auto"/>
              <w:jc w:val="center"/>
              <w:rPr>
                <w:rFonts w:hint="eastAsia" w:ascii="宋体" w:hAnsi="宋体" w:eastAsia="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0" w:hRule="exact"/>
          <w:jc w:val="center"/>
        </w:trPr>
        <w:tc>
          <w:tcPr>
            <w:tcW w:w="876" w:type="dxa"/>
            <w:noWrap w:val="0"/>
            <w:vAlign w:val="center"/>
          </w:tcPr>
          <w:p>
            <w:pPr>
              <w:spacing w:line="240" w:lineRule="auto"/>
              <w:jc w:val="both"/>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专项业务支出</w:t>
            </w:r>
          </w:p>
        </w:tc>
        <w:tc>
          <w:tcPr>
            <w:tcW w:w="1220" w:type="dxa"/>
            <w:noWrap w:val="0"/>
            <w:vAlign w:val="center"/>
          </w:tcPr>
          <w:p>
            <w:pPr>
              <w:tabs>
                <w:tab w:val="left" w:pos="224"/>
              </w:tabs>
              <w:spacing w:line="240" w:lineRule="auto"/>
              <w:jc w:val="left"/>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ab/>
            </w:r>
            <w:r>
              <w:rPr>
                <w:rFonts w:hint="eastAsia" w:ascii="宋体" w:hAnsi="宋体" w:eastAsia="宋体" w:cs="宋体"/>
                <w:kern w:val="0"/>
                <w:sz w:val="20"/>
                <w:szCs w:val="20"/>
                <w:lang w:val="en-US" w:eastAsia="zh-CN"/>
              </w:rPr>
              <w:t>政法委2024年反邪教工作经费</w:t>
            </w:r>
          </w:p>
        </w:tc>
        <w:tc>
          <w:tcPr>
            <w:tcW w:w="1170" w:type="dxa"/>
            <w:noWrap w:val="0"/>
            <w:vAlign w:val="center"/>
          </w:tcPr>
          <w:p>
            <w:pPr>
              <w:spacing w:line="240" w:lineRule="auto"/>
              <w:jc w:val="center"/>
              <w:rPr>
                <w:rFonts w:hint="default" w:ascii="宋体" w:hAnsi="宋体" w:eastAsia="宋体" w:cs="宋体"/>
                <w:kern w:val="0"/>
                <w:sz w:val="20"/>
                <w:szCs w:val="20"/>
                <w:lang w:val="en-US"/>
              </w:rPr>
            </w:pPr>
            <w:r>
              <w:rPr>
                <w:rFonts w:hint="eastAsia" w:ascii="宋体" w:hAnsi="宋体" w:eastAsia="宋体" w:cs="宋体"/>
                <w:kern w:val="0"/>
                <w:sz w:val="20"/>
                <w:szCs w:val="20"/>
                <w:lang w:val="en-US" w:eastAsia="zh-CN"/>
              </w:rPr>
              <w:t>政法委2024年反邪教工作经费</w:t>
            </w:r>
          </w:p>
        </w:tc>
        <w:tc>
          <w:tcPr>
            <w:tcW w:w="1005" w:type="dxa"/>
            <w:noWrap w:val="0"/>
            <w:vAlign w:val="center"/>
          </w:tcPr>
          <w:p>
            <w:pPr>
              <w:spacing w:line="240" w:lineRule="auto"/>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中共通榆县委政法委员会</w:t>
            </w:r>
          </w:p>
        </w:tc>
        <w:tc>
          <w:tcPr>
            <w:tcW w:w="885" w:type="dxa"/>
            <w:noWrap w:val="0"/>
            <w:vAlign w:val="center"/>
          </w:tcPr>
          <w:p>
            <w:pPr>
              <w:spacing w:line="240" w:lineRule="auto"/>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8.00</w:t>
            </w:r>
          </w:p>
        </w:tc>
        <w:tc>
          <w:tcPr>
            <w:tcW w:w="855" w:type="dxa"/>
            <w:noWrap w:val="0"/>
            <w:vAlign w:val="center"/>
          </w:tcPr>
          <w:p>
            <w:pPr>
              <w:spacing w:line="240" w:lineRule="auto"/>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8.00</w:t>
            </w:r>
          </w:p>
        </w:tc>
        <w:tc>
          <w:tcPr>
            <w:tcW w:w="440" w:type="dxa"/>
            <w:noWrap w:val="0"/>
            <w:vAlign w:val="center"/>
          </w:tcPr>
          <w:p>
            <w:pPr>
              <w:spacing w:line="240" w:lineRule="auto"/>
              <w:jc w:val="center"/>
              <w:rPr>
                <w:rFonts w:hint="default" w:ascii="宋体" w:hAnsi="宋体" w:eastAsia="宋体" w:cs="宋体"/>
                <w:kern w:val="0"/>
                <w:sz w:val="20"/>
                <w:szCs w:val="20"/>
                <w:lang w:val="en-US"/>
              </w:rPr>
            </w:pPr>
          </w:p>
        </w:tc>
        <w:tc>
          <w:tcPr>
            <w:tcW w:w="416" w:type="dxa"/>
            <w:noWrap w:val="0"/>
            <w:vAlign w:val="center"/>
          </w:tcPr>
          <w:p>
            <w:pPr>
              <w:spacing w:line="240" w:lineRule="auto"/>
              <w:jc w:val="center"/>
              <w:rPr>
                <w:rFonts w:hint="default" w:ascii="宋体" w:hAnsi="宋体" w:eastAsia="宋体" w:cs="宋体"/>
                <w:kern w:val="0"/>
                <w:sz w:val="20"/>
                <w:szCs w:val="20"/>
                <w:lang w:val="en-US"/>
              </w:rPr>
            </w:pPr>
          </w:p>
        </w:tc>
        <w:tc>
          <w:tcPr>
            <w:tcW w:w="416" w:type="dxa"/>
            <w:noWrap w:val="0"/>
            <w:vAlign w:val="center"/>
          </w:tcPr>
          <w:p>
            <w:pPr>
              <w:spacing w:line="240" w:lineRule="auto"/>
              <w:jc w:val="center"/>
              <w:rPr>
                <w:rFonts w:hint="default" w:ascii="宋体" w:hAnsi="宋体" w:eastAsia="宋体" w:cs="宋体"/>
                <w:kern w:val="0"/>
                <w:sz w:val="20"/>
                <w:szCs w:val="20"/>
                <w:lang w:val="en-US"/>
              </w:rPr>
            </w:pPr>
          </w:p>
        </w:tc>
        <w:tc>
          <w:tcPr>
            <w:tcW w:w="416" w:type="dxa"/>
            <w:noWrap w:val="0"/>
            <w:vAlign w:val="center"/>
          </w:tcPr>
          <w:p>
            <w:pPr>
              <w:spacing w:line="240" w:lineRule="auto"/>
              <w:jc w:val="center"/>
              <w:rPr>
                <w:rFonts w:hint="default" w:ascii="宋体" w:hAnsi="宋体" w:eastAsia="宋体" w:cs="宋体"/>
                <w:kern w:val="0"/>
                <w:sz w:val="20"/>
                <w:szCs w:val="20"/>
                <w:lang w:val="en-US"/>
              </w:rPr>
            </w:pPr>
          </w:p>
        </w:tc>
        <w:tc>
          <w:tcPr>
            <w:tcW w:w="416" w:type="dxa"/>
            <w:noWrap w:val="0"/>
            <w:vAlign w:val="center"/>
          </w:tcPr>
          <w:p>
            <w:pPr>
              <w:spacing w:line="240" w:lineRule="auto"/>
              <w:jc w:val="center"/>
              <w:rPr>
                <w:rFonts w:hint="default" w:ascii="宋体" w:hAnsi="宋体" w:eastAsia="宋体" w:cs="宋体"/>
                <w:kern w:val="0"/>
                <w:sz w:val="20"/>
                <w:szCs w:val="20"/>
                <w:lang w:val="en-US"/>
              </w:rPr>
            </w:pPr>
          </w:p>
        </w:tc>
        <w:tc>
          <w:tcPr>
            <w:tcW w:w="416" w:type="dxa"/>
            <w:noWrap w:val="0"/>
            <w:vAlign w:val="center"/>
          </w:tcPr>
          <w:p>
            <w:pPr>
              <w:spacing w:line="240" w:lineRule="auto"/>
              <w:jc w:val="center"/>
              <w:rPr>
                <w:rFonts w:hint="default" w:ascii="宋体" w:hAnsi="宋体" w:eastAsia="宋体" w:cs="宋体"/>
                <w:kern w:val="0"/>
                <w:sz w:val="20"/>
                <w:szCs w:val="20"/>
                <w:lang w:val="en-US"/>
              </w:rPr>
            </w:pPr>
          </w:p>
        </w:tc>
        <w:tc>
          <w:tcPr>
            <w:tcW w:w="416" w:type="dxa"/>
            <w:noWrap w:val="0"/>
            <w:vAlign w:val="center"/>
          </w:tcPr>
          <w:p>
            <w:pPr>
              <w:spacing w:line="240" w:lineRule="auto"/>
              <w:jc w:val="center"/>
              <w:rPr>
                <w:rFonts w:hint="default" w:ascii="宋体" w:hAnsi="宋体" w:eastAsia="宋体" w:cs="宋体"/>
                <w:kern w:val="0"/>
                <w:sz w:val="20"/>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2" w:hRule="exact"/>
          <w:jc w:val="center"/>
        </w:trPr>
        <w:tc>
          <w:tcPr>
            <w:tcW w:w="876" w:type="dxa"/>
            <w:noWrap w:val="0"/>
            <w:vAlign w:val="center"/>
          </w:tcPr>
          <w:p>
            <w:pPr>
              <w:autoSpaceDN w:val="0"/>
              <w:spacing w:line="240" w:lineRule="auto"/>
              <w:jc w:val="center"/>
              <w:textAlignment w:val="center"/>
              <w:rPr>
                <w:rFonts w:hint="default"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专项业务支出</w:t>
            </w:r>
          </w:p>
        </w:tc>
        <w:tc>
          <w:tcPr>
            <w:tcW w:w="1220" w:type="dxa"/>
            <w:noWrap w:val="0"/>
            <w:vAlign w:val="center"/>
          </w:tcPr>
          <w:p>
            <w:pPr>
              <w:autoSpaceDN w:val="0"/>
              <w:spacing w:line="240" w:lineRule="auto"/>
              <w:jc w:val="center"/>
              <w:textAlignment w:val="center"/>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扫黑除恶工作经费</w:t>
            </w:r>
          </w:p>
        </w:tc>
        <w:tc>
          <w:tcPr>
            <w:tcW w:w="1170" w:type="dxa"/>
            <w:noWrap w:val="0"/>
            <w:vAlign w:val="center"/>
          </w:tcPr>
          <w:p>
            <w:pPr>
              <w:spacing w:line="240" w:lineRule="auto"/>
              <w:jc w:val="center"/>
              <w:rPr>
                <w:rFonts w:hint="eastAsia" w:ascii="宋体" w:hAnsi="宋体" w:eastAsia="宋体" w:cs="宋体"/>
                <w:kern w:val="0"/>
                <w:sz w:val="20"/>
                <w:szCs w:val="20"/>
                <w:lang w:val="en-US" w:eastAsia="zh-CN"/>
              </w:rPr>
            </w:pPr>
            <w:r>
              <w:rPr>
                <w:rFonts w:hint="eastAsia" w:ascii="宋体" w:hAnsi="宋体" w:eastAsia="宋体" w:cs="宋体"/>
                <w:b w:val="0"/>
                <w:bCs w:val="0"/>
                <w:kern w:val="0"/>
                <w:sz w:val="20"/>
                <w:szCs w:val="20"/>
                <w:lang w:val="en-US" w:eastAsia="zh-CN"/>
              </w:rPr>
              <w:t>政法委2024年扫黑除恶工作</w:t>
            </w:r>
            <w:r>
              <w:rPr>
                <w:rFonts w:hint="eastAsia" w:ascii="宋体" w:hAnsi="宋体" w:eastAsia="宋体" w:cs="宋体"/>
                <w:kern w:val="0"/>
                <w:sz w:val="20"/>
                <w:szCs w:val="20"/>
                <w:lang w:val="en-US" w:eastAsia="zh-CN"/>
              </w:rPr>
              <w:t>经费</w:t>
            </w:r>
          </w:p>
        </w:tc>
        <w:tc>
          <w:tcPr>
            <w:tcW w:w="1005" w:type="dxa"/>
            <w:noWrap w:val="0"/>
            <w:vAlign w:val="center"/>
          </w:tcPr>
          <w:p>
            <w:pPr>
              <w:spacing w:line="240" w:lineRule="auto"/>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中共通榆县委政法委员会</w:t>
            </w:r>
          </w:p>
        </w:tc>
        <w:tc>
          <w:tcPr>
            <w:tcW w:w="885" w:type="dxa"/>
            <w:noWrap w:val="0"/>
            <w:vAlign w:val="center"/>
          </w:tcPr>
          <w:p>
            <w:pPr>
              <w:spacing w:line="240" w:lineRule="auto"/>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20.00</w:t>
            </w:r>
          </w:p>
        </w:tc>
        <w:tc>
          <w:tcPr>
            <w:tcW w:w="855" w:type="dxa"/>
            <w:noWrap w:val="0"/>
            <w:vAlign w:val="center"/>
          </w:tcPr>
          <w:p>
            <w:pPr>
              <w:spacing w:line="240" w:lineRule="auto"/>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20.00</w:t>
            </w:r>
          </w:p>
        </w:tc>
        <w:tc>
          <w:tcPr>
            <w:tcW w:w="440" w:type="dxa"/>
            <w:noWrap w:val="0"/>
            <w:vAlign w:val="center"/>
          </w:tcPr>
          <w:p>
            <w:pPr>
              <w:spacing w:line="240" w:lineRule="auto"/>
              <w:jc w:val="center"/>
              <w:rPr>
                <w:rFonts w:hint="eastAsia" w:ascii="宋体" w:hAnsi="宋体" w:eastAsia="宋体" w:cs="宋体"/>
                <w:kern w:val="0"/>
                <w:sz w:val="20"/>
                <w:szCs w:val="20"/>
              </w:rPr>
            </w:pPr>
          </w:p>
        </w:tc>
        <w:tc>
          <w:tcPr>
            <w:tcW w:w="416" w:type="dxa"/>
            <w:noWrap w:val="0"/>
            <w:vAlign w:val="center"/>
          </w:tcPr>
          <w:p>
            <w:pPr>
              <w:spacing w:line="240" w:lineRule="auto"/>
              <w:jc w:val="center"/>
              <w:rPr>
                <w:rFonts w:hint="eastAsia" w:ascii="宋体" w:hAnsi="宋体" w:eastAsia="宋体" w:cs="宋体"/>
                <w:kern w:val="0"/>
                <w:sz w:val="20"/>
                <w:szCs w:val="20"/>
              </w:rPr>
            </w:pPr>
          </w:p>
        </w:tc>
        <w:tc>
          <w:tcPr>
            <w:tcW w:w="416" w:type="dxa"/>
            <w:noWrap w:val="0"/>
            <w:vAlign w:val="center"/>
          </w:tcPr>
          <w:p>
            <w:pPr>
              <w:spacing w:line="240" w:lineRule="auto"/>
              <w:jc w:val="center"/>
              <w:rPr>
                <w:rFonts w:hint="eastAsia" w:ascii="宋体" w:hAnsi="宋体" w:eastAsia="宋体" w:cs="宋体"/>
                <w:kern w:val="0"/>
                <w:sz w:val="20"/>
                <w:szCs w:val="20"/>
              </w:rPr>
            </w:pPr>
          </w:p>
        </w:tc>
        <w:tc>
          <w:tcPr>
            <w:tcW w:w="416" w:type="dxa"/>
            <w:noWrap w:val="0"/>
            <w:vAlign w:val="center"/>
          </w:tcPr>
          <w:p>
            <w:pPr>
              <w:spacing w:line="240" w:lineRule="auto"/>
              <w:jc w:val="center"/>
              <w:rPr>
                <w:rFonts w:hint="eastAsia" w:ascii="宋体" w:hAnsi="宋体" w:eastAsia="宋体" w:cs="宋体"/>
                <w:kern w:val="0"/>
                <w:sz w:val="20"/>
                <w:szCs w:val="20"/>
              </w:rPr>
            </w:pPr>
          </w:p>
        </w:tc>
        <w:tc>
          <w:tcPr>
            <w:tcW w:w="416" w:type="dxa"/>
            <w:noWrap w:val="0"/>
            <w:vAlign w:val="center"/>
          </w:tcPr>
          <w:p>
            <w:pPr>
              <w:spacing w:line="240" w:lineRule="auto"/>
              <w:jc w:val="center"/>
              <w:rPr>
                <w:rFonts w:hint="eastAsia" w:ascii="宋体" w:hAnsi="宋体" w:eastAsia="宋体" w:cs="宋体"/>
                <w:kern w:val="0"/>
                <w:sz w:val="20"/>
                <w:szCs w:val="20"/>
              </w:rPr>
            </w:pPr>
          </w:p>
        </w:tc>
        <w:tc>
          <w:tcPr>
            <w:tcW w:w="416" w:type="dxa"/>
            <w:noWrap w:val="0"/>
            <w:vAlign w:val="center"/>
          </w:tcPr>
          <w:p>
            <w:pPr>
              <w:spacing w:line="240" w:lineRule="auto"/>
              <w:jc w:val="center"/>
              <w:rPr>
                <w:rFonts w:hint="eastAsia" w:ascii="宋体" w:hAnsi="宋体" w:eastAsia="宋体" w:cs="宋体"/>
                <w:kern w:val="0"/>
                <w:sz w:val="20"/>
                <w:szCs w:val="20"/>
              </w:rPr>
            </w:pPr>
          </w:p>
        </w:tc>
        <w:tc>
          <w:tcPr>
            <w:tcW w:w="416" w:type="dxa"/>
            <w:noWrap w:val="0"/>
            <w:vAlign w:val="center"/>
          </w:tcPr>
          <w:p>
            <w:pPr>
              <w:spacing w:line="240" w:lineRule="auto"/>
              <w:jc w:val="center"/>
              <w:rPr>
                <w:rFonts w:hint="eastAsia" w:ascii="宋体" w:hAnsi="宋体" w:eastAsia="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exact"/>
          <w:jc w:val="center"/>
        </w:trPr>
        <w:tc>
          <w:tcPr>
            <w:tcW w:w="876" w:type="dxa"/>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合计</w:t>
            </w:r>
          </w:p>
        </w:tc>
        <w:tc>
          <w:tcPr>
            <w:tcW w:w="1220" w:type="dxa"/>
            <w:noWrap w:val="0"/>
            <w:vAlign w:val="center"/>
          </w:tcPr>
          <w:p>
            <w:pPr>
              <w:autoSpaceDN w:val="0"/>
              <w:jc w:val="center"/>
              <w:textAlignment w:val="center"/>
              <w:rPr>
                <w:rFonts w:hint="eastAsia" w:ascii="宋体" w:hAnsi="宋体" w:eastAsia="宋体" w:cs="宋体"/>
                <w:color w:val="000000"/>
                <w:sz w:val="20"/>
                <w:szCs w:val="20"/>
              </w:rPr>
            </w:pPr>
          </w:p>
        </w:tc>
        <w:tc>
          <w:tcPr>
            <w:tcW w:w="1170" w:type="dxa"/>
            <w:noWrap w:val="0"/>
            <w:vAlign w:val="center"/>
          </w:tcPr>
          <w:p>
            <w:pPr>
              <w:spacing w:line="700" w:lineRule="exact"/>
              <w:jc w:val="center"/>
              <w:rPr>
                <w:rFonts w:hint="eastAsia" w:ascii="宋体" w:hAnsi="宋体" w:eastAsia="宋体" w:cs="宋体"/>
                <w:kern w:val="0"/>
                <w:sz w:val="20"/>
                <w:szCs w:val="20"/>
              </w:rPr>
            </w:pPr>
          </w:p>
        </w:tc>
        <w:tc>
          <w:tcPr>
            <w:tcW w:w="1005" w:type="dxa"/>
            <w:noWrap w:val="0"/>
            <w:vAlign w:val="center"/>
          </w:tcPr>
          <w:p>
            <w:pPr>
              <w:spacing w:line="700" w:lineRule="exact"/>
              <w:jc w:val="center"/>
              <w:rPr>
                <w:rFonts w:hint="eastAsia" w:ascii="宋体" w:hAnsi="宋体" w:eastAsia="宋体" w:cs="宋体"/>
                <w:kern w:val="0"/>
                <w:sz w:val="20"/>
                <w:szCs w:val="20"/>
              </w:rPr>
            </w:pPr>
          </w:p>
        </w:tc>
        <w:tc>
          <w:tcPr>
            <w:tcW w:w="885" w:type="dxa"/>
            <w:noWrap w:val="0"/>
            <w:vAlign w:val="center"/>
          </w:tcPr>
          <w:p>
            <w:pPr>
              <w:spacing w:line="700" w:lineRule="exact"/>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38.80</w:t>
            </w:r>
          </w:p>
        </w:tc>
        <w:tc>
          <w:tcPr>
            <w:tcW w:w="855" w:type="dxa"/>
            <w:noWrap w:val="0"/>
            <w:vAlign w:val="center"/>
          </w:tcPr>
          <w:p>
            <w:pPr>
              <w:spacing w:line="700" w:lineRule="exact"/>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38.80</w:t>
            </w:r>
          </w:p>
        </w:tc>
        <w:tc>
          <w:tcPr>
            <w:tcW w:w="440" w:type="dxa"/>
            <w:noWrap w:val="0"/>
            <w:vAlign w:val="center"/>
          </w:tcPr>
          <w:p>
            <w:pPr>
              <w:spacing w:line="700" w:lineRule="exact"/>
              <w:jc w:val="center"/>
              <w:rPr>
                <w:rFonts w:hint="eastAsia" w:ascii="宋体" w:hAnsi="宋体" w:eastAsia="宋体" w:cs="宋体"/>
                <w:kern w:val="0"/>
                <w:sz w:val="20"/>
                <w:szCs w:val="20"/>
              </w:rPr>
            </w:pPr>
          </w:p>
        </w:tc>
        <w:tc>
          <w:tcPr>
            <w:tcW w:w="416" w:type="dxa"/>
            <w:noWrap w:val="0"/>
            <w:vAlign w:val="center"/>
          </w:tcPr>
          <w:p>
            <w:pPr>
              <w:spacing w:line="700" w:lineRule="exact"/>
              <w:jc w:val="center"/>
              <w:rPr>
                <w:rFonts w:hint="eastAsia" w:ascii="宋体" w:hAnsi="宋体" w:eastAsia="宋体" w:cs="宋体"/>
                <w:kern w:val="0"/>
                <w:sz w:val="20"/>
                <w:szCs w:val="20"/>
              </w:rPr>
            </w:pPr>
          </w:p>
        </w:tc>
        <w:tc>
          <w:tcPr>
            <w:tcW w:w="416" w:type="dxa"/>
            <w:noWrap w:val="0"/>
            <w:vAlign w:val="center"/>
          </w:tcPr>
          <w:p>
            <w:pPr>
              <w:spacing w:line="700" w:lineRule="exact"/>
              <w:jc w:val="center"/>
              <w:rPr>
                <w:rFonts w:hint="eastAsia" w:ascii="宋体" w:hAnsi="宋体" w:eastAsia="宋体" w:cs="宋体"/>
                <w:kern w:val="0"/>
                <w:sz w:val="20"/>
                <w:szCs w:val="20"/>
              </w:rPr>
            </w:pPr>
          </w:p>
        </w:tc>
        <w:tc>
          <w:tcPr>
            <w:tcW w:w="416" w:type="dxa"/>
            <w:noWrap w:val="0"/>
            <w:vAlign w:val="center"/>
          </w:tcPr>
          <w:p>
            <w:pPr>
              <w:spacing w:line="700" w:lineRule="exact"/>
              <w:jc w:val="center"/>
              <w:rPr>
                <w:rFonts w:hint="eastAsia" w:ascii="宋体" w:hAnsi="宋体" w:eastAsia="宋体" w:cs="宋体"/>
                <w:kern w:val="0"/>
                <w:sz w:val="20"/>
                <w:szCs w:val="20"/>
              </w:rPr>
            </w:pPr>
          </w:p>
        </w:tc>
        <w:tc>
          <w:tcPr>
            <w:tcW w:w="416" w:type="dxa"/>
            <w:noWrap w:val="0"/>
            <w:vAlign w:val="center"/>
          </w:tcPr>
          <w:p>
            <w:pPr>
              <w:spacing w:line="700" w:lineRule="exact"/>
              <w:jc w:val="center"/>
              <w:rPr>
                <w:rFonts w:hint="eastAsia" w:ascii="宋体" w:hAnsi="宋体" w:eastAsia="宋体" w:cs="宋体"/>
                <w:kern w:val="0"/>
                <w:sz w:val="20"/>
                <w:szCs w:val="20"/>
              </w:rPr>
            </w:pPr>
          </w:p>
        </w:tc>
        <w:tc>
          <w:tcPr>
            <w:tcW w:w="416" w:type="dxa"/>
            <w:noWrap w:val="0"/>
            <w:vAlign w:val="center"/>
          </w:tcPr>
          <w:p>
            <w:pPr>
              <w:spacing w:line="700" w:lineRule="exact"/>
              <w:jc w:val="center"/>
              <w:rPr>
                <w:rFonts w:hint="eastAsia" w:ascii="宋体" w:hAnsi="宋体" w:eastAsia="宋体" w:cs="宋体"/>
                <w:kern w:val="0"/>
                <w:sz w:val="20"/>
                <w:szCs w:val="20"/>
              </w:rPr>
            </w:pPr>
          </w:p>
        </w:tc>
        <w:tc>
          <w:tcPr>
            <w:tcW w:w="416" w:type="dxa"/>
            <w:noWrap w:val="0"/>
            <w:vAlign w:val="center"/>
          </w:tcPr>
          <w:p>
            <w:pPr>
              <w:spacing w:line="700" w:lineRule="exact"/>
              <w:jc w:val="center"/>
              <w:rPr>
                <w:rFonts w:hint="eastAsia" w:ascii="宋体" w:hAnsi="宋体" w:eastAsia="宋体" w:cs="宋体"/>
                <w:kern w:val="0"/>
                <w:sz w:val="20"/>
                <w:szCs w:val="20"/>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政法委2024年驻村工作对生活补贴</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10.80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10.80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val="en-US" w:eastAsia="zh-CN"/>
              </w:rPr>
              <w:t>审核</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王新强1-12月发放驻村生活补贴3.60万元；</w:t>
            </w:r>
          </w:p>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王玉新1-12月发放驻村生活补贴3.60万元；</w:t>
            </w:r>
          </w:p>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董晓宝1-12月发放驻村生活补贴3.60万元；</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9"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vMerge w:val="restart"/>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驻村工作队人数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=3人</w:t>
            </w:r>
          </w:p>
        </w:tc>
      </w:tr>
      <w:tr>
        <w:tblPrEx>
          <w:tblCellMar>
            <w:top w:w="15" w:type="dxa"/>
            <w:left w:w="15" w:type="dxa"/>
            <w:bottom w:w="15" w:type="dxa"/>
            <w:right w:w="15" w:type="dxa"/>
          </w:tblCellMar>
        </w:tblPrEx>
        <w:trPr>
          <w:trHeight w:val="399"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驻村天数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=630天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工作任务完成率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生活补贴标准</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=100元/人/天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驻村补贴发放及时率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537"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人民群众生活水平率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驻村工作队员满意度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≥95%</w:t>
            </w: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tbl>
      <w:tblPr>
        <w:tblStyle w:val="9"/>
        <w:tblpPr w:leftFromText="180" w:rightFromText="180" w:vertAnchor="text" w:horzAnchor="page" w:tblpX="1217" w:tblpY="483"/>
        <w:tblOverlap w:val="never"/>
        <w:tblW w:w="9170" w:type="dxa"/>
        <w:tblInd w:w="0" w:type="dxa"/>
        <w:tblLayout w:type="fixed"/>
        <w:tblCellMar>
          <w:top w:w="15" w:type="dxa"/>
          <w:left w:w="15" w:type="dxa"/>
          <w:bottom w:w="15" w:type="dxa"/>
          <w:right w:w="15" w:type="dxa"/>
        </w:tblCellMar>
      </w:tblPr>
      <w:tblGrid>
        <w:gridCol w:w="1069"/>
        <w:gridCol w:w="1763"/>
        <w:gridCol w:w="2043"/>
        <w:gridCol w:w="2540"/>
        <w:gridCol w:w="1755"/>
      </w:tblGrid>
      <w:tr>
        <w:tblPrEx>
          <w:tblCellMar>
            <w:top w:w="15" w:type="dxa"/>
            <w:left w:w="15" w:type="dxa"/>
            <w:bottom w:w="15" w:type="dxa"/>
            <w:right w:w="15" w:type="dxa"/>
          </w:tblCellMar>
        </w:tblPrEx>
        <w:trPr>
          <w:trHeight w:val="390" w:hRule="atLeast"/>
        </w:trPr>
        <w:tc>
          <w:tcPr>
            <w:tcW w:w="9170"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295"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政法委2024年反邪教工作经费</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295"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rPr>
              <w:t>年度资金总额</w:t>
            </w:r>
          </w:p>
        </w:tc>
        <w:tc>
          <w:tcPr>
            <w:tcW w:w="4295"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8.00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295"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8.00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val="en-US" w:eastAsia="zh-CN"/>
              </w:rPr>
              <w:t>审核</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295"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101"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申请用于2024年度反邪教工作经费8.00万元。</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54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9"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vMerge w:val="restart"/>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54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宣传手册印刷数量</w:t>
            </w: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≥10000册</w:t>
            </w:r>
          </w:p>
        </w:tc>
      </w:tr>
      <w:tr>
        <w:tblPrEx>
          <w:tblCellMar>
            <w:top w:w="15" w:type="dxa"/>
            <w:left w:w="15" w:type="dxa"/>
            <w:bottom w:w="15" w:type="dxa"/>
            <w:right w:w="15" w:type="dxa"/>
          </w:tblCellMar>
        </w:tblPrEx>
        <w:trPr>
          <w:trHeight w:val="399"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54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宣传单印刷数量</w:t>
            </w: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≥50000张</w:t>
            </w:r>
          </w:p>
        </w:tc>
      </w:tr>
      <w:tr>
        <w:tblPrEx>
          <w:tblCellMar>
            <w:top w:w="15" w:type="dxa"/>
            <w:left w:w="15" w:type="dxa"/>
            <w:bottom w:w="15" w:type="dxa"/>
            <w:right w:w="15" w:type="dxa"/>
          </w:tblCellMar>
        </w:tblPrEx>
        <w:trPr>
          <w:trHeight w:val="399"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54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宣传展板绘制数量</w:t>
            </w: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≥50块</w:t>
            </w:r>
          </w:p>
        </w:tc>
      </w:tr>
      <w:tr>
        <w:tblPrEx>
          <w:tblCellMar>
            <w:top w:w="15" w:type="dxa"/>
            <w:left w:w="15" w:type="dxa"/>
            <w:bottom w:w="15" w:type="dxa"/>
            <w:right w:w="15" w:type="dxa"/>
          </w:tblCellMar>
        </w:tblPrEx>
        <w:trPr>
          <w:trHeight w:val="399"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54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笔记本印制数量</w:t>
            </w: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≥50000本</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54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反邪教工作宣传普及率</w:t>
            </w: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restart"/>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54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宣传手册单价</w:t>
            </w: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tabs>
                <w:tab w:val="center" w:pos="1241"/>
                <w:tab w:val="right" w:pos="2362"/>
              </w:tabs>
              <w:autoSpaceDN w:val="0"/>
              <w:jc w:val="left"/>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ab/>
            </w:r>
            <w:r>
              <w:rPr>
                <w:rFonts w:hint="eastAsia" w:ascii="宋体" w:hAnsi="宋体" w:eastAsia="宋体" w:cs="宋体"/>
                <w:color w:val="000000"/>
                <w:sz w:val="20"/>
                <w:lang w:val="en-US" w:eastAsia="zh-CN"/>
              </w:rPr>
              <w:t>≤3.90元/册</w:t>
            </w:r>
            <w:r>
              <w:rPr>
                <w:rFonts w:hint="eastAsia" w:ascii="宋体" w:hAnsi="宋体" w:eastAsia="宋体" w:cs="宋体"/>
                <w:color w:val="000000"/>
                <w:sz w:val="20"/>
                <w:lang w:val="en-US" w:eastAsia="zh-CN"/>
              </w:rPr>
              <w:tab/>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54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宣传单单价</w:t>
            </w: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autoSpaceDN w:val="0"/>
              <w:ind w:firstLine="800" w:firstLineChars="400"/>
              <w:jc w:val="both"/>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≤0.10元/张</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54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宣传展板单价</w:t>
            </w: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≤350元/块</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54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笔记本单价</w:t>
            </w: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≤3.70元/本</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54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反邪教工作经费拨付及时率</w:t>
            </w: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54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537"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54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人民群众对反邪教政策知晓率</w:t>
            </w: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54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54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54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人民群众满意度</w:t>
            </w: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≥99%</w:t>
            </w:r>
          </w:p>
        </w:tc>
      </w:tr>
      <w:tr>
        <w:tblPrEx>
          <w:tblCellMar>
            <w:top w:w="15" w:type="dxa"/>
            <w:left w:w="15" w:type="dxa"/>
            <w:bottom w:w="15" w:type="dxa"/>
            <w:right w:w="15" w:type="dxa"/>
          </w:tblCellMar>
        </w:tblPrEx>
        <w:trPr>
          <w:trHeight w:val="390" w:hRule="atLeast"/>
        </w:trPr>
        <w:tc>
          <w:tcPr>
            <w:tcW w:w="9170" w:type="dxa"/>
            <w:gridSpan w:val="5"/>
            <w:noWrap w:val="0"/>
            <w:vAlign w:val="center"/>
          </w:tcPr>
          <w:p>
            <w:pPr>
              <w:widowControl/>
              <w:jc w:val="center"/>
              <w:textAlignment w:val="center"/>
              <w:rPr>
                <w:rFonts w:hint="eastAsia" w:eastAsia="方正小标宋简体"/>
                <w:kern w:val="0"/>
                <w:sz w:val="36"/>
                <w:szCs w:val="36"/>
              </w:rPr>
            </w:pPr>
          </w:p>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295"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扫黑除恶工作经费</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295"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rPr>
              <w:t>年度资金总额</w:t>
            </w:r>
          </w:p>
        </w:tc>
        <w:tc>
          <w:tcPr>
            <w:tcW w:w="4295"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20.00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295"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20.00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val="en-US" w:eastAsia="zh-CN"/>
              </w:rPr>
              <w:t>审核</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295"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p>
        </w:tc>
      </w:tr>
      <w:tr>
        <w:tblPrEx>
          <w:tblCellMar>
            <w:top w:w="15" w:type="dxa"/>
            <w:left w:w="15" w:type="dxa"/>
            <w:bottom w:w="15" w:type="dxa"/>
            <w:right w:w="15" w:type="dxa"/>
          </w:tblCellMar>
        </w:tblPrEx>
        <w:trPr>
          <w:trHeight w:val="84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101"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申请用于2024年度扫黑除恶工作经费20.00万元。</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54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9"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vMerge w:val="restart"/>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54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印制扫黑除恶宣传手册数量</w:t>
            </w: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≥4000册</w:t>
            </w:r>
          </w:p>
        </w:tc>
      </w:tr>
      <w:tr>
        <w:tblPrEx>
          <w:tblCellMar>
            <w:top w:w="15" w:type="dxa"/>
            <w:left w:w="15" w:type="dxa"/>
            <w:bottom w:w="15" w:type="dxa"/>
            <w:right w:w="15" w:type="dxa"/>
          </w:tblCellMar>
        </w:tblPrEx>
        <w:trPr>
          <w:trHeight w:val="399"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54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制作扫黑除恶宣传微视频数量</w:t>
            </w: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≥3篇</w:t>
            </w:r>
          </w:p>
        </w:tc>
      </w:tr>
      <w:tr>
        <w:tblPrEx>
          <w:tblCellMar>
            <w:top w:w="15" w:type="dxa"/>
            <w:left w:w="15" w:type="dxa"/>
            <w:bottom w:w="15" w:type="dxa"/>
            <w:right w:w="15" w:type="dxa"/>
          </w:tblCellMar>
        </w:tblPrEx>
        <w:trPr>
          <w:trHeight w:val="399"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54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开展扫黑除恶督导工作次数</w:t>
            </w: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≥25次</w:t>
            </w:r>
          </w:p>
        </w:tc>
      </w:tr>
      <w:tr>
        <w:tblPrEx>
          <w:tblCellMar>
            <w:top w:w="15" w:type="dxa"/>
            <w:left w:w="15" w:type="dxa"/>
            <w:bottom w:w="15" w:type="dxa"/>
            <w:right w:w="15" w:type="dxa"/>
          </w:tblCellMar>
        </w:tblPrEx>
        <w:trPr>
          <w:trHeight w:val="399"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54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开展扫黑除恶日常工作（水电办公用品等）支出次数</w:t>
            </w: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≥5次</w:t>
            </w:r>
          </w:p>
        </w:tc>
      </w:tr>
      <w:tr>
        <w:tblPrEx>
          <w:tblCellMar>
            <w:top w:w="15" w:type="dxa"/>
            <w:left w:w="15" w:type="dxa"/>
            <w:bottom w:w="15" w:type="dxa"/>
            <w:right w:w="15" w:type="dxa"/>
          </w:tblCellMar>
        </w:tblPrEx>
        <w:trPr>
          <w:trHeight w:val="399"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54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修缮办公用房面积</w:t>
            </w: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≥400平</w:t>
            </w:r>
          </w:p>
        </w:tc>
      </w:tr>
      <w:tr>
        <w:tblPrEx>
          <w:tblCellMar>
            <w:top w:w="15" w:type="dxa"/>
            <w:left w:w="15" w:type="dxa"/>
            <w:bottom w:w="15" w:type="dxa"/>
            <w:right w:w="15" w:type="dxa"/>
          </w:tblCellMar>
        </w:tblPrEx>
        <w:trPr>
          <w:trHeight w:val="483"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54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制作扫黑除恶宣传展板数量</w:t>
            </w: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≥20块</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restart"/>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54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印制扫黑除恶宣传手册合格率</w:t>
            </w: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54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制作扫黑除恶宣传视频合格率</w:t>
            </w: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57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54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开展扫黑除恶督导工作完成率</w:t>
            </w: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54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开展扫黑除恶督日常工作完成率</w:t>
            </w: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54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修缮办公用房完成率</w:t>
            </w: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458"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bottom w:val="single" w:color="auto"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540" w:type="dxa"/>
            <w:tcBorders>
              <w:top w:val="single" w:color="000000" w:sz="4" w:space="0"/>
              <w:left w:val="single" w:color="000000" w:sz="4" w:space="0"/>
              <w:bottom w:val="single" w:color="auto"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制作扫黑除恶宣传展板完成率</w:t>
            </w: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≥99%</w:t>
            </w:r>
          </w:p>
        </w:tc>
      </w:tr>
      <w:tr>
        <w:tblPrEx>
          <w:tblCellMar>
            <w:top w:w="15" w:type="dxa"/>
            <w:left w:w="15" w:type="dxa"/>
            <w:bottom w:w="15" w:type="dxa"/>
            <w:right w:w="15" w:type="dxa"/>
          </w:tblCellMar>
        </w:tblPrEx>
        <w:trPr>
          <w:trHeight w:val="398"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auto"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restart"/>
            <w:tcBorders>
              <w:top w:val="single" w:color="auto" w:sz="4" w:space="0"/>
              <w:left w:val="single" w:color="auto" w:sz="4" w:space="0"/>
              <w:right w:val="single" w:color="auto"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540" w:type="dxa"/>
            <w:tcBorders>
              <w:top w:val="single" w:color="auto" w:sz="4" w:space="0"/>
              <w:left w:val="single" w:color="auto" w:sz="4" w:space="0"/>
              <w:bottom w:val="single" w:color="000000"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印制扫黑除恶宣传手册费用</w:t>
            </w:r>
          </w:p>
        </w:tc>
        <w:tc>
          <w:tcPr>
            <w:tcW w:w="1755" w:type="dxa"/>
            <w:tcBorders>
              <w:top w:val="single" w:color="000000" w:sz="4" w:space="0"/>
              <w:left w:val="single" w:color="auto" w:sz="4" w:space="0"/>
              <w:bottom w:val="single" w:color="000000" w:sz="4" w:space="0"/>
              <w:right w:val="single" w:color="000000" w:sz="4" w:space="0"/>
            </w:tcBorders>
            <w:noWrap w:val="0"/>
            <w:vAlign w:val="center"/>
          </w:tcPr>
          <w:p>
            <w:pPr>
              <w:tabs>
                <w:tab w:val="center" w:pos="1241"/>
                <w:tab w:val="right" w:pos="2362"/>
              </w:tabs>
              <w:autoSpaceDN w:val="0"/>
              <w:ind w:firstLine="800" w:firstLineChars="400"/>
              <w:jc w:val="left"/>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≤13.50元/册</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auto"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auto" w:sz="4" w:space="0"/>
              <w:right w:val="single" w:color="auto" w:sz="4" w:space="0"/>
            </w:tcBorders>
            <w:noWrap w:val="0"/>
            <w:vAlign w:val="center"/>
          </w:tcPr>
          <w:p>
            <w:pPr>
              <w:autoSpaceDN w:val="0"/>
              <w:jc w:val="center"/>
              <w:textAlignment w:val="center"/>
              <w:rPr>
                <w:rFonts w:hint="eastAsia" w:ascii="宋体" w:hAnsi="宋体" w:eastAsia="宋体" w:cs="宋体"/>
                <w:color w:val="000000"/>
                <w:sz w:val="20"/>
              </w:rPr>
            </w:pPr>
          </w:p>
        </w:tc>
        <w:tc>
          <w:tcPr>
            <w:tcW w:w="2540" w:type="dxa"/>
            <w:tcBorders>
              <w:top w:val="single" w:color="000000" w:sz="4" w:space="0"/>
              <w:left w:val="single" w:color="auto" w:sz="4" w:space="0"/>
              <w:bottom w:val="single" w:color="000000"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制作扫黑除恶微视频费用</w:t>
            </w:r>
          </w:p>
        </w:tc>
        <w:tc>
          <w:tcPr>
            <w:tcW w:w="1755" w:type="dxa"/>
            <w:tcBorders>
              <w:top w:val="single" w:color="000000" w:sz="4" w:space="0"/>
              <w:left w:val="single" w:color="auto" w:sz="4" w:space="0"/>
              <w:bottom w:val="single" w:color="000000" w:sz="4" w:space="0"/>
              <w:right w:val="single" w:color="000000" w:sz="4" w:space="0"/>
            </w:tcBorders>
            <w:noWrap w:val="0"/>
            <w:vAlign w:val="center"/>
          </w:tcPr>
          <w:p>
            <w:pPr>
              <w:tabs>
                <w:tab w:val="center" w:pos="1241"/>
                <w:tab w:val="right" w:pos="2362"/>
              </w:tabs>
              <w:autoSpaceDN w:val="0"/>
              <w:ind w:firstLine="800" w:firstLineChars="400"/>
              <w:jc w:val="left"/>
              <w:textAlignment w:val="center"/>
              <w:rPr>
                <w:rFonts w:hint="default" w:ascii="宋体" w:hAnsi="宋体" w:eastAsia="宋体" w:cs="宋体"/>
                <w:color w:val="000000"/>
                <w:kern w:val="2"/>
                <w:sz w:val="20"/>
                <w:lang w:val="en-US" w:eastAsia="zh-CN" w:bidi="ar-SA"/>
              </w:rPr>
            </w:pPr>
            <w:r>
              <w:rPr>
                <w:rFonts w:hint="eastAsia" w:ascii="宋体" w:hAnsi="宋体" w:eastAsia="宋体" w:cs="宋体"/>
                <w:color w:val="000000"/>
                <w:sz w:val="20"/>
                <w:lang w:val="en-US" w:eastAsia="zh-CN"/>
              </w:rPr>
              <w:t>≤3000元/篇</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auto"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top w:val="single" w:color="auto" w:sz="4" w:space="0"/>
              <w:left w:val="single" w:color="auto" w:sz="4" w:space="0"/>
              <w:bottom w:val="single" w:color="000000" w:sz="4" w:space="0"/>
              <w:right w:val="single" w:color="auto" w:sz="4" w:space="0"/>
            </w:tcBorders>
            <w:noWrap w:val="0"/>
            <w:vAlign w:val="center"/>
          </w:tcPr>
          <w:p>
            <w:pPr>
              <w:autoSpaceDN w:val="0"/>
              <w:jc w:val="center"/>
              <w:textAlignment w:val="center"/>
              <w:rPr>
                <w:rFonts w:hint="eastAsia" w:ascii="宋体" w:hAnsi="宋体" w:eastAsia="宋体" w:cs="宋体"/>
                <w:color w:val="000000"/>
                <w:sz w:val="20"/>
              </w:rPr>
            </w:pPr>
          </w:p>
        </w:tc>
        <w:tc>
          <w:tcPr>
            <w:tcW w:w="2540" w:type="dxa"/>
            <w:tcBorders>
              <w:top w:val="single" w:color="auto" w:sz="4" w:space="0"/>
              <w:left w:val="single" w:color="auto"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18"/>
                <w:szCs w:val="18"/>
                <w:lang w:val="en-US" w:eastAsia="zh-CN"/>
              </w:rPr>
              <w:t>开展扫黑除恶督导工作费用</w:t>
            </w: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autoSpaceDN w:val="0"/>
              <w:ind w:firstLine="800" w:firstLineChars="400"/>
              <w:jc w:val="both"/>
              <w:textAlignment w:val="center"/>
              <w:rPr>
                <w:rFonts w:hint="default" w:ascii="宋体" w:hAnsi="宋体" w:eastAsia="宋体" w:cs="宋体"/>
                <w:color w:val="000000"/>
                <w:kern w:val="2"/>
                <w:sz w:val="20"/>
                <w:lang w:val="en-US" w:eastAsia="zh-CN" w:bidi="ar-SA"/>
              </w:rPr>
            </w:pPr>
            <w:r>
              <w:rPr>
                <w:rFonts w:hint="eastAsia" w:ascii="宋体" w:hAnsi="宋体" w:eastAsia="宋体" w:cs="宋体"/>
                <w:color w:val="000000"/>
                <w:sz w:val="20"/>
                <w:lang w:val="en-US" w:eastAsia="zh-CN"/>
              </w:rPr>
              <w:t>≤500元/次</w:t>
            </w:r>
          </w:p>
        </w:tc>
      </w:tr>
      <w:tr>
        <w:tblPrEx>
          <w:tblCellMar>
            <w:top w:w="15" w:type="dxa"/>
            <w:left w:w="15" w:type="dxa"/>
            <w:bottom w:w="15" w:type="dxa"/>
            <w:right w:w="15" w:type="dxa"/>
          </w:tblCellMar>
        </w:tblPrEx>
        <w:trPr>
          <w:trHeight w:val="26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auto"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top w:val="single" w:color="auto" w:sz="4" w:space="0"/>
              <w:left w:val="single" w:color="auto" w:sz="4" w:space="0"/>
              <w:bottom w:val="single" w:color="000000" w:sz="4" w:space="0"/>
              <w:right w:val="single" w:color="auto" w:sz="4" w:space="0"/>
            </w:tcBorders>
            <w:noWrap w:val="0"/>
            <w:vAlign w:val="center"/>
          </w:tcPr>
          <w:p>
            <w:pPr>
              <w:autoSpaceDN w:val="0"/>
              <w:jc w:val="center"/>
              <w:textAlignment w:val="center"/>
              <w:rPr>
                <w:rFonts w:hint="eastAsia" w:ascii="宋体" w:hAnsi="宋体" w:eastAsia="宋体" w:cs="宋体"/>
                <w:color w:val="000000"/>
                <w:sz w:val="20"/>
              </w:rPr>
            </w:pPr>
          </w:p>
        </w:tc>
        <w:tc>
          <w:tcPr>
            <w:tcW w:w="2540" w:type="dxa"/>
            <w:tcBorders>
              <w:top w:val="single" w:color="auto" w:sz="4" w:space="0"/>
              <w:left w:val="single" w:color="auto"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开展扫黑除恶日常工作（水电办公用品等）费用</w:t>
            </w: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≤20000元/次</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auto"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top w:val="single" w:color="auto" w:sz="4" w:space="0"/>
              <w:left w:val="single" w:color="auto" w:sz="4" w:space="0"/>
              <w:bottom w:val="single" w:color="000000" w:sz="4" w:space="0"/>
              <w:right w:val="single" w:color="auto" w:sz="4" w:space="0"/>
            </w:tcBorders>
            <w:noWrap w:val="0"/>
            <w:vAlign w:val="center"/>
          </w:tcPr>
          <w:p>
            <w:pPr>
              <w:autoSpaceDN w:val="0"/>
              <w:jc w:val="center"/>
              <w:textAlignment w:val="center"/>
              <w:rPr>
                <w:rFonts w:hint="eastAsia" w:ascii="宋体" w:hAnsi="宋体" w:eastAsia="宋体" w:cs="宋体"/>
                <w:color w:val="000000"/>
                <w:sz w:val="20"/>
              </w:rPr>
            </w:pPr>
          </w:p>
        </w:tc>
        <w:tc>
          <w:tcPr>
            <w:tcW w:w="2540" w:type="dxa"/>
            <w:tcBorders>
              <w:top w:val="single" w:color="auto" w:sz="4" w:space="0"/>
              <w:left w:val="single" w:color="auto"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修缮办公用房费用</w:t>
            </w: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≤50元/平</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auto"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top w:val="single" w:color="auto" w:sz="4" w:space="0"/>
              <w:left w:val="single" w:color="auto" w:sz="4" w:space="0"/>
              <w:bottom w:val="single" w:color="000000" w:sz="4" w:space="0"/>
              <w:right w:val="single" w:color="auto" w:sz="4" w:space="0"/>
            </w:tcBorders>
            <w:noWrap w:val="0"/>
            <w:vAlign w:val="center"/>
          </w:tcPr>
          <w:p>
            <w:pPr>
              <w:autoSpaceDN w:val="0"/>
              <w:jc w:val="center"/>
              <w:textAlignment w:val="center"/>
              <w:rPr>
                <w:rFonts w:hint="eastAsia" w:ascii="宋体" w:hAnsi="宋体" w:eastAsia="宋体" w:cs="宋体"/>
                <w:color w:val="000000"/>
                <w:sz w:val="20"/>
              </w:rPr>
            </w:pPr>
          </w:p>
        </w:tc>
        <w:tc>
          <w:tcPr>
            <w:tcW w:w="2540" w:type="dxa"/>
            <w:tcBorders>
              <w:top w:val="single" w:color="auto" w:sz="4" w:space="0"/>
              <w:left w:val="single" w:color="auto"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制作扫黑除恶宣传展板</w:t>
            </w: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≤250元/块</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auto"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auto" w:sz="4" w:space="0"/>
              <w:bottom w:val="single" w:color="auto" w:sz="4" w:space="0"/>
              <w:right w:val="single" w:color="auto"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540" w:type="dxa"/>
            <w:tcBorders>
              <w:top w:val="single" w:color="000000" w:sz="4" w:space="0"/>
              <w:left w:val="single" w:color="auto"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扫黑除恶工作经费及时发放</w:t>
            </w: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auto"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54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537"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54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群众对扫黑除恶工作知晓率</w:t>
            </w: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54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54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54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群众满意度</w:t>
            </w:r>
          </w:p>
        </w:tc>
        <w:tc>
          <w:tcPr>
            <w:tcW w:w="175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≥98%</w:t>
            </w:r>
          </w:p>
        </w:tc>
      </w:tr>
    </w:tbl>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default" w:ascii="仿宋_GB2312" w:hAnsi="仿宋_GB2312" w:eastAsia="仿宋_GB2312" w:cs="仿宋_GB2312"/>
          <w:szCs w:val="32"/>
          <w:lang w:val="en-US" w:eastAsia="zh-CN"/>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lang w:val="en-US" w:eastAsia="zh-CN"/>
        </w:rPr>
        <w:t>278.93</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278.93</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w:t>
      </w:r>
      <w:r>
        <w:rPr>
          <w:rFonts w:hint="eastAsia" w:ascii="仿宋_GB2312" w:hAnsi="仿宋_GB2312" w:cs="仿宋_GB2312"/>
          <w:szCs w:val="32"/>
          <w:lang w:val="en-US" w:eastAsia="zh-CN"/>
        </w:rPr>
        <w:t>增加73.25</w:t>
      </w:r>
      <w:r>
        <w:rPr>
          <w:rFonts w:hint="eastAsia" w:ascii="仿宋_GB2312" w:hAnsi="仿宋_GB2312" w:eastAsia="仿宋_GB2312" w:cs="仿宋_GB2312"/>
          <w:szCs w:val="32"/>
        </w:rPr>
        <w:t>万元，</w:t>
      </w:r>
      <w:r>
        <w:rPr>
          <w:rFonts w:hint="eastAsia" w:ascii="仿宋_GB2312" w:hAnsi="仿宋_GB2312" w:cs="仿宋_GB2312"/>
          <w:szCs w:val="32"/>
          <w:lang w:val="en-US" w:eastAsia="zh-CN"/>
        </w:rPr>
        <w:t>上涨35.61%</w:t>
      </w:r>
      <w:r>
        <w:rPr>
          <w:rFonts w:hint="eastAsia" w:ascii="仿宋_GB2312" w:hAnsi="仿宋_GB2312" w:eastAsia="仿宋_GB2312" w:cs="仿宋_GB2312"/>
          <w:szCs w:val="32"/>
        </w:rPr>
        <w:t>主要原因是</w:t>
      </w:r>
      <w:r>
        <w:rPr>
          <w:rFonts w:hint="eastAsia" w:ascii="仿宋_GB2312" w:hAnsi="仿宋_GB2312" w:cs="仿宋_GB2312"/>
          <w:szCs w:val="32"/>
          <w:lang w:val="en-US" w:eastAsia="zh-CN"/>
        </w:rPr>
        <w:t>人员工资增长导致人员经费增加及2024年增加项目支出预算。</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278.93</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278.93</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lang w:val="en-US" w:eastAsia="zh-CN"/>
        </w:rPr>
        <w:t>278.93</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%；其他收入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278.93</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240.13</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86.09</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38.80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13.91</w:t>
      </w:r>
      <w:r>
        <w:rPr>
          <w:rFonts w:hint="eastAsia" w:ascii="仿宋_GB2312" w:hAnsi="仿宋_GB2312" w:eastAsia="仿宋_GB2312" w:cs="仿宋_GB2312"/>
          <w:szCs w:val="32"/>
        </w:rPr>
        <w:t>%；事业单位经营支出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278.93</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278.93</w:t>
      </w:r>
      <w:r>
        <w:rPr>
          <w:rFonts w:hint="eastAsia" w:ascii="仿宋_GB2312" w:hAnsi="仿宋_GB2312" w:eastAsia="仿宋_GB2312" w:cs="仿宋_GB2312"/>
          <w:szCs w:val="32"/>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val="en-US" w:eastAsia="zh-CN"/>
        </w:rPr>
        <w:t>221.81</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val="en-US" w:eastAsia="zh-CN"/>
        </w:rPr>
        <w:t>29.24</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10.21</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w:t>
      </w:r>
      <w:bookmarkStart w:id="0" w:name="_GoBack"/>
      <w:bookmarkEnd w:id="0"/>
      <w:r>
        <w:rPr>
          <w:rFonts w:hint="eastAsia" w:ascii="仿宋_GB2312" w:hAnsi="仿宋_GB2312" w:eastAsia="仿宋_GB2312" w:cs="仿宋_GB2312"/>
          <w:kern w:val="0"/>
          <w:szCs w:val="32"/>
        </w:rPr>
        <w:t>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lang w:val="en-US" w:eastAsia="zh-CN"/>
        </w:rPr>
        <w:t>17.67</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eastAsia="仿宋_GB2312" w:cs="仿宋_GB2312"/>
          <w:szCs w:val="32"/>
        </w:rPr>
        <w:t>_万元</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278.93</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240.13</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86.09</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38.80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13.91</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213.25</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88.81</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26.88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11.19</w:t>
      </w:r>
      <w:r>
        <w:rPr>
          <w:rFonts w:hint="eastAsia" w:ascii="仿宋_GB2312" w:hAnsi="仿宋_GB2312" w:eastAsia="仿宋_GB2312" w:cs="仿宋_GB2312"/>
          <w:szCs w:val="32"/>
        </w:rPr>
        <w:t>%。</w:t>
      </w:r>
    </w:p>
    <w:p>
      <w:pPr>
        <w:spacing w:line="520" w:lineRule="exact"/>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lang w:val="en-US" w:eastAsia="zh-CN"/>
        </w:rPr>
        <w:t>221.88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79.52</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行政运行支出</w:t>
      </w:r>
      <w:r>
        <w:rPr>
          <w:rFonts w:hint="eastAsia" w:ascii="仿宋_GB2312" w:hAnsi="仿宋_GB2312" w:eastAsia="仿宋_GB2312" w:cs="仿宋_GB2312"/>
          <w:szCs w:val="32"/>
        </w:rPr>
        <w:t>。</w:t>
      </w:r>
    </w:p>
    <w:p>
      <w:pPr>
        <w:spacing w:line="520" w:lineRule="exact"/>
        <w:ind w:firstLine="320" w:firstLineChars="1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29.24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10.48</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机关事业单位基本养老保险缴费支出、机关事业单位职业年金缴费支出</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17.67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6.34</w:t>
      </w:r>
      <w:r>
        <w:rPr>
          <w:rFonts w:hint="eastAsia" w:ascii="仿宋_GB2312" w:hAnsi="仿宋_GB2312" w:eastAsia="仿宋_GB2312" w:cs="仿宋_GB2312"/>
          <w:szCs w:val="32"/>
        </w:rPr>
        <w:t>%，主要用于住房公积金</w:t>
      </w:r>
      <w:r>
        <w:rPr>
          <w:rFonts w:hint="eastAsia" w:ascii="仿宋_GB2312" w:hAnsi="仿宋_GB2312" w:cs="仿宋_GB2312"/>
          <w:szCs w:val="32"/>
          <w:lang w:val="en-US" w:eastAsia="zh-CN"/>
        </w:rPr>
        <w:t>支出</w:t>
      </w:r>
      <w:r>
        <w:rPr>
          <w:rFonts w:hint="eastAsia" w:ascii="仿宋_GB2312" w:hAnsi="仿宋_GB2312" w:eastAsia="仿宋_GB2312" w:cs="仿宋_GB2312"/>
          <w:szCs w:val="32"/>
        </w:rPr>
        <w:t>。</w:t>
      </w:r>
    </w:p>
    <w:p>
      <w:pPr>
        <w:spacing w:line="520" w:lineRule="exact"/>
        <w:ind w:firstLine="200"/>
        <w:rPr>
          <w:rFonts w:hint="default" w:ascii="仿宋_GB2312" w:hAnsi="仿宋_GB2312" w:eastAsia="仿宋_GB2312" w:cs="仿宋_GB2312"/>
          <w:szCs w:val="32"/>
          <w:lang w:val="en-US" w:eastAsia="zh-CN"/>
        </w:rPr>
      </w:pPr>
      <w:r>
        <w:rPr>
          <w:rFonts w:hint="eastAsia" w:ascii="仿宋_GB2312" w:hAnsi="仿宋_GB2312" w:eastAsia="仿宋_GB2312" w:cs="仿宋_GB2312"/>
          <w:szCs w:val="32"/>
        </w:rPr>
        <w:t>卫生健康支出</w:t>
      </w:r>
      <w:r>
        <w:rPr>
          <w:rFonts w:hint="eastAsia" w:ascii="仿宋_GB2312" w:hAnsi="仿宋_GB2312" w:cs="仿宋_GB2312"/>
          <w:szCs w:val="32"/>
          <w:lang w:eastAsia="zh-CN"/>
        </w:rPr>
        <w:t>（</w:t>
      </w:r>
      <w:r>
        <w:rPr>
          <w:rFonts w:hint="eastAsia" w:ascii="仿宋_GB2312" w:hAnsi="仿宋_GB2312" w:cs="仿宋_GB2312"/>
          <w:szCs w:val="32"/>
          <w:lang w:val="en-US" w:eastAsia="zh-CN"/>
        </w:rPr>
        <w:t>类</w:t>
      </w:r>
      <w:r>
        <w:rPr>
          <w:rFonts w:hint="eastAsia" w:ascii="仿宋_GB2312" w:hAnsi="仿宋_GB2312" w:cs="仿宋_GB2312"/>
          <w:szCs w:val="32"/>
          <w:lang w:eastAsia="zh-CN"/>
        </w:rPr>
        <w:t>）</w:t>
      </w:r>
      <w:r>
        <w:rPr>
          <w:rFonts w:hint="eastAsia" w:ascii="仿宋_GB2312" w:hAnsi="仿宋_GB2312" w:cs="仿宋_GB2312"/>
          <w:szCs w:val="32"/>
          <w:lang w:val="en-US" w:eastAsia="zh-CN"/>
        </w:rPr>
        <w:t>支出10.21万元，占3.66%，主要用于行政单位医疗支出。</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240.13</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425.22</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cs="仿宋_GB2312"/>
          <w:szCs w:val="32"/>
          <w:lang w:val="en-US" w:eastAsia="zh-CN"/>
        </w:rPr>
        <w:t>　机关事业单位基本养老保险缴费、机关事业单位职业年金缴费、职工基本医疗保险缴费、其他</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cs="仿宋_GB2312"/>
          <w:szCs w:val="32"/>
          <w:lang w:val="en-US" w:eastAsia="zh-CN"/>
        </w:rPr>
        <w:t>住房公积金、</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lang w:val="en-US" w:eastAsia="zh-CN"/>
        </w:rPr>
        <w:t>27.84</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cs="仿宋_GB2312"/>
          <w:szCs w:val="32"/>
          <w:lang w:val="en-US" w:eastAsia="zh-CN"/>
        </w:rPr>
        <w:t>手续费、</w:t>
      </w:r>
      <w:r>
        <w:rPr>
          <w:rFonts w:hint="eastAsia" w:ascii="仿宋_GB2312" w:hAnsi="仿宋_GB2312" w:eastAsia="仿宋_GB2312" w:cs="仿宋_GB2312"/>
          <w:kern w:val="0"/>
          <w:szCs w:val="32"/>
        </w:rPr>
        <w:t>邮电费</w:t>
      </w:r>
      <w:r>
        <w:rPr>
          <w:rFonts w:hint="eastAsia" w:ascii="仿宋_GB2312" w:hAnsi="仿宋_GB2312" w:cs="仿宋_GB2312"/>
          <w:kern w:val="0"/>
          <w:szCs w:val="32"/>
          <w:lang w:eastAsia="zh-CN"/>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cs="仿宋_GB2312"/>
          <w:szCs w:val="32"/>
          <w:lang w:val="en-US" w:eastAsia="zh-CN"/>
        </w:rPr>
        <w:t>租赁费、</w:t>
      </w:r>
      <w:r>
        <w:rPr>
          <w:rFonts w:hint="eastAsia" w:ascii="仿宋_GB2312" w:hAnsi="仿宋_GB2312" w:cs="仿宋_GB2312"/>
          <w:kern w:val="0"/>
          <w:szCs w:val="32"/>
          <w:lang w:val="en-US" w:eastAsia="zh-CN"/>
        </w:rPr>
        <w:t>公务接待费、工会经费和其他交通费</w:t>
      </w:r>
      <w:r>
        <w:rPr>
          <w:rFonts w:hint="eastAsia" w:ascii="仿宋_GB2312" w:hAnsi="仿宋_GB2312" w:eastAsia="仿宋_GB2312" w:cs="仿宋_GB2312"/>
          <w:kern w:val="0"/>
          <w:szCs w:val="32"/>
        </w:rPr>
        <w:t>。</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w:t>
      </w:r>
      <w:r>
        <w:rPr>
          <w:rFonts w:hint="eastAsia" w:ascii="仿宋_GB2312" w:hAnsi="仿宋_GB2312" w:cs="仿宋_GB2312"/>
          <w:szCs w:val="32"/>
          <w:lang w:val="en-US" w:eastAsia="zh-CN"/>
        </w:rPr>
        <w:t>0.50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cs="仿宋_GB2312"/>
          <w:szCs w:val="32"/>
          <w:lang w:val="en-US" w:eastAsia="zh-CN"/>
        </w:rPr>
        <w:t>0.50</w:t>
      </w:r>
      <w:r>
        <w:rPr>
          <w:rFonts w:hint="eastAsia" w:ascii="仿宋_GB2312" w:hAnsi="仿宋_GB2312" w:eastAsia="仿宋_GB2312" w:cs="仿宋_GB2312"/>
          <w:szCs w:val="32"/>
          <w:lang w:eastAsia="zh-CN"/>
        </w:rPr>
        <w:t>；上年结转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1.因公出国（境）费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年预算数增加（减少）万元，主要原因是____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w:t>
      </w:r>
      <w:r>
        <w:rPr>
          <w:rFonts w:hint="eastAsia" w:ascii="仿宋_GB2312" w:hAnsi="仿宋_GB2312" w:cs="仿宋_GB2312"/>
          <w:szCs w:val="32"/>
          <w:lang w:val="en-US" w:eastAsia="zh-CN"/>
        </w:rPr>
        <w:t>0</w:t>
      </w:r>
      <w:r>
        <w:rPr>
          <w:rFonts w:hint="eastAsia" w:ascii="仿宋_GB2312" w:hAnsi="仿宋_GB2312" w:eastAsia="仿宋_GB2312" w:cs="仿宋_GB2312"/>
          <w:b/>
          <w:bCs/>
          <w:szCs w:val="32"/>
        </w:rPr>
        <w:t>万元，</w:t>
      </w:r>
      <w:r>
        <w:rPr>
          <w:rFonts w:hint="eastAsia" w:ascii="仿宋_GB2312" w:hAnsi="仿宋_GB2312" w:eastAsia="仿宋_GB2312" w:cs="仿宋_GB2312"/>
          <w:b/>
          <w:bCs/>
          <w:szCs w:val="32"/>
          <w:lang w:eastAsia="zh-CN"/>
        </w:rPr>
        <w:t>其中：当年预算</w:t>
      </w:r>
      <w:r>
        <w:rPr>
          <w:rFonts w:hint="eastAsia" w:ascii="仿宋_GB2312" w:hAnsi="仿宋_GB2312" w:cs="仿宋_GB2312"/>
          <w:b/>
          <w:bCs/>
          <w:szCs w:val="32"/>
          <w:lang w:val="en-US" w:eastAsia="zh-CN"/>
        </w:rPr>
        <w:t>0</w:t>
      </w:r>
      <w:r>
        <w:rPr>
          <w:rFonts w:hint="eastAsia" w:ascii="仿宋_GB2312" w:hAnsi="仿宋_GB2312" w:eastAsia="仿宋_GB2312" w:cs="仿宋_GB2312"/>
          <w:b/>
          <w:bCs/>
          <w:szCs w:val="32"/>
          <w:lang w:eastAsia="zh-CN"/>
        </w:rPr>
        <w:t>万元；上年结转</w:t>
      </w:r>
      <w:r>
        <w:rPr>
          <w:rFonts w:hint="eastAsia" w:ascii="仿宋_GB2312" w:hAnsi="仿宋_GB2312" w:cs="仿宋_GB2312"/>
          <w:b/>
          <w:bCs/>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万元。公务用车运行维护费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万元，主要原因是_____；公务用车购置费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rPr>
        <w:t>万元，主要原因是___。</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hint="eastAsia" w:eastAsia="楷体"/>
          <w:szCs w:val="32"/>
          <w:lang w:eastAsia="zh-CN"/>
        </w:rPr>
      </w:pPr>
      <w:r>
        <w:rPr>
          <w:rFonts w:eastAsia="楷体"/>
          <w:szCs w:val="32"/>
        </w:rPr>
        <w:t>本部门无政府性基金预算拨款</w:t>
      </w:r>
      <w:r>
        <w:rPr>
          <w:rFonts w:hint="eastAsia" w:eastAsia="楷体"/>
          <w:szCs w:val="32"/>
          <w:lang w:eastAsia="zh-CN"/>
        </w:rPr>
        <w:t>。</w:t>
      </w: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eastAsia" w:ascii="仿宋_GB2312" w:hAnsi="仿宋_GB2312" w:eastAsia="仿宋_GB2312" w:cs="仿宋_GB2312"/>
          <w:szCs w:val="32"/>
          <w:highlight w:val="none"/>
        </w:rPr>
      </w:pPr>
      <w:r>
        <w:rPr>
          <w:rFonts w:eastAsia="楷体"/>
          <w:szCs w:val="32"/>
        </w:rPr>
        <w:t>本部门无</w:t>
      </w:r>
      <w:r>
        <w:rPr>
          <w:rFonts w:hint="eastAsia" w:eastAsia="楷体"/>
          <w:szCs w:val="32"/>
        </w:rPr>
        <w:t>国有资本经营</w:t>
      </w:r>
      <w:r>
        <w:rPr>
          <w:rFonts w:eastAsia="楷体"/>
          <w:szCs w:val="32"/>
        </w:rPr>
        <w:t>预算拨款</w:t>
      </w:r>
      <w:r>
        <w:rPr>
          <w:rFonts w:hint="eastAsia" w:ascii="仿宋_GB2312" w:hAnsi="仿宋_GB2312" w:eastAsia="仿宋_GB2312" w:cs="仿宋_GB2312"/>
          <w:szCs w:val="32"/>
          <w:highlight w:val="none"/>
        </w:rPr>
        <w:t>。</w:t>
      </w:r>
    </w:p>
    <w:p>
      <w:pPr>
        <w:ind w:firstLine="640"/>
        <w:rPr>
          <w:szCs w:val="32"/>
        </w:rPr>
      </w:pPr>
    </w:p>
    <w:p>
      <w:pPr>
        <w:ind w:firstLine="640"/>
        <w:rPr>
          <w:szCs w:val="32"/>
        </w:rPr>
      </w:pP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w:t>
      </w:r>
      <w:r>
        <w:rPr>
          <w:rFonts w:hint="eastAsia" w:ascii="仿宋_GB2312" w:hAnsi="仿宋_GB2312" w:cs="仿宋_GB2312"/>
          <w:szCs w:val="32"/>
          <w:lang w:val="en-US" w:eastAsia="zh-CN"/>
        </w:rPr>
        <w:t>1</w:t>
      </w:r>
      <w:r>
        <w:rPr>
          <w:rFonts w:hint="eastAsia" w:ascii="仿宋_GB2312" w:hAnsi="仿宋_GB2312" w:eastAsia="仿宋_GB2312" w:cs="仿宋_GB2312"/>
          <w:szCs w:val="32"/>
        </w:rPr>
        <w:t>家行政单位的机关运行经费财政拨款预算</w:t>
      </w:r>
      <w:r>
        <w:rPr>
          <w:rFonts w:hint="eastAsia" w:ascii="仿宋_GB2312" w:hAnsi="仿宋_GB2312" w:cs="仿宋_GB2312"/>
          <w:szCs w:val="32"/>
          <w:lang w:val="en-US" w:eastAsia="zh-CN"/>
        </w:rPr>
        <w:t>26.88</w:t>
      </w:r>
      <w:r>
        <w:rPr>
          <w:rFonts w:hint="eastAsia" w:ascii="仿宋_GB2312" w:hAnsi="仿宋_GB2312" w:eastAsia="仿宋_GB2312" w:cs="仿宋_GB2312"/>
          <w:szCs w:val="32"/>
        </w:rPr>
        <w:t>万元，比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w:t>
      </w:r>
      <w:r>
        <w:rPr>
          <w:rFonts w:hint="eastAsia" w:ascii="仿宋_GB2312" w:hAnsi="仿宋_GB2312" w:cs="仿宋_GB2312"/>
          <w:szCs w:val="32"/>
          <w:lang w:val="en-US" w:eastAsia="zh-CN"/>
        </w:rPr>
        <w:t>8.88</w:t>
      </w:r>
      <w:r>
        <w:rPr>
          <w:rFonts w:hint="eastAsia" w:ascii="仿宋_GB2312" w:hAnsi="仿宋_GB2312" w:eastAsia="仿宋_GB2312" w:cs="仿宋_GB2312"/>
          <w:szCs w:val="32"/>
        </w:rPr>
        <w:t>万元，增长</w:t>
      </w:r>
      <w:r>
        <w:rPr>
          <w:rFonts w:hint="eastAsia" w:ascii="仿宋_GB2312" w:hAnsi="仿宋_GB2312" w:cs="仿宋_GB2312"/>
          <w:szCs w:val="32"/>
          <w:lang w:val="en-US" w:eastAsia="zh-CN"/>
        </w:rPr>
        <w:t>49.33</w:t>
      </w:r>
      <w:r>
        <w:rPr>
          <w:rFonts w:hint="eastAsia" w:ascii="仿宋_GB2312" w:hAnsi="仿宋_GB2312" w:eastAsia="仿宋_GB2312" w:cs="仿宋_GB2312"/>
          <w:szCs w:val="32"/>
        </w:rPr>
        <w:t>%，主要原因是</w:t>
      </w:r>
      <w:r>
        <w:rPr>
          <w:rFonts w:hint="eastAsia" w:ascii="仿宋_GB2312" w:hAnsi="仿宋_GB2312" w:cs="仿宋_GB2312"/>
          <w:szCs w:val="32"/>
          <w:lang w:val="en-US" w:eastAsia="zh-CN"/>
        </w:rPr>
        <w:t>本年度增加了财政拨款预算收入</w:t>
      </w:r>
      <w:r>
        <w:rPr>
          <w:rFonts w:hint="eastAsia" w:ascii="仿宋_GB2312" w:hAnsi="仿宋_GB2312" w:eastAsia="仿宋_GB2312" w:cs="仿宋_GB2312"/>
          <w:szCs w:val="32"/>
        </w:rPr>
        <w:t>。</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tabs>
          <w:tab w:val="left" w:pos="634"/>
        </w:tabs>
        <w:spacing w:line="540" w:lineRule="exact"/>
        <w:rPr>
          <w:rFonts w:hint="eastAsia" w:ascii="仿宋_GB2312" w:hAnsi="仿宋_GB2312" w:cs="仿宋_GB2312"/>
          <w:szCs w:val="32"/>
          <w:lang w:val="en-US" w:eastAsia="zh-CN"/>
        </w:rPr>
      </w:pPr>
      <w:r>
        <w:rPr>
          <w:rFonts w:hint="eastAsia" w:ascii="仿宋_GB2312" w:hAnsi="仿宋_GB2312" w:cs="仿宋_GB2312"/>
          <w:szCs w:val="32"/>
          <w:lang w:val="en-US" w:eastAsia="zh-CN"/>
        </w:rPr>
        <w:t xml:space="preserve">  本部门无政府采购情况。</w:t>
      </w:r>
    </w:p>
    <w:p>
      <w:pPr>
        <w:spacing w:line="540" w:lineRule="exact"/>
        <w:rPr>
          <w:rFonts w:hint="eastAsia" w:ascii="仿宋_GB2312" w:hAnsi="仿宋_GB2312" w:cs="仿宋_GB2312"/>
          <w:szCs w:val="32"/>
          <w:lang w:val="en-US" w:eastAsia="zh-CN"/>
        </w:rPr>
      </w:pP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320" w:firstLineChars="100"/>
        <w:rPr>
          <w:rFonts w:hint="eastAsia" w:ascii="仿宋_GB2312" w:hAnsi="仿宋_GB2312" w:eastAsia="仿宋_GB2312" w:cs="仿宋_GB2312"/>
          <w:szCs w:val="32"/>
        </w:rPr>
      </w:pPr>
      <w:r>
        <w:rPr>
          <w:rFonts w:hint="eastAsia" w:ascii="仿宋_GB2312" w:hAnsi="仿宋_GB2312" w:cs="仿宋_GB2312"/>
          <w:szCs w:val="32"/>
          <w:lang w:val="en-US" w:eastAsia="zh-CN"/>
        </w:rPr>
        <w:t>本部门无国有资产占有使用情况</w:t>
      </w:r>
      <w:r>
        <w:rPr>
          <w:rFonts w:hint="eastAsia" w:ascii="仿宋_GB2312" w:hAnsi="仿宋_GB2312" w:eastAsia="仿宋_GB2312" w:cs="仿宋_GB2312"/>
          <w:szCs w:val="32"/>
        </w:rPr>
        <w:t>。</w:t>
      </w:r>
    </w:p>
    <w:p>
      <w:pPr>
        <w:spacing w:line="540" w:lineRule="exact"/>
        <w:ind w:firstLine="640" w:firstLineChars="200"/>
        <w:rPr>
          <w:rFonts w:hint="eastAsia" w:ascii="仿宋_GB2312" w:hAnsi="仿宋_GB2312" w:eastAsia="仿宋_GB2312" w:cs="仿宋_GB2312"/>
          <w:szCs w:val="32"/>
        </w:rPr>
      </w:pP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szCs w:val="32"/>
          <w:highlight w:val="none"/>
          <w:lang w:val="en-US" w:eastAsia="zh-CN"/>
        </w:rPr>
        <w:t>38.80</w:t>
      </w:r>
      <w:r>
        <w:rPr>
          <w:rFonts w:hint="eastAsia" w:ascii="仿宋_GB2312" w:hAnsi="仿宋_GB2312" w:eastAsia="仿宋_GB2312" w:cs="仿宋_GB2312"/>
          <w:szCs w:val="32"/>
          <w:highlight w:val="none"/>
        </w:rPr>
        <w:t>万元，其中：一级项目</w:t>
      </w:r>
      <w:r>
        <w:rPr>
          <w:rFonts w:hint="eastAsia" w:ascii="仿宋_GB2312" w:hAnsi="仿宋_GB2312" w:cs="仿宋_GB2312"/>
          <w:szCs w:val="32"/>
          <w:highlight w:val="none"/>
          <w:lang w:val="en-US" w:eastAsia="zh-CN"/>
        </w:rPr>
        <w:t>3</w:t>
      </w:r>
      <w:r>
        <w:rPr>
          <w:rFonts w:hint="eastAsia" w:ascii="仿宋_GB2312" w:hAnsi="仿宋_GB2312" w:eastAsia="仿宋_GB2312" w:cs="仿宋_GB2312"/>
          <w:szCs w:val="32"/>
          <w:highlight w:val="none"/>
        </w:rPr>
        <w:t>个，二级项目</w:t>
      </w:r>
      <w:r>
        <w:rPr>
          <w:rFonts w:hint="eastAsia" w:ascii="仿宋_GB2312" w:hAnsi="仿宋_GB2312" w:cs="仿宋_GB2312"/>
          <w:szCs w:val="32"/>
          <w:highlight w:val="none"/>
          <w:lang w:val="en-US" w:eastAsia="zh-CN"/>
        </w:rPr>
        <w:t>3</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lang w:val="en-US" w:eastAsia="zh-CN"/>
        </w:rPr>
        <w:t>38.80</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szCs w:val="32"/>
          <w:lang w:val="en-US" w:eastAsia="zh-CN"/>
        </w:rPr>
        <w:t>3</w:t>
      </w:r>
      <w:r>
        <w:rPr>
          <w:rFonts w:hint="eastAsia" w:ascii="仿宋_GB2312" w:hAnsi="仿宋_GB2312" w:eastAsia="仿宋_GB2312" w:cs="仿宋_GB2312"/>
        </w:rPr>
        <w:t>个</w:t>
      </w:r>
      <w:r>
        <w:rPr>
          <w:rFonts w:hint="eastAsia" w:ascii="仿宋_GB2312" w:hAnsi="仿宋_GB2312" w:cs="仿宋_GB2312"/>
          <w:lang w:val="en-US" w:eastAsia="zh-CN"/>
        </w:rPr>
        <w:t>二</w:t>
      </w:r>
      <w:r>
        <w:rPr>
          <w:rFonts w:hint="eastAsia" w:ascii="仿宋_GB2312" w:hAnsi="仿宋_GB2312" w:eastAsia="仿宋_GB2312" w:cs="仿宋_GB2312"/>
        </w:rPr>
        <w:t>级项目支出的绩效目标和指标向社会公开，涉及金额</w:t>
      </w:r>
      <w:r>
        <w:rPr>
          <w:rFonts w:hint="eastAsia" w:ascii="仿宋_GB2312" w:hAnsi="仿宋_GB2312" w:cs="仿宋_GB2312"/>
          <w:szCs w:val="32"/>
          <w:lang w:val="en-US" w:eastAsia="zh-CN"/>
        </w:rPr>
        <w:t>38.80</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2000000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mNmQwNGI3ZjgzMTY2YTE4OTlhMDRhMzliNDdjMzY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23584C"/>
    <w:rsid w:val="01620FE6"/>
    <w:rsid w:val="019B69D8"/>
    <w:rsid w:val="020E6D2C"/>
    <w:rsid w:val="031D7D4B"/>
    <w:rsid w:val="04022755"/>
    <w:rsid w:val="0486486A"/>
    <w:rsid w:val="04954460"/>
    <w:rsid w:val="04CC742D"/>
    <w:rsid w:val="04F026C1"/>
    <w:rsid w:val="050D06DA"/>
    <w:rsid w:val="050F3BA7"/>
    <w:rsid w:val="05513E94"/>
    <w:rsid w:val="056F5A6D"/>
    <w:rsid w:val="059B3770"/>
    <w:rsid w:val="063949A0"/>
    <w:rsid w:val="06517244"/>
    <w:rsid w:val="067960C1"/>
    <w:rsid w:val="06BD5BC7"/>
    <w:rsid w:val="07937F02"/>
    <w:rsid w:val="07D21289"/>
    <w:rsid w:val="07F544B0"/>
    <w:rsid w:val="09A0082A"/>
    <w:rsid w:val="0A334D52"/>
    <w:rsid w:val="0ABA06FE"/>
    <w:rsid w:val="0B5F5ADA"/>
    <w:rsid w:val="0B710869"/>
    <w:rsid w:val="0C2A5C84"/>
    <w:rsid w:val="0C6B6C9F"/>
    <w:rsid w:val="0D8A05C0"/>
    <w:rsid w:val="0DA001B0"/>
    <w:rsid w:val="0DB6446C"/>
    <w:rsid w:val="0DEB170B"/>
    <w:rsid w:val="0E4C7841"/>
    <w:rsid w:val="0EF23FA5"/>
    <w:rsid w:val="0F3E0406"/>
    <w:rsid w:val="0F8B592F"/>
    <w:rsid w:val="0FD62F63"/>
    <w:rsid w:val="107728C7"/>
    <w:rsid w:val="10AE7F82"/>
    <w:rsid w:val="10C93B35"/>
    <w:rsid w:val="10EB1E0F"/>
    <w:rsid w:val="11177619"/>
    <w:rsid w:val="112605C8"/>
    <w:rsid w:val="12E711B7"/>
    <w:rsid w:val="136D62BD"/>
    <w:rsid w:val="13F21722"/>
    <w:rsid w:val="1441443C"/>
    <w:rsid w:val="14C12787"/>
    <w:rsid w:val="15593E10"/>
    <w:rsid w:val="159F7E25"/>
    <w:rsid w:val="15C8574D"/>
    <w:rsid w:val="15F848D0"/>
    <w:rsid w:val="160E1FA5"/>
    <w:rsid w:val="160F2600"/>
    <w:rsid w:val="17765BCA"/>
    <w:rsid w:val="17A027D8"/>
    <w:rsid w:val="191719ED"/>
    <w:rsid w:val="191E4439"/>
    <w:rsid w:val="1A1E6D50"/>
    <w:rsid w:val="1A623830"/>
    <w:rsid w:val="1A817DF8"/>
    <w:rsid w:val="1ADC594E"/>
    <w:rsid w:val="1AEB5252"/>
    <w:rsid w:val="1B7558EA"/>
    <w:rsid w:val="1C852172"/>
    <w:rsid w:val="1CA40C0C"/>
    <w:rsid w:val="1CFF4A32"/>
    <w:rsid w:val="1D833200"/>
    <w:rsid w:val="1E2D59A2"/>
    <w:rsid w:val="1E3A3FD0"/>
    <w:rsid w:val="1E652C73"/>
    <w:rsid w:val="1EB55C07"/>
    <w:rsid w:val="1EDA3596"/>
    <w:rsid w:val="1F351A10"/>
    <w:rsid w:val="1FED47E9"/>
    <w:rsid w:val="206816AC"/>
    <w:rsid w:val="215B07A6"/>
    <w:rsid w:val="21BD45F8"/>
    <w:rsid w:val="22A4003E"/>
    <w:rsid w:val="23984063"/>
    <w:rsid w:val="23CE11F0"/>
    <w:rsid w:val="23EC61F6"/>
    <w:rsid w:val="241237D2"/>
    <w:rsid w:val="244C543C"/>
    <w:rsid w:val="24624768"/>
    <w:rsid w:val="24755A22"/>
    <w:rsid w:val="2539376C"/>
    <w:rsid w:val="254C6FAD"/>
    <w:rsid w:val="259B5BC5"/>
    <w:rsid w:val="25C7462E"/>
    <w:rsid w:val="25F62C4E"/>
    <w:rsid w:val="26643D6C"/>
    <w:rsid w:val="26FE109D"/>
    <w:rsid w:val="27073E1E"/>
    <w:rsid w:val="27B04AB3"/>
    <w:rsid w:val="28041684"/>
    <w:rsid w:val="28A63332"/>
    <w:rsid w:val="296E3EDE"/>
    <w:rsid w:val="29C45F24"/>
    <w:rsid w:val="2A735861"/>
    <w:rsid w:val="2DF8796C"/>
    <w:rsid w:val="2E437539"/>
    <w:rsid w:val="2EB22F18"/>
    <w:rsid w:val="2EE12108"/>
    <w:rsid w:val="2EED35E3"/>
    <w:rsid w:val="2F250383"/>
    <w:rsid w:val="2F5068A3"/>
    <w:rsid w:val="2F63610B"/>
    <w:rsid w:val="300965A3"/>
    <w:rsid w:val="30730D6E"/>
    <w:rsid w:val="30B91A70"/>
    <w:rsid w:val="31B70185"/>
    <w:rsid w:val="32051904"/>
    <w:rsid w:val="32CF2C5D"/>
    <w:rsid w:val="335402B5"/>
    <w:rsid w:val="339466B2"/>
    <w:rsid w:val="34555AF5"/>
    <w:rsid w:val="345C25AA"/>
    <w:rsid w:val="35616772"/>
    <w:rsid w:val="35EA1663"/>
    <w:rsid w:val="35EF4E58"/>
    <w:rsid w:val="36357FA4"/>
    <w:rsid w:val="364C598E"/>
    <w:rsid w:val="36CC2B0F"/>
    <w:rsid w:val="371A614D"/>
    <w:rsid w:val="3838492F"/>
    <w:rsid w:val="387258D7"/>
    <w:rsid w:val="3887374F"/>
    <w:rsid w:val="38AF6637"/>
    <w:rsid w:val="39041A07"/>
    <w:rsid w:val="39043B77"/>
    <w:rsid w:val="393F0DCD"/>
    <w:rsid w:val="39670895"/>
    <w:rsid w:val="3A657F9A"/>
    <w:rsid w:val="3A9113D4"/>
    <w:rsid w:val="3A9852EE"/>
    <w:rsid w:val="3AC54F32"/>
    <w:rsid w:val="3B144A0A"/>
    <w:rsid w:val="3B1B2A0D"/>
    <w:rsid w:val="3B7C071F"/>
    <w:rsid w:val="3BC92948"/>
    <w:rsid w:val="3BE370D4"/>
    <w:rsid w:val="3C29381E"/>
    <w:rsid w:val="3C711E1D"/>
    <w:rsid w:val="3C7F463D"/>
    <w:rsid w:val="3CAE3960"/>
    <w:rsid w:val="3D365BF6"/>
    <w:rsid w:val="3DF23324"/>
    <w:rsid w:val="3E997EF1"/>
    <w:rsid w:val="3EA14040"/>
    <w:rsid w:val="3EE8108D"/>
    <w:rsid w:val="405745EF"/>
    <w:rsid w:val="40765AEB"/>
    <w:rsid w:val="40B80EFF"/>
    <w:rsid w:val="41A35364"/>
    <w:rsid w:val="41C31686"/>
    <w:rsid w:val="42982B4E"/>
    <w:rsid w:val="436B1E42"/>
    <w:rsid w:val="43993170"/>
    <w:rsid w:val="44054362"/>
    <w:rsid w:val="449C5E6A"/>
    <w:rsid w:val="456D114B"/>
    <w:rsid w:val="4580013E"/>
    <w:rsid w:val="45EB670F"/>
    <w:rsid w:val="46AB7C0D"/>
    <w:rsid w:val="46D44808"/>
    <w:rsid w:val="47CF49E6"/>
    <w:rsid w:val="4843587B"/>
    <w:rsid w:val="48674ED2"/>
    <w:rsid w:val="487708E6"/>
    <w:rsid w:val="496312E6"/>
    <w:rsid w:val="49645F71"/>
    <w:rsid w:val="499F5C68"/>
    <w:rsid w:val="4A3440FE"/>
    <w:rsid w:val="4AB556A7"/>
    <w:rsid w:val="4AF16062"/>
    <w:rsid w:val="4B646DDD"/>
    <w:rsid w:val="4B7F44F8"/>
    <w:rsid w:val="4BAC24C5"/>
    <w:rsid w:val="4BFA0656"/>
    <w:rsid w:val="4C5567C9"/>
    <w:rsid w:val="4D730507"/>
    <w:rsid w:val="4D741DD3"/>
    <w:rsid w:val="4DC93207"/>
    <w:rsid w:val="4E2A22FD"/>
    <w:rsid w:val="4E8D5761"/>
    <w:rsid w:val="4EF54A85"/>
    <w:rsid w:val="4F6F75D9"/>
    <w:rsid w:val="501B3C66"/>
    <w:rsid w:val="504B40C5"/>
    <w:rsid w:val="50987DC2"/>
    <w:rsid w:val="50A4703E"/>
    <w:rsid w:val="50E36FCD"/>
    <w:rsid w:val="5136104F"/>
    <w:rsid w:val="519A3929"/>
    <w:rsid w:val="51E55C99"/>
    <w:rsid w:val="52071113"/>
    <w:rsid w:val="52447C09"/>
    <w:rsid w:val="525A440D"/>
    <w:rsid w:val="54741940"/>
    <w:rsid w:val="54810E66"/>
    <w:rsid w:val="54C2556E"/>
    <w:rsid w:val="55480EEF"/>
    <w:rsid w:val="56570E30"/>
    <w:rsid w:val="57AE5C26"/>
    <w:rsid w:val="57DD75A9"/>
    <w:rsid w:val="58256ABD"/>
    <w:rsid w:val="5846096B"/>
    <w:rsid w:val="59472AC7"/>
    <w:rsid w:val="59BD150F"/>
    <w:rsid w:val="59DD570D"/>
    <w:rsid w:val="59FF5EDC"/>
    <w:rsid w:val="5A084708"/>
    <w:rsid w:val="5AA122AA"/>
    <w:rsid w:val="5AB343F7"/>
    <w:rsid w:val="5ABF50F2"/>
    <w:rsid w:val="5AF76904"/>
    <w:rsid w:val="5B052E7A"/>
    <w:rsid w:val="5B3D7F7E"/>
    <w:rsid w:val="5B7C7777"/>
    <w:rsid w:val="5B9462A0"/>
    <w:rsid w:val="5BEC6771"/>
    <w:rsid w:val="5CA506B9"/>
    <w:rsid w:val="5CFD5FB2"/>
    <w:rsid w:val="5D2B52D8"/>
    <w:rsid w:val="5D5A7C63"/>
    <w:rsid w:val="5E256F6F"/>
    <w:rsid w:val="5F6235A9"/>
    <w:rsid w:val="60383623"/>
    <w:rsid w:val="60C927EE"/>
    <w:rsid w:val="614125C2"/>
    <w:rsid w:val="616554D4"/>
    <w:rsid w:val="61940767"/>
    <w:rsid w:val="624C5C52"/>
    <w:rsid w:val="63952BB5"/>
    <w:rsid w:val="63DF08E4"/>
    <w:rsid w:val="64127E15"/>
    <w:rsid w:val="64C04AFD"/>
    <w:rsid w:val="65B17FF6"/>
    <w:rsid w:val="661A7B69"/>
    <w:rsid w:val="664909C1"/>
    <w:rsid w:val="66C63EB5"/>
    <w:rsid w:val="66CF6E3E"/>
    <w:rsid w:val="677772D0"/>
    <w:rsid w:val="679461D3"/>
    <w:rsid w:val="6858287E"/>
    <w:rsid w:val="69157114"/>
    <w:rsid w:val="691A443E"/>
    <w:rsid w:val="6A80735F"/>
    <w:rsid w:val="6ACC5E47"/>
    <w:rsid w:val="6AD43ED1"/>
    <w:rsid w:val="6B11024D"/>
    <w:rsid w:val="6B7D5B36"/>
    <w:rsid w:val="6CF120A8"/>
    <w:rsid w:val="6E19609F"/>
    <w:rsid w:val="714213DD"/>
    <w:rsid w:val="717F272E"/>
    <w:rsid w:val="728027C6"/>
    <w:rsid w:val="72D54D7C"/>
    <w:rsid w:val="737664E0"/>
    <w:rsid w:val="73FE7ACC"/>
    <w:rsid w:val="74053F35"/>
    <w:rsid w:val="74556746"/>
    <w:rsid w:val="74AB7A24"/>
    <w:rsid w:val="76BB79B1"/>
    <w:rsid w:val="76C17E06"/>
    <w:rsid w:val="76CA67BD"/>
    <w:rsid w:val="774E6400"/>
    <w:rsid w:val="775B0046"/>
    <w:rsid w:val="78796248"/>
    <w:rsid w:val="79700BEF"/>
    <w:rsid w:val="79F85634"/>
    <w:rsid w:val="7A090695"/>
    <w:rsid w:val="7AE175F4"/>
    <w:rsid w:val="7B417685"/>
    <w:rsid w:val="7B5220F0"/>
    <w:rsid w:val="7B6B04BE"/>
    <w:rsid w:val="7BA169C0"/>
    <w:rsid w:val="7BE95D3C"/>
    <w:rsid w:val="7CAD595B"/>
    <w:rsid w:val="7CF65D07"/>
    <w:rsid w:val="7D2975D1"/>
    <w:rsid w:val="7DCC0CD6"/>
    <w:rsid w:val="7EF76E2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34</Pages>
  <Words>8126</Words>
  <Characters>9429</Characters>
  <Lines>71</Lines>
  <Paragraphs>20</Paragraphs>
  <TotalTime>8</TotalTime>
  <ScaleCrop>false</ScaleCrop>
  <LinksUpToDate>false</LinksUpToDate>
  <CharactersWithSpaces>10120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2024-01-30T01:00:14Z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commondata">
    <vt:lpwstr>eyJoZGlkIjoiZWM5MjE1YWFmYzZkMzU5ZGRkN2NlNjYxOGIzMjAyOWQifQ==</vt:lpwstr>
  </property>
  <property fmtid="{D5CDD505-2E9C-101B-9397-08002B2CF9AE}" pid="4" name="ICV">
    <vt:lpwstr>1288F524B76B49E2A6EF9F846648ED55_13</vt:lpwstr>
  </property>
</Properties>
</file>