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通榆县互联网信息中心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ascii="仿宋" w:hAnsi="仿宋" w:eastAsia="仿宋" w:cs="仿宋"/>
        </w:rPr>
      </w:pPr>
      <w:r>
        <w:rPr>
          <w:rFonts w:hint="eastAsia" w:ascii="仿宋" w:hAnsi="仿宋" w:eastAsia="仿宋" w:cs="仿宋"/>
        </w:rPr>
        <w:t>一、主要职能</w:t>
      </w:r>
    </w:p>
    <w:p>
      <w:pPr>
        <w:keepNext w:val="0"/>
        <w:keepLines w:val="0"/>
        <w:widowControl/>
        <w:suppressLineNumbers w:val="0"/>
        <w:ind w:firstLine="640" w:firstLineChars="200"/>
        <w:jc w:val="left"/>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负责网络安全服务，网上意识形态领域的现象汇集及网上舆情的监测、研判、分析、处置；负责为网络文明、网络文化、网络公益等建设和发展提供服务保障；负债开展互联网新闻宣传，为全县政务新媒体建设和发展提供服务保障；负责承担全县互联网违法和不良信息举报工作；负债开展网络评论员队伍的建设和网络评论引导工作；负债网络安全应急指挥服务保障等工作。</w:t>
      </w:r>
    </w:p>
    <w:p>
      <w:pPr>
        <w:keepNext w:val="0"/>
        <w:keepLines w:val="0"/>
        <w:widowControl/>
        <w:numPr>
          <w:ilvl w:val="0"/>
          <w:numId w:val="0"/>
        </w:numPr>
        <w:suppressLineNumbers w:val="0"/>
        <w:ind w:left="280" w:leftChars="0"/>
        <w:jc w:val="left"/>
        <w:rPr>
          <w:rFonts w:hint="eastAsia" w:ascii="仿宋" w:hAnsi="仿宋" w:eastAsia="仿宋" w:cs="仿宋"/>
        </w:rPr>
      </w:pPr>
      <w:r>
        <w:rPr>
          <w:rFonts w:hint="eastAsia" w:ascii="仿宋" w:hAnsi="仿宋" w:eastAsia="仿宋" w:cs="仿宋"/>
          <w:sz w:val="32"/>
          <w:szCs w:val="40"/>
          <w:lang w:val="en-US" w:eastAsia="zh-CN"/>
        </w:rPr>
        <w:t xml:space="preserve"> </w:t>
      </w:r>
      <w:r>
        <w:rPr>
          <w:rFonts w:hint="eastAsia" w:ascii="仿宋" w:hAnsi="仿宋" w:eastAsia="仿宋" w:cs="仿宋"/>
        </w:rPr>
        <w:t>二、机构设置</w:t>
      </w:r>
    </w:p>
    <w:p>
      <w:pPr>
        <w:keepNext w:val="0"/>
        <w:keepLines w:val="0"/>
        <w:widowControl/>
        <w:numPr>
          <w:ilvl w:val="0"/>
          <w:numId w:val="0"/>
        </w:numPr>
        <w:suppressLineNumbers w:val="0"/>
        <w:ind w:leftChars="0"/>
        <w:jc w:val="left"/>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 xml:space="preserve"> 根据所承担的工作职责和编制总量，</w:t>
      </w:r>
      <w:r>
        <w:rPr>
          <w:rFonts w:hint="eastAsia" w:ascii="仿宋" w:hAnsi="仿宋" w:eastAsia="仿宋" w:cs="仿宋"/>
          <w:sz w:val="32"/>
          <w:szCs w:val="40"/>
          <w:u w:val="single"/>
          <w:lang w:val="en-US" w:eastAsia="zh-CN"/>
        </w:rPr>
        <w:t>通榆县互联网信息中心</w:t>
      </w:r>
      <w:r>
        <w:rPr>
          <w:rFonts w:hint="eastAsia" w:ascii="仿宋" w:hAnsi="仿宋" w:eastAsia="仿宋" w:cs="仿宋"/>
          <w:sz w:val="32"/>
          <w:szCs w:val="40"/>
          <w:lang w:val="en-US" w:eastAsia="zh-CN"/>
        </w:rPr>
        <w:t>设</w:t>
      </w:r>
      <w:r>
        <w:rPr>
          <w:rFonts w:hint="eastAsia" w:ascii="仿宋" w:hAnsi="仿宋" w:eastAsia="仿宋" w:cs="仿宋"/>
          <w:sz w:val="32"/>
          <w:szCs w:val="40"/>
          <w:u w:val="single"/>
          <w:lang w:val="en-US" w:eastAsia="zh-CN"/>
        </w:rPr>
        <w:t>4</w:t>
      </w:r>
      <w:r>
        <w:rPr>
          <w:rFonts w:hint="eastAsia" w:ascii="仿宋" w:hAnsi="仿宋" w:eastAsia="仿宋" w:cs="仿宋"/>
          <w:sz w:val="32"/>
          <w:szCs w:val="40"/>
          <w:lang w:val="en-US" w:eastAsia="zh-CN"/>
        </w:rPr>
        <w:t>个内设机构。</w:t>
      </w:r>
    </w:p>
    <w:p>
      <w:pPr>
        <w:keepNext w:val="0"/>
        <w:keepLines w:val="0"/>
        <w:widowControl/>
        <w:numPr>
          <w:ilvl w:val="0"/>
          <w:numId w:val="1"/>
        </w:numPr>
        <w:suppressLineNumbers w:val="0"/>
        <w:ind w:left="280" w:leftChars="0" w:firstLine="0" w:firstLineChars="0"/>
        <w:jc w:val="left"/>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综合科</w:t>
      </w:r>
    </w:p>
    <w:p>
      <w:pPr>
        <w:keepNext w:val="0"/>
        <w:keepLines w:val="0"/>
        <w:widowControl/>
        <w:numPr>
          <w:ilvl w:val="0"/>
          <w:numId w:val="1"/>
        </w:numPr>
        <w:suppressLineNumbers w:val="0"/>
        <w:ind w:left="280" w:leftChars="0" w:firstLine="0" w:firstLineChars="0"/>
        <w:jc w:val="left"/>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舆情处置科</w:t>
      </w:r>
    </w:p>
    <w:p>
      <w:pPr>
        <w:keepNext w:val="0"/>
        <w:keepLines w:val="0"/>
        <w:widowControl/>
        <w:numPr>
          <w:ilvl w:val="0"/>
          <w:numId w:val="1"/>
        </w:numPr>
        <w:suppressLineNumbers w:val="0"/>
        <w:ind w:left="280" w:leftChars="0" w:firstLine="0" w:firstLineChars="0"/>
        <w:jc w:val="left"/>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网络服务科</w:t>
      </w:r>
    </w:p>
    <w:p>
      <w:pPr>
        <w:keepNext w:val="0"/>
        <w:keepLines w:val="0"/>
        <w:widowControl/>
        <w:numPr>
          <w:ilvl w:val="0"/>
          <w:numId w:val="1"/>
        </w:numPr>
        <w:suppressLineNumbers w:val="0"/>
        <w:ind w:left="280" w:leftChars="0" w:firstLine="0" w:firstLineChars="0"/>
        <w:jc w:val="left"/>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应急保障科</w:t>
      </w:r>
    </w:p>
    <w:p>
      <w:pPr>
        <w:keepNext w:val="0"/>
        <w:keepLines w:val="0"/>
        <w:widowControl/>
        <w:numPr>
          <w:ilvl w:val="0"/>
          <w:numId w:val="0"/>
        </w:numPr>
        <w:suppressLineNumbers w:val="0"/>
        <w:ind w:left="280" w:leftChars="0"/>
        <w:jc w:val="left"/>
        <w:rPr>
          <w:rFonts w:hint="eastAsia" w:ascii="仿宋_GB2312" w:hAnsi="仿宋_GB2312" w:eastAsia="仿宋_GB2312" w:cs="仿宋_GB2312"/>
        </w:rPr>
      </w:pPr>
      <w:r>
        <w:rPr>
          <w:rFonts w:hint="eastAsia" w:ascii="仿宋" w:hAnsi="仿宋" w:eastAsia="仿宋" w:cs="仿宋"/>
          <w:sz w:val="32"/>
          <w:szCs w:val="40"/>
          <w:lang w:val="en-US" w:eastAsia="zh-CN"/>
        </w:rPr>
        <w:t>内设机构职责根据本单位主要职责自行分解。</w:t>
      </w:r>
      <w:r>
        <w:rPr>
          <w:rFonts w:ascii="仿宋" w:hAnsi="仿宋" w:eastAsia="仿宋" w:cs="仿宋"/>
          <w:color w:val="000000"/>
          <w:kern w:val="0"/>
          <w:sz w:val="31"/>
          <w:szCs w:val="31"/>
          <w:lang w:val="en-US" w:eastAsia="zh-CN" w:bidi="ar"/>
        </w:rPr>
        <w:t>下设 0 家预算单位。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19.10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19.10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3.49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3.49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1.12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1.12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通榆县互联网信息中心</w:t>
            </w: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25.74 </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19.10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19.10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网信</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19.10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19.10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19.10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19.10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11"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    3.49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    3.49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其他行政事业单位养老支出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1.12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 xml:space="preserve">  1.12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r>
            <w:tr>
              <w:tblPrEx>
                <w:tblCellMar>
                  <w:top w:w="15" w:type="dxa"/>
                  <w:left w:w="15" w:type="dxa"/>
                  <w:bottom w:w="15" w:type="dxa"/>
                  <w:right w:w="15" w:type="dxa"/>
                </w:tblCellMar>
              </w:tblPrEx>
              <w:trPr>
                <w:trHeight w:val="330" w:hRule="atLeast"/>
              </w:trPr>
              <w:tc>
                <w:tcPr>
                  <w:tcW w:w="0" w:type="auto"/>
                  <w:vAlign w:val="center"/>
                </w:tcPr>
                <w:p>
                  <w:pPr>
                    <w:keepNext w:val="0"/>
                    <w:keepLines w:val="0"/>
                    <w:widowControl/>
                    <w:suppressLineNumbers w:val="0"/>
                    <w:ind w:firstLine="380" w:firstLineChars="200"/>
                    <w:jc w:val="left"/>
                    <w:rPr>
                      <w:rFonts w:hint="default" w:ascii="宋体" w:hAnsi="宋体" w:eastAsia="宋体" w:cs="宋体"/>
                      <w:color w:val="000000"/>
                      <w:kern w:val="0"/>
                      <w:sz w:val="19"/>
                      <w:szCs w:val="19"/>
                      <w:lang w:val="en-US" w:eastAsia="zh-CN" w:bidi="ar"/>
                    </w:rPr>
                  </w:pPr>
                </w:p>
              </w:tc>
              <w:tc>
                <w:tcPr>
                  <w:tcW w:w="0" w:type="auto"/>
                </w:tcPr>
                <w:p>
                  <w:pPr>
                    <w:widowControl/>
                    <w:jc w:val="right"/>
                    <w:rPr>
                      <w:rFonts w:hint="default" w:eastAsia="宋体"/>
                      <w:color w:val="000000"/>
                      <w:kern w:val="0"/>
                      <w:sz w:val="20"/>
                      <w:lang w:val="en-US" w:eastAsia="zh-CN"/>
                    </w:rPr>
                  </w:pPr>
                </w:p>
              </w:tc>
              <w:tc>
                <w:tcPr>
                  <w:tcW w:w="0" w:type="auto"/>
                </w:tcPr>
                <w:p>
                  <w:pPr>
                    <w:widowControl/>
                    <w:jc w:val="right"/>
                    <w:rPr>
                      <w:rFonts w:hint="default" w:eastAsia="宋体"/>
                      <w:color w:val="000000"/>
                      <w:kern w:val="0"/>
                      <w:sz w:val="20"/>
                      <w:lang w:val="en-US" w:eastAsia="zh-CN"/>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vAlign w:val="center"/>
                </w:tcPr>
                <w:p>
                  <w:pPr>
                    <w:keepNext w:val="0"/>
                    <w:keepLines w:val="0"/>
                    <w:widowControl/>
                    <w:suppressLineNumbers w:val="0"/>
                    <w:ind w:firstLine="570" w:firstLineChars="300"/>
                    <w:jc w:val="left"/>
                    <w:rPr>
                      <w:rFonts w:hint="default" w:ascii="宋体" w:hAnsi="宋体" w:eastAsia="宋体" w:cs="宋体"/>
                      <w:color w:val="000000"/>
                      <w:kern w:val="0"/>
                      <w:sz w:val="19"/>
                      <w:szCs w:val="19"/>
                      <w:lang w:val="en-US" w:eastAsia="zh-CN" w:bidi="ar"/>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 xml:space="preserve">25.74 </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25.74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 xml:space="preserve">  25.74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25.74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 xml:space="preserve"> </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1.12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hint="default" w:eastAsia="宋体"/>
                      <w:kern w:val="0"/>
                      <w:sz w:val="20"/>
                      <w:lang w:val="en-US" w:eastAsia="zh-CN"/>
                    </w:rPr>
                  </w:pPr>
                  <w:r>
                    <w:rPr>
                      <w:rFonts w:hint="eastAsia" w:eastAsia="宋体"/>
                      <w:kern w:val="0"/>
                      <w:sz w:val="20"/>
                      <w:lang w:val="en-US" w:eastAsia="zh-CN"/>
                    </w:rPr>
                    <w:t>2.03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25.74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25.74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25.74</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25.74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网信事务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二、社会保障和就业运行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黑体"/>
                      <w:kern w:val="0"/>
                      <w:sz w:val="20"/>
                      <w:lang w:val="en-US" w:eastAsia="zh-CN"/>
                    </w:rPr>
                    <w:t>25.74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eastAsia="宋体"/>
                <w:kern w:val="0"/>
                <w:sz w:val="20"/>
                <w:lang w:val="en-US" w:eastAsia="zh-CN"/>
              </w:rPr>
              <w:t xml:space="preserve">    23.82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0.27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both"/>
              <w:textAlignment w:val="center"/>
              <w:rPr>
                <w:rFonts w:hint="default" w:eastAsia="宋体"/>
                <w:color w:val="000000"/>
                <w:kern w:val="0"/>
                <w:sz w:val="20"/>
                <w:lang w:val="en-US" w:eastAsia="zh-CN"/>
              </w:rPr>
            </w:pPr>
            <w:r>
              <w:rPr>
                <w:rFonts w:hint="eastAsia" w:eastAsia="宋体"/>
                <w:color w:val="000000"/>
                <w:kern w:val="0"/>
                <w:sz w:val="20"/>
                <w:lang w:val="en-US" w:eastAsia="zh-CN"/>
              </w:rPr>
              <w:t>三、资本性支出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0.3</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本单位2023年4月份成立，无上年数据。</w:t>
      </w:r>
    </w:p>
    <w:p>
      <w:pPr>
        <w:ind w:firstLine="600" w:firstLineChars="200"/>
        <w:rPr>
          <w:sz w:val="30"/>
          <w:szCs w:val="30"/>
          <w:u w:val="single"/>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19.10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3.49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1.12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2.03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23.82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1.92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w:t>
      </w:r>
      <w:r>
        <w:rPr>
          <w:rFonts w:hint="eastAsia" w:ascii="仿宋_GB2312" w:hAnsi="仿宋_GB2312" w:eastAsia="仿宋_GB2312" w:cs="仿宋_GB2312"/>
          <w:szCs w:val="32"/>
          <w:u w:val="single"/>
        </w:rPr>
        <w:t>%</w:t>
      </w:r>
    </w:p>
    <w:p>
      <w:pPr>
        <w:spacing w:line="520" w:lineRule="exact"/>
        <w:ind w:firstLine="518" w:firstLineChars="162"/>
        <w:rPr>
          <w:rFonts w:hint="default" w:ascii="仿宋_GB2312" w:hAnsi="仿宋_GB2312" w:eastAsia="仿宋_GB2312" w:cs="仿宋_GB2312"/>
          <w:szCs w:val="32"/>
          <w:u w:val="single"/>
          <w:lang w:val="en-US"/>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19.10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财政事务——事业运行</w:t>
      </w:r>
    </w:p>
    <w:p>
      <w:pPr>
        <w:spacing w:line="520" w:lineRule="exact"/>
        <w:ind w:firstLine="518" w:firstLineChars="162"/>
        <w:rPr>
          <w:rFonts w:hint="eastAsia" w:ascii="仿宋_GB2312" w:hAnsi="仿宋_GB2312" w:eastAsia="仿宋_GB2312" w:cs="仿宋_GB2312"/>
          <w:szCs w:val="32"/>
          <w:u w:val="single"/>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3.49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13.56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r>
        <w:rPr>
          <w:rFonts w:hint="eastAsia" w:ascii="仿宋_GB2312" w:hAnsi="仿宋_GB2312" w:eastAsia="仿宋_GB2312" w:cs="仿宋_GB2312"/>
          <w:szCs w:val="32"/>
          <w:u w:val="single"/>
        </w:rPr>
        <w:t>主要用于</w:t>
      </w:r>
      <w:r>
        <w:rPr>
          <w:rFonts w:hint="eastAsia" w:ascii="仿宋_GB2312" w:hAnsi="仿宋_GB2312" w:cs="仿宋_GB2312"/>
          <w:szCs w:val="32"/>
          <w:u w:val="single"/>
          <w:lang w:val="en-US" w:eastAsia="zh-CN"/>
        </w:rPr>
        <w:t>行政事业单位养老支出——机关事业单位基本养老保险缴费支出及机关事业单位职业年金养老支出</w:t>
      </w:r>
      <w:r>
        <w:rPr>
          <w:rFonts w:hint="eastAsia" w:ascii="仿宋_GB2312" w:hAnsi="仿宋_GB2312" w:eastAsia="仿宋_GB2312" w:cs="仿宋_GB2312"/>
          <w:szCs w:val="32"/>
          <w:u w:val="single"/>
        </w:rPr>
        <w:t>。</w:t>
      </w:r>
    </w:p>
    <w:p>
      <w:pPr>
        <w:spacing w:line="520" w:lineRule="exact"/>
        <w:ind w:firstLine="518" w:firstLineChars="162"/>
        <w:rPr>
          <w:rFonts w:hint="eastAsia"/>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2.03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7.9</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住房改革支出—住房公积金</w:t>
      </w:r>
      <w:r>
        <w:rPr>
          <w:rFonts w:hint="eastAsia" w:ascii="仿宋_GB2312" w:hAnsi="仿宋_GB2312" w:eastAsia="仿宋_GB2312" w:cs="仿宋_GB2312"/>
          <w:szCs w:val="32"/>
          <w:u w:val="single"/>
        </w:rPr>
        <w:t>。</w:t>
      </w:r>
    </w:p>
    <w:p>
      <w:pPr>
        <w:keepNext w:val="0"/>
        <w:keepLines w:val="0"/>
        <w:widowControl/>
        <w:suppressLineNumbers w:val="0"/>
        <w:ind w:firstLine="620" w:firstLineChars="200"/>
        <w:jc w:val="left"/>
        <w:rPr>
          <w:u w:val="single"/>
        </w:rPr>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u w:val="single"/>
          <w:lang w:val="en-US" w:eastAsia="zh-CN" w:bidi="ar"/>
        </w:rPr>
        <w:t>1.12</w:t>
      </w:r>
      <w:r>
        <w:rPr>
          <w:rFonts w:ascii="仿宋" w:hAnsi="仿宋" w:eastAsia="仿宋" w:cs="仿宋"/>
          <w:color w:val="000000"/>
          <w:kern w:val="0"/>
          <w:sz w:val="31"/>
          <w:szCs w:val="31"/>
          <w:lang w:val="en-US" w:eastAsia="zh-CN" w:bidi="ar"/>
        </w:rPr>
        <w:t xml:space="preserve"> 万元，占</w:t>
      </w:r>
      <w:r>
        <w:rPr>
          <w:rFonts w:ascii="仿宋" w:hAnsi="仿宋" w:eastAsia="仿宋" w:cs="仿宋"/>
          <w:color w:val="000000"/>
          <w:kern w:val="0"/>
          <w:sz w:val="31"/>
          <w:szCs w:val="31"/>
          <w:u w:val="single"/>
          <w:lang w:val="en-US" w:eastAsia="zh-CN" w:bidi="ar"/>
        </w:rPr>
        <w:t xml:space="preserve"> </w:t>
      </w:r>
      <w:r>
        <w:rPr>
          <w:rFonts w:hint="eastAsia" w:ascii="仿宋" w:hAnsi="仿宋" w:eastAsia="仿宋" w:cs="仿宋"/>
          <w:color w:val="000000"/>
          <w:kern w:val="0"/>
          <w:sz w:val="31"/>
          <w:szCs w:val="31"/>
          <w:u w:val="single"/>
          <w:lang w:val="en-US" w:eastAsia="zh-CN" w:bidi="ar"/>
        </w:rPr>
        <w:t>4.4</w:t>
      </w:r>
      <w:r>
        <w:rPr>
          <w:rFonts w:ascii="仿宋" w:hAnsi="仿宋" w:eastAsia="仿宋" w:cs="仿宋"/>
          <w:color w:val="000000"/>
          <w:kern w:val="0"/>
          <w:sz w:val="31"/>
          <w:szCs w:val="31"/>
          <w:u w:val="single"/>
          <w:lang w:val="en-US" w:eastAsia="zh-CN" w:bidi="ar"/>
        </w:rPr>
        <w:t>%</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行政事</w:t>
      </w:r>
      <w:r>
        <w:rPr>
          <w:rFonts w:hint="eastAsia" w:ascii="仿宋" w:hAnsi="仿宋" w:eastAsia="仿宋" w:cs="仿宋"/>
          <w:color w:val="000000"/>
          <w:kern w:val="0"/>
          <w:sz w:val="31"/>
          <w:szCs w:val="31"/>
          <w:u w:val="single"/>
          <w:lang w:val="en-US" w:eastAsia="zh-CN" w:bidi="ar"/>
        </w:rPr>
        <w:t>业单位医疗--事业单位医疗</w:t>
      </w:r>
    </w:p>
    <w:p>
      <w:pPr>
        <w:spacing w:line="520" w:lineRule="exact"/>
        <w:ind w:firstLine="640" w:firstLineChars="200"/>
        <w:rPr>
          <w:rFonts w:eastAsia="楷体"/>
          <w:szCs w:val="32"/>
        </w:rPr>
      </w:pPr>
    </w:p>
    <w:p>
      <w:pPr>
        <w:spacing w:line="520" w:lineRule="exact"/>
        <w:rPr>
          <w:rFonts w:eastAsia="楷体"/>
          <w:szCs w:val="32"/>
        </w:rPr>
      </w:pP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25.74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23.82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w:t>
      </w:r>
      <w:r>
        <w:rPr>
          <w:rFonts w:hint="eastAsia" w:ascii="仿宋_GB2312" w:hAnsi="仿宋_GB2312" w:cs="仿宋_GB2312"/>
          <w:szCs w:val="32"/>
          <w:u w:val="none"/>
          <w:lang w:val="en-US" w:eastAsia="zh-CN"/>
        </w:rPr>
        <w:t>机关事业单位基本养老保险缴费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住房公积金、职工基本医疗保险缴费、职业年金缴费、</w:t>
      </w:r>
      <w:r>
        <w:rPr>
          <w:rFonts w:hint="eastAsia" w:ascii="仿宋_GB2312" w:hAnsi="仿宋_GB2312" w:eastAsia="仿宋_GB2312" w:cs="仿宋_GB2312"/>
          <w:kern w:val="0"/>
          <w:szCs w:val="32"/>
        </w:rPr>
        <w:t>其他工资福利支出。</w:t>
      </w:r>
    </w:p>
    <w:p>
      <w:pPr>
        <w:keepNext w:val="0"/>
        <w:keepLines w:val="0"/>
        <w:widowControl/>
        <w:suppressLineNumbers w:val="0"/>
        <w:ind w:firstLine="640" w:firstLineChars="200"/>
        <w:jc w:val="left"/>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1.92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ascii="仿宋" w:hAnsi="仿宋" w:eastAsia="仿宋" w:cs="仿宋"/>
          <w:color w:val="000000"/>
          <w:kern w:val="0"/>
          <w:sz w:val="31"/>
          <w:szCs w:val="31"/>
          <w:lang w:val="en-US" w:eastAsia="zh-CN" w:bidi="ar"/>
        </w:rPr>
        <w:t>其他商品和服务支出、办公</w:t>
      </w:r>
      <w:r>
        <w:rPr>
          <w:rFonts w:hint="eastAsia" w:ascii="仿宋" w:hAnsi="仿宋" w:eastAsia="仿宋" w:cs="仿宋"/>
          <w:color w:val="000000"/>
          <w:kern w:val="0"/>
          <w:sz w:val="31"/>
          <w:szCs w:val="31"/>
          <w:lang w:val="en-US" w:eastAsia="zh-CN" w:bidi="ar"/>
        </w:rPr>
        <w:t>设备购置。</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0.3</w:t>
      </w:r>
      <w:r>
        <w:rPr>
          <w:rFonts w:hint="eastAsia" w:ascii="仿宋_GB2312" w:hAnsi="仿宋_GB2312" w:eastAsia="仿宋_GB2312" w:cs="仿宋_GB2312"/>
          <w:szCs w:val="32"/>
        </w:rPr>
        <w:t>万元。其中：</w:t>
      </w:r>
      <w:r>
        <w:rPr>
          <w:rFonts w:hint="eastAsia" w:ascii="仿宋_GB2312" w:hAnsi="仿宋_GB2312" w:cs="仿宋_GB2312"/>
          <w:szCs w:val="32"/>
          <w:u w:val="single"/>
          <w:lang w:val="en-US" w:eastAsia="zh-CN"/>
        </w:rPr>
        <w:t>本单位新成立无上年数据。</w:t>
      </w:r>
    </w:p>
    <w:p>
      <w:pPr>
        <w:keepNext w:val="0"/>
        <w:keepLines w:val="0"/>
        <w:widowControl/>
        <w:suppressLineNumbers w:val="0"/>
        <w:ind w:firstLine="320" w:firstLineChars="100"/>
        <w:jc w:val="left"/>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w:t>
      </w:r>
      <w:r>
        <w:rPr>
          <w:rFonts w:hint="eastAsia" w:ascii="仿宋" w:hAnsi="仿宋" w:eastAsia="仿宋" w:cs="仿宋"/>
          <w:color w:val="000000"/>
          <w:kern w:val="0"/>
          <w:sz w:val="31"/>
          <w:szCs w:val="31"/>
          <w:u w:val="single"/>
          <w:lang w:val="en-US" w:eastAsia="zh-CN" w:bidi="ar"/>
        </w:rPr>
        <w:t>因公出国</w:t>
      </w:r>
      <w:r>
        <w:rPr>
          <w:rFonts w:ascii="仿宋" w:hAnsi="仿宋" w:eastAsia="仿宋" w:cs="仿宋"/>
          <w:color w:val="000000"/>
          <w:kern w:val="0"/>
          <w:sz w:val="31"/>
          <w:szCs w:val="31"/>
          <w:u w:val="single"/>
          <w:lang w:val="en-US" w:eastAsia="zh-CN" w:bidi="ar"/>
        </w:rPr>
        <w:t>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u w:val="single"/>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中共通榆县委宣传部—通榆县互联网信息中心产生公务接待费</w:t>
      </w:r>
      <w:r>
        <w:rPr>
          <w:rFonts w:hint="eastAsia" w:ascii="仿宋_GB2312" w:hAnsi="仿宋_GB2312" w:eastAsia="仿宋_GB2312" w:cs="仿宋_GB2312"/>
          <w:szCs w:val="32"/>
          <w:u w:val="single"/>
          <w:lang w:eastAsia="zh-CN"/>
        </w:rPr>
        <w:t>。</w:t>
      </w:r>
    </w:p>
    <w:p>
      <w:pPr>
        <w:keepNext w:val="0"/>
        <w:keepLines w:val="0"/>
        <w:widowControl/>
        <w:suppressLineNumbers w:val="0"/>
        <w:ind w:firstLine="640" w:firstLineChars="200"/>
        <w:jc w:val="left"/>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lang w:val="en-US" w:eastAsia="zh-CN" w:bidi="ar"/>
        </w:rPr>
        <w:t>本部门无一般公共预算拨款。</w:t>
      </w:r>
    </w:p>
    <w:p>
      <w:pPr>
        <w:keepNext w:val="0"/>
        <w:keepLines w:val="0"/>
        <w:widowControl/>
        <w:suppressLineNumbers w:val="0"/>
        <w:jc w:val="left"/>
      </w:pP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w:t>
      </w:r>
      <w:r>
        <w:rPr>
          <w:rFonts w:hint="eastAsia" w:ascii="仿宋" w:hAnsi="仿宋" w:eastAsia="仿宋" w:cs="仿宋"/>
          <w:color w:val="000000"/>
          <w:kern w:val="0"/>
          <w:sz w:val="31"/>
          <w:szCs w:val="31"/>
          <w:u w:val="single"/>
          <w:lang w:val="en-US" w:eastAsia="zh-CN" w:bidi="ar"/>
        </w:rPr>
        <w:t>公务用车购置及运行费</w:t>
      </w:r>
      <w:r>
        <w:rPr>
          <w:rFonts w:ascii="仿宋" w:hAnsi="仿宋" w:eastAsia="仿宋" w:cs="仿宋"/>
          <w:color w:val="000000"/>
          <w:kern w:val="0"/>
          <w:sz w:val="31"/>
          <w:szCs w:val="31"/>
          <w:u w:val="single"/>
          <w:lang w:val="en-US" w:eastAsia="zh-CN" w:bidi="ar"/>
        </w:rPr>
        <w:t>预算拨款</w:t>
      </w:r>
      <w:r>
        <w:rPr>
          <w:rFonts w:ascii="仿宋" w:hAnsi="仿宋" w:eastAsia="仿宋" w:cs="仿宋"/>
          <w:color w:val="000000"/>
          <w:kern w:val="0"/>
          <w:sz w:val="31"/>
          <w:szCs w:val="31"/>
          <w:lang w:val="en-US" w:eastAsia="zh-CN" w:bidi="ar"/>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keepNext w:val="0"/>
        <w:keepLines w:val="0"/>
        <w:widowControl/>
        <w:suppressLineNumbers w:val="0"/>
        <w:ind w:firstLine="640" w:firstLineChars="200"/>
        <w:jc w:val="left"/>
        <w:rPr>
          <w:u w:val="singl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w:t>
      </w:r>
      <w:r>
        <w:rPr>
          <w:rFonts w:hint="eastAsia" w:ascii="仿宋" w:hAnsi="仿宋" w:eastAsia="仿宋" w:cs="仿宋"/>
          <w:color w:val="000000"/>
          <w:kern w:val="0"/>
          <w:sz w:val="31"/>
          <w:szCs w:val="31"/>
          <w:u w:val="single"/>
          <w:lang w:val="en-US" w:eastAsia="zh-CN" w:bidi="ar"/>
        </w:rPr>
        <w:t>政府性基金预算拨款。</w:t>
      </w:r>
    </w:p>
    <w:p>
      <w:pPr>
        <w:ind w:firstLine="640"/>
        <w:rPr>
          <w:rFonts w:hint="eastAsia" w:ascii="仿宋_GB2312" w:hAnsi="仿宋_GB2312" w:eastAsia="仿宋_GB2312" w:cs="仿宋_GB2312"/>
          <w:szCs w:val="32"/>
          <w:highlight w:val="none"/>
        </w:rPr>
      </w:pPr>
    </w:p>
    <w:p>
      <w:pPr>
        <w:keepNext w:val="0"/>
        <w:keepLines w:val="0"/>
        <w:widowControl/>
        <w:suppressLineNumbers w:val="0"/>
        <w:ind w:firstLine="640" w:firstLineChars="200"/>
        <w:jc w:val="left"/>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 xml:space="preserve">本部门无 </w:t>
      </w:r>
      <w:r>
        <w:rPr>
          <w:rFonts w:hint="eastAsia" w:ascii="仿宋" w:hAnsi="仿宋" w:eastAsia="仿宋" w:cs="仿宋"/>
          <w:color w:val="000000"/>
          <w:kern w:val="0"/>
          <w:sz w:val="31"/>
          <w:szCs w:val="31"/>
          <w:u w:val="single"/>
          <w:lang w:val="en-US" w:eastAsia="zh-CN" w:bidi="ar"/>
        </w:rPr>
        <w:t>政府性基金预算拨款</w:t>
      </w:r>
      <w:r>
        <w:rPr>
          <w:rFonts w:hint="eastAsia" w:ascii="仿宋" w:hAnsi="仿宋" w:eastAsia="仿宋" w:cs="仿宋"/>
          <w:color w:val="000000"/>
          <w:kern w:val="0"/>
          <w:sz w:val="31"/>
          <w:szCs w:val="31"/>
          <w:lang w:val="en-US" w:eastAsia="zh-CN" w:bidi="ar"/>
        </w:rPr>
        <w:t>。</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ind w:firstLine="640" w:firstLineChars="200"/>
        <w:jc w:val="left"/>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 xml:space="preserve">本部门无 </w:t>
      </w:r>
      <w:r>
        <w:rPr>
          <w:rFonts w:hint="eastAsia" w:ascii="仿宋" w:hAnsi="仿宋" w:eastAsia="仿宋" w:cs="仿宋"/>
          <w:color w:val="000000"/>
          <w:kern w:val="0"/>
          <w:sz w:val="31"/>
          <w:szCs w:val="31"/>
          <w:u w:val="single"/>
          <w:lang w:val="en-US" w:eastAsia="zh-CN" w:bidi="ar"/>
        </w:rPr>
        <w:t>政府性基金预算拨款。</w:t>
      </w:r>
    </w:p>
    <w:p>
      <w:pPr>
        <w:ind w:firstLine="640"/>
        <w:rPr>
          <w:rFonts w:hint="eastAsia" w:ascii="仿宋_GB2312" w:hAnsi="仿宋_GB2312" w:eastAsia="仿宋_GB2312" w:cs="仿宋_GB2312"/>
          <w:szCs w:val="32"/>
          <w:highlight w:val="none"/>
        </w:rPr>
      </w:pPr>
    </w:p>
    <w:p>
      <w:pPr>
        <w:keepNext w:val="0"/>
        <w:keepLines w:val="0"/>
        <w:widowControl/>
        <w:suppressLineNumbers w:val="0"/>
        <w:ind w:firstLine="640" w:firstLineChars="200"/>
        <w:jc w:val="left"/>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kern w:val="0"/>
          <w:sz w:val="31"/>
          <w:szCs w:val="31"/>
          <w:u w:val="single"/>
          <w:lang w:val="en-US" w:eastAsia="zh-CN" w:bidi="ar"/>
        </w:rPr>
        <w:t xml:space="preserve">本部门无 </w:t>
      </w:r>
      <w:r>
        <w:rPr>
          <w:rFonts w:hint="eastAsia" w:ascii="仿宋" w:hAnsi="仿宋" w:eastAsia="仿宋" w:cs="仿宋"/>
          <w:b w:val="0"/>
          <w:bCs w:val="0"/>
          <w:color w:val="000000"/>
          <w:kern w:val="0"/>
          <w:sz w:val="31"/>
          <w:szCs w:val="31"/>
          <w:u w:val="single"/>
          <w:lang w:val="en-US" w:eastAsia="zh-CN" w:bidi="ar"/>
        </w:rPr>
        <w:t>政府性基金预算拨款</w:t>
      </w:r>
      <w:r>
        <w:rPr>
          <w:rFonts w:hint="eastAsia" w:ascii="仿宋" w:hAnsi="仿宋" w:eastAsia="仿宋" w:cs="仿宋"/>
          <w:color w:val="000000"/>
          <w:kern w:val="0"/>
          <w:sz w:val="31"/>
          <w:szCs w:val="31"/>
          <w:lang w:val="en-US" w:eastAsia="zh-CN" w:bidi="ar"/>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keepNext w:val="0"/>
        <w:keepLines w:val="0"/>
        <w:widowControl/>
        <w:suppressLineNumbers w:val="0"/>
        <w:ind w:firstLine="640" w:firstLineChars="200"/>
        <w:jc w:val="left"/>
        <w:rPr>
          <w:u w:val="singl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 w:hAnsi="仿宋" w:eastAsia="仿宋" w:cs="仿宋"/>
          <w:color w:val="000000"/>
          <w:kern w:val="0"/>
          <w:sz w:val="31"/>
          <w:szCs w:val="31"/>
          <w:u w:val="single"/>
          <w:lang w:val="en-US" w:eastAsia="zh-CN" w:bidi="ar"/>
        </w:rPr>
        <w:t>。</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ind w:firstLine="640" w:firstLineChars="200"/>
        <w:jc w:val="left"/>
        <w:rPr>
          <w:u w:val="singl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ind w:firstLine="640" w:firstLineChars="200"/>
        <w:jc w:val="left"/>
        <w:rPr>
          <w:rFonts w:hint="eastAsia" w:ascii="仿宋_GB2312" w:hAnsi="仿宋_GB2312" w:eastAsia="仿宋" w:cs="仿宋_GB2312"/>
          <w:szCs w:val="32"/>
          <w:highlight w:val="none"/>
          <w:lang w:eastAsia="zh-CN"/>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eastAsia="仿宋"/>
          <w:u w:val="single"/>
          <w:lang w:eastAsia="zh-CN"/>
        </w:rPr>
        <w:t>。</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ind w:firstLine="640" w:firstLineChars="200"/>
        <w:jc w:val="left"/>
        <w:rPr>
          <w:u w:val="singl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 w:hAnsi="仿宋" w:eastAsia="仿宋" w:cs="仿宋"/>
          <w:color w:val="000000"/>
          <w:kern w:val="0"/>
          <w:sz w:val="31"/>
          <w:szCs w:val="31"/>
          <w:u w:val="single"/>
          <w:lang w:val="en-US" w:eastAsia="zh-CN" w:bidi="ar"/>
        </w:rPr>
        <w:t>。</w:t>
      </w:r>
    </w:p>
    <w:p>
      <w:pPr>
        <w:ind w:firstLine="640"/>
        <w:rPr>
          <w:rFonts w:hint="eastAsia" w:ascii="仿宋_GB2312" w:hAnsi="仿宋_GB2312" w:eastAsia="仿宋_GB2312" w:cs="仿宋_GB2312"/>
          <w:szCs w:val="32"/>
          <w:highlight w:val="none"/>
        </w:rPr>
      </w:pP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w:t>
      </w:r>
      <w:r>
        <w:rPr>
          <w:rFonts w:hint="eastAsia" w:ascii="仿宋_GB2312" w:hAnsi="仿宋_GB2312" w:cs="仿宋_GB2312"/>
          <w:szCs w:val="32"/>
          <w:lang w:val="en-US" w:eastAsia="zh-CN"/>
        </w:rPr>
        <w:t>事业</w:t>
      </w:r>
      <w:r>
        <w:rPr>
          <w:rFonts w:hint="eastAsia" w:ascii="仿宋_GB2312" w:hAnsi="仿宋_GB2312" w:eastAsia="仿宋_GB2312" w:cs="仿宋_GB2312"/>
          <w:szCs w:val="32"/>
        </w:rPr>
        <w:t>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w:t>
      </w:r>
      <w:r>
        <w:rPr>
          <w:rFonts w:hint="eastAsia" w:ascii="仿宋_GB2312" w:hAnsi="仿宋_GB2312" w:eastAsia="仿宋_GB2312" w:cs="仿宋_GB2312"/>
          <w:color w:val="auto"/>
          <w:szCs w:val="32"/>
        </w:rPr>
        <w:t>机关运行经费</w:t>
      </w:r>
      <w:r>
        <w:rPr>
          <w:rFonts w:hint="eastAsia" w:ascii="仿宋_GB2312" w:hAnsi="仿宋_GB2312" w:eastAsia="仿宋_GB2312" w:cs="仿宋_GB2312"/>
          <w:szCs w:val="32"/>
        </w:rPr>
        <w:t>财政拨款预算</w:t>
      </w:r>
      <w:r>
        <w:rPr>
          <w:rFonts w:hint="eastAsia" w:ascii="仿宋_GB2312" w:hAnsi="仿宋_GB2312" w:cs="仿宋_GB2312"/>
          <w:szCs w:val="32"/>
          <w:u w:val="single"/>
          <w:lang w:val="en-US" w:eastAsia="zh-CN"/>
        </w:rPr>
        <w:t>1.92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w:t>
      </w:r>
      <w:r>
        <w:rPr>
          <w:rFonts w:hint="eastAsia" w:ascii="仿宋_GB2312" w:hAnsi="仿宋_GB2312" w:cs="仿宋_GB2312"/>
          <w:szCs w:val="32"/>
          <w:lang w:val="en-US" w:eastAsia="zh-CN"/>
        </w:rPr>
        <w:t>增加</w:t>
      </w:r>
      <w:r>
        <w:rPr>
          <w:rFonts w:hint="eastAsia" w:ascii="仿宋_GB2312" w:hAnsi="仿宋_GB2312" w:cs="仿宋_GB2312"/>
          <w:szCs w:val="32"/>
          <w:u w:val="single"/>
          <w:lang w:val="en-US" w:eastAsia="zh-CN"/>
        </w:rPr>
        <w:t>1.92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单位需要运行的各项资金</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EEB1C3"/>
    <w:multiLevelType w:val="singleLevel"/>
    <w:tmpl w:val="38EEB1C3"/>
    <w:lvl w:ilvl="0" w:tentative="0">
      <w:start w:val="1"/>
      <w:numFmt w:val="chineseCounting"/>
      <w:suff w:val="nothing"/>
      <w:lvlText w:val="（%1）"/>
      <w:lvlJc w:val="left"/>
      <w:pPr>
        <w:ind w:left="280" w:leftChars="0" w:firstLine="0" w:firstLineChars="0"/>
      </w:pPr>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xZmZiYjFkMzRjOTRiNzY3YjFhZWUxOTQwM2UxMz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93532C"/>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EE1CEA"/>
    <w:rsid w:val="13F21722"/>
    <w:rsid w:val="1441443C"/>
    <w:rsid w:val="14C12787"/>
    <w:rsid w:val="15593E10"/>
    <w:rsid w:val="159F7E25"/>
    <w:rsid w:val="15F848D0"/>
    <w:rsid w:val="160E1FA5"/>
    <w:rsid w:val="160F2600"/>
    <w:rsid w:val="17765BCA"/>
    <w:rsid w:val="17A027D8"/>
    <w:rsid w:val="1908115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A2B35A0"/>
    <w:rsid w:val="2CF73565"/>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850D1"/>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1427F7"/>
    <w:rsid w:val="449C5E6A"/>
    <w:rsid w:val="456D114B"/>
    <w:rsid w:val="45DE30BD"/>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0F13C36"/>
    <w:rsid w:val="5136104F"/>
    <w:rsid w:val="51E55C99"/>
    <w:rsid w:val="52071113"/>
    <w:rsid w:val="52447C09"/>
    <w:rsid w:val="525A440D"/>
    <w:rsid w:val="54741940"/>
    <w:rsid w:val="54810E66"/>
    <w:rsid w:val="54C2556E"/>
    <w:rsid w:val="55480EEF"/>
    <w:rsid w:val="56570E30"/>
    <w:rsid w:val="57AE5C26"/>
    <w:rsid w:val="57DD75A9"/>
    <w:rsid w:val="580530E5"/>
    <w:rsid w:val="58256ABD"/>
    <w:rsid w:val="58B42C85"/>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6E08BB"/>
    <w:rsid w:val="6B7D5B36"/>
    <w:rsid w:val="6CF120A8"/>
    <w:rsid w:val="6FDD7DBD"/>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AD1D1A"/>
    <w:rsid w:val="79F85634"/>
    <w:rsid w:val="7A090695"/>
    <w:rsid w:val="7AE175F4"/>
    <w:rsid w:val="7B417685"/>
    <w:rsid w:val="7B5220F0"/>
    <w:rsid w:val="7B803CF3"/>
    <w:rsid w:val="7BA169C0"/>
    <w:rsid w:val="7BE95D3C"/>
    <w:rsid w:val="7CAD595B"/>
    <w:rsid w:val="7CC7607D"/>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2022-02-21T08:08:00Z</cp:lastPrinted>
  <dcterms:modified xsi:type="dcterms:W3CDTF">2024-01-26T03:21:39Z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4849081F2AF941DAAFA3D8E61BFD8BC3_13</vt:lpwstr>
  </property>
</Properties>
</file>