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lang w:eastAsia="zh-CN"/>
        </w:rPr>
        <w:t>中共通榆县委宣传部（本级）2024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spacing w:line="576" w:lineRule="exact"/>
        <w:ind w:firstLine="640" w:firstLineChars="200"/>
        <w:rPr>
          <w:rFonts w:hint="eastAsia"/>
          <w:szCs w:val="28"/>
        </w:rPr>
      </w:pPr>
      <w:r>
        <w:rPr>
          <w:rFonts w:hint="eastAsia"/>
          <w:szCs w:val="28"/>
        </w:rPr>
        <w:t>1．县委宣传部是县委主管意识形态方面工作的综合职能部门。紧紧围绕县委中心工作，研究提出全县宣传、思想、文化工作的指导方针；规划、部署全县宣传思想工作；在方针政策和宣传业务上指导全县各党委及基层党组织的工作；按照县委的统一部署、指导、协调宜传文化系统各部门的工作。</w:t>
      </w:r>
    </w:p>
    <w:p>
      <w:pPr>
        <w:spacing w:line="576" w:lineRule="exact"/>
        <w:ind w:firstLine="640" w:firstLineChars="200"/>
        <w:rPr>
          <w:rFonts w:hint="eastAsia"/>
          <w:szCs w:val="28"/>
        </w:rPr>
      </w:pPr>
      <w:r>
        <w:rPr>
          <w:rFonts w:hint="eastAsia"/>
          <w:szCs w:val="28"/>
        </w:rPr>
        <w:t>2．负责指导、协调、检査、监督全县理论学习、理论宣传、理论研究工作；统筹规划、指导全县社会科学工作者开展理论研究工作。</w:t>
      </w:r>
    </w:p>
    <w:p>
      <w:pPr>
        <w:spacing w:line="576" w:lineRule="exact"/>
        <w:ind w:firstLine="640" w:firstLineChars="200"/>
        <w:rPr>
          <w:rFonts w:hint="eastAsia"/>
          <w:szCs w:val="28"/>
        </w:rPr>
      </w:pPr>
      <w:r>
        <w:rPr>
          <w:rFonts w:hint="eastAsia"/>
          <w:szCs w:val="28"/>
        </w:rPr>
        <w:t>3．研究制定全县精神文明建设发展规划并组织活动组织开展全县创建精神文明建设先进单位和先进个人活动；组织开展农村精神文明建设活动；组织协调金县精神文明建设理论研究工作；负责《公民道徳建设实施纲要》的宣传、贯彻、落实工作。</w:t>
      </w:r>
    </w:p>
    <w:p>
      <w:pPr>
        <w:spacing w:line="576" w:lineRule="exact"/>
        <w:ind w:firstLine="640" w:firstLineChars="200"/>
        <w:rPr>
          <w:rFonts w:hint="eastAsia"/>
          <w:szCs w:val="28"/>
        </w:rPr>
      </w:pPr>
      <w:r>
        <w:rPr>
          <w:rFonts w:hint="eastAsia"/>
          <w:szCs w:val="28"/>
        </w:rPr>
        <w:t>4．负责引导社会與论，指导协调新闻部门的工作；对宣传新闻单位的工作实施政治方向和方针政策的指导。</w:t>
      </w:r>
    </w:p>
    <w:p>
      <w:pPr>
        <w:spacing w:line="576" w:lineRule="exact"/>
        <w:ind w:firstLine="640" w:firstLineChars="200"/>
        <w:rPr>
          <w:rFonts w:hint="eastAsia"/>
          <w:szCs w:val="28"/>
        </w:rPr>
      </w:pPr>
      <w:r>
        <w:rPr>
          <w:rFonts w:hint="eastAsia"/>
          <w:szCs w:val="28"/>
        </w:rPr>
        <w:t>5．负责从宏观上指导全县精神产品的生产和文化市场的管理，协调有关部门制定有关文化政策。</w:t>
      </w:r>
    </w:p>
    <w:p>
      <w:pPr>
        <w:spacing w:line="576" w:lineRule="exact"/>
        <w:ind w:firstLine="640" w:firstLineChars="200"/>
        <w:rPr>
          <w:rFonts w:hint="eastAsia"/>
          <w:szCs w:val="28"/>
        </w:rPr>
      </w:pPr>
      <w:r>
        <w:rPr>
          <w:rFonts w:hint="eastAsia"/>
          <w:szCs w:val="28"/>
        </w:rPr>
        <w:t>6．调查分析社会各阶层的思想动态，掌握舆情；负责规划、部署全局性的思想政治工作任务；会同有关部门研究、组织开展群众性思想教育工作。</w:t>
      </w:r>
    </w:p>
    <w:p>
      <w:pPr>
        <w:spacing w:line="576" w:lineRule="exact"/>
        <w:ind w:firstLine="640" w:firstLineChars="200"/>
        <w:rPr>
          <w:rFonts w:hint="eastAsia"/>
          <w:szCs w:val="28"/>
        </w:rPr>
      </w:pPr>
      <w:r>
        <w:rPr>
          <w:rFonts w:hint="eastAsia"/>
          <w:szCs w:val="28"/>
        </w:rPr>
        <w:t>7．负责全县党员理论学习和形势教育的计划制定、安排、辅导工作。</w:t>
      </w:r>
    </w:p>
    <w:p>
      <w:pPr>
        <w:spacing w:line="576" w:lineRule="exact"/>
        <w:ind w:firstLine="640" w:firstLineChars="200"/>
        <w:rPr>
          <w:rFonts w:hint="eastAsia"/>
          <w:szCs w:val="28"/>
        </w:rPr>
      </w:pPr>
      <w:r>
        <w:rPr>
          <w:rFonts w:hint="eastAsia"/>
          <w:szCs w:val="28"/>
        </w:rPr>
        <w:t>8．管理全县企业思想政治工作专业人员职务的评审工作。</w:t>
      </w:r>
    </w:p>
    <w:p>
      <w:pPr>
        <w:spacing w:line="576" w:lineRule="exact"/>
        <w:ind w:firstLine="640" w:firstLineChars="200"/>
        <w:rPr>
          <w:rFonts w:hint="eastAsia" w:eastAsia="仿宋_GB2312"/>
          <w:szCs w:val="28"/>
          <w:lang w:val="en-US" w:eastAsia="zh-CN"/>
        </w:rPr>
      </w:pPr>
      <w:r>
        <w:rPr>
          <w:rFonts w:hint="eastAsia"/>
          <w:szCs w:val="28"/>
        </w:rPr>
        <w:t>9．管理县委学习室、县文学艺术界联合会</w:t>
      </w:r>
      <w:r>
        <w:rPr>
          <w:rFonts w:hint="eastAsia"/>
          <w:szCs w:val="28"/>
          <w:lang w:eastAsia="zh-CN"/>
        </w:rPr>
        <w:t>、县融媒体中心。</w:t>
      </w:r>
    </w:p>
    <w:p>
      <w:pPr>
        <w:spacing w:line="576" w:lineRule="exact"/>
        <w:ind w:firstLine="640" w:firstLineChars="200"/>
        <w:rPr>
          <w:rFonts w:hint="eastAsia"/>
        </w:rPr>
      </w:pPr>
      <w:r>
        <w:rPr>
          <w:rFonts w:hint="eastAsia"/>
          <w:szCs w:val="28"/>
        </w:rPr>
        <w:t>10、完成县委交办的其他任务。</w:t>
      </w:r>
    </w:p>
    <w:p>
      <w:pPr>
        <w:ind w:firstLine="640" w:firstLineChars="200"/>
      </w:pPr>
      <w:r>
        <w:rPr>
          <w:rFonts w:eastAsia="楷体_GB2312"/>
        </w:rPr>
        <w:t>二、机构设置</w:t>
      </w:r>
    </w:p>
    <w:p>
      <w:pPr>
        <w:pStyle w:val="51"/>
        <w:ind w:firstLine="640" w:firstLineChars="200"/>
        <w:rPr>
          <w:rFonts w:hint="eastAsia" w:ascii="仿宋_GB2312" w:hAnsi="仿宋"/>
        </w:rPr>
      </w:pPr>
      <w:r>
        <w:rPr>
          <w:rFonts w:hint="eastAsia" w:ascii="仿宋_GB2312" w:hAnsi="仿宋_GB2312" w:eastAsia="仿宋_GB2312" w:cs="仿宋_GB2312"/>
        </w:rPr>
        <w:t>根据上述职责，</w:t>
      </w:r>
      <w:r>
        <w:rPr>
          <w:rFonts w:hint="eastAsia" w:ascii="仿宋_GB2312" w:hAnsi="仿宋"/>
        </w:rPr>
        <w:t>中共通榆县委宣传部内设</w:t>
      </w:r>
      <w:r>
        <w:rPr>
          <w:rFonts w:hint="eastAsia" w:ascii="仿宋_GB2312" w:hAnsi="仿宋"/>
          <w:lang w:val="en-US" w:eastAsia="zh-CN"/>
        </w:rPr>
        <w:t>4</w:t>
      </w:r>
      <w:r>
        <w:rPr>
          <w:rFonts w:hint="eastAsia" w:ascii="仿宋_GB2312" w:hAnsi="仿宋"/>
        </w:rPr>
        <w:t>个机构，分别为：</w:t>
      </w:r>
      <w:r>
        <w:rPr>
          <w:rFonts w:hint="eastAsia" w:ascii="仿宋_GB2312" w:hAnsi="仿宋"/>
          <w:lang w:eastAsia="zh-CN"/>
        </w:rPr>
        <w:t>办公室</w:t>
      </w:r>
      <w:r>
        <w:rPr>
          <w:rFonts w:hint="eastAsia" w:ascii="仿宋_GB2312" w:hAnsi="仿宋"/>
        </w:rPr>
        <w:t>、宣传科、新闻科、文教科。</w:t>
      </w:r>
    </w:p>
    <w:p>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lang w:val="en-US" w:eastAsia="zh-CN"/>
        </w:rPr>
        <w:t>3</w:t>
      </w:r>
      <w:r>
        <w:rPr>
          <w:rFonts w:hint="eastAsia" w:ascii="仿宋_GB2312" w:hAnsi="仿宋_GB2312" w:eastAsia="仿宋_GB2312" w:cs="仿宋_GB2312"/>
        </w:rPr>
        <w:t>家预算单位，分别为</w:t>
      </w:r>
      <w:r>
        <w:rPr>
          <w:rFonts w:hint="eastAsia" w:eastAsia="仿宋_GB2312"/>
          <w:lang w:eastAsia="zh-CN"/>
        </w:rPr>
        <w:t>中共通榆县委学习室、</w:t>
      </w:r>
      <w:r>
        <w:rPr>
          <w:rFonts w:hint="eastAsia" w:ascii="仿宋_GB2312" w:hAnsi="仿宋"/>
        </w:rPr>
        <w:t>通榆县文学艺术界联合会</w:t>
      </w:r>
      <w:r>
        <w:rPr>
          <w:rFonts w:hint="eastAsia" w:ascii="仿宋_GB2312" w:hAnsi="仿宋"/>
          <w:lang w:eastAsia="zh-CN"/>
        </w:rPr>
        <w:t>、</w:t>
      </w:r>
      <w:r>
        <w:rPr>
          <w:rFonts w:hint="eastAsia" w:ascii="仿宋_GB2312" w:hAnsi="仿宋_GB2312" w:eastAsia="仿宋_GB2312" w:cs="仿宋_GB2312"/>
          <w:lang w:eastAsia="zh-CN"/>
        </w:rPr>
        <w:t>通榆县互联网信息中心</w:t>
      </w:r>
      <w:r>
        <w:rPr>
          <w:rFonts w:hint="eastAsia" w:ascii="仿宋_GB2312" w:hAnsi="仿宋_GB2312" w:eastAsia="仿宋_GB2312" w:cs="仿宋_GB2312"/>
        </w:rPr>
        <w:t>。</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294"/>
        <w:gridCol w:w="1200"/>
        <w:gridCol w:w="823"/>
        <w:gridCol w:w="1342"/>
        <w:gridCol w:w="1420"/>
        <w:gridCol w:w="1410"/>
        <w:gridCol w:w="666"/>
      </w:tblGrid>
      <w:tr>
        <w:tblPrEx>
          <w:tblCellMar>
            <w:top w:w="0" w:type="dxa"/>
            <w:left w:w="108" w:type="dxa"/>
            <w:bottom w:w="0" w:type="dxa"/>
            <w:right w:w="108" w:type="dxa"/>
          </w:tblCellMar>
        </w:tblPrEx>
        <w:trPr>
          <w:trHeight w:val="525" w:hRule="atLeast"/>
        </w:trPr>
        <w:tc>
          <w:tcPr>
            <w:tcW w:w="9908" w:type="dxa"/>
            <w:gridSpan w:val="8"/>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4247" w:type="dxa"/>
            <w:gridSpan w:val="3"/>
            <w:tcBorders>
              <w:top w:val="nil"/>
              <w:left w:val="nil"/>
              <w:bottom w:val="nil"/>
              <w:right w:val="nil"/>
            </w:tcBorders>
            <w:noWrap w:val="0"/>
            <w:vAlign w:val="center"/>
          </w:tcPr>
          <w:p>
            <w:pPr>
              <w:widowControl/>
              <w:jc w:val="center"/>
              <w:rPr>
                <w:rFonts w:eastAsia="宋体"/>
                <w:kern w:val="0"/>
                <w:sz w:val="20"/>
              </w:rPr>
            </w:pPr>
          </w:p>
        </w:tc>
        <w:tc>
          <w:tcPr>
            <w:tcW w:w="823" w:type="dxa"/>
            <w:tcBorders>
              <w:top w:val="nil"/>
              <w:left w:val="nil"/>
              <w:bottom w:val="nil"/>
              <w:right w:val="nil"/>
            </w:tcBorders>
            <w:noWrap w:val="0"/>
            <w:vAlign w:val="center"/>
          </w:tcPr>
          <w:p>
            <w:pPr>
              <w:widowControl/>
              <w:jc w:val="center"/>
              <w:rPr>
                <w:rFonts w:eastAsia="宋体"/>
                <w:kern w:val="0"/>
                <w:sz w:val="20"/>
              </w:rPr>
            </w:pPr>
          </w:p>
        </w:tc>
        <w:tc>
          <w:tcPr>
            <w:tcW w:w="2762" w:type="dxa"/>
            <w:gridSpan w:val="2"/>
            <w:tcBorders>
              <w:top w:val="nil"/>
              <w:left w:val="nil"/>
              <w:bottom w:val="nil"/>
              <w:right w:val="nil"/>
            </w:tcBorders>
            <w:noWrap w:val="0"/>
            <w:vAlign w:val="center"/>
          </w:tcPr>
          <w:p>
            <w:pPr>
              <w:widowControl/>
              <w:jc w:val="center"/>
              <w:rPr>
                <w:rFonts w:eastAsia="宋体"/>
                <w:kern w:val="0"/>
                <w:sz w:val="20"/>
              </w:rPr>
            </w:pPr>
          </w:p>
        </w:tc>
        <w:tc>
          <w:tcPr>
            <w:tcW w:w="2076" w:type="dxa"/>
            <w:gridSpan w:val="2"/>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29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82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42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41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666"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29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r>
              <w:rPr>
                <w:rFonts w:hint="eastAsia" w:eastAsia="宋体"/>
                <w:kern w:val="0"/>
                <w:sz w:val="20"/>
                <w:lang w:eastAsia="zh-CN"/>
              </w:rPr>
              <w:t>370.57</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r>
              <w:rPr>
                <w:rFonts w:hint="eastAsia" w:eastAsia="宋体"/>
                <w:kern w:val="0"/>
                <w:sz w:val="20"/>
                <w:lang w:eastAsia="zh-CN"/>
              </w:rPr>
              <w:t>370.57</w:t>
            </w:r>
          </w:p>
        </w:tc>
        <w:tc>
          <w:tcPr>
            <w:tcW w:w="823"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eastAsia="zh-CN"/>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42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340.78</w:t>
            </w:r>
          </w:p>
        </w:tc>
        <w:tc>
          <w:tcPr>
            <w:tcW w:w="141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340.78</w:t>
            </w:r>
          </w:p>
        </w:tc>
        <w:tc>
          <w:tcPr>
            <w:tcW w:w="666"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29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r>
              <w:rPr>
                <w:rFonts w:hint="eastAsia" w:eastAsia="宋体"/>
                <w:kern w:val="0"/>
                <w:sz w:val="20"/>
                <w:lang w:eastAsia="zh-CN"/>
              </w:rPr>
              <w:t>370.57</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r>
              <w:rPr>
                <w:rFonts w:hint="eastAsia" w:eastAsia="宋体"/>
                <w:kern w:val="0"/>
                <w:sz w:val="20"/>
                <w:lang w:eastAsia="zh-CN"/>
              </w:rPr>
              <w:t>370.57</w:t>
            </w:r>
          </w:p>
        </w:tc>
        <w:tc>
          <w:tcPr>
            <w:tcW w:w="823"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eastAsia="zh-CN"/>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420"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41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666"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29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20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823"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eastAsia="zh-CN"/>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420"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41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666"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29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20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823"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eastAsia="zh-CN"/>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420"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41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666"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29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20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823"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eastAsia="zh-CN"/>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420"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41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666"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29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20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823"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eastAsia="zh-CN"/>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420"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41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666"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29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20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823"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eastAsia="zh-CN"/>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420"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15.2</w:t>
            </w:r>
          </w:p>
        </w:tc>
        <w:tc>
          <w:tcPr>
            <w:tcW w:w="1410"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15.2</w:t>
            </w:r>
          </w:p>
        </w:tc>
        <w:tc>
          <w:tcPr>
            <w:tcW w:w="666"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29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20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823"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eastAsia="zh-CN"/>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420"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41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666"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29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20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823"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eastAsia="zh-CN"/>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42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9.2</w:t>
            </w:r>
          </w:p>
        </w:tc>
        <w:tc>
          <w:tcPr>
            <w:tcW w:w="141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9.2</w:t>
            </w:r>
          </w:p>
        </w:tc>
        <w:tc>
          <w:tcPr>
            <w:tcW w:w="666"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29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20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823"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eastAsia="zh-CN"/>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42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5.39</w:t>
            </w:r>
          </w:p>
        </w:tc>
        <w:tc>
          <w:tcPr>
            <w:tcW w:w="141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5.39</w:t>
            </w:r>
          </w:p>
        </w:tc>
        <w:tc>
          <w:tcPr>
            <w:tcW w:w="666"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29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20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823"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eastAsia="zh-CN"/>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420"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41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666"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294"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eastAsia="zh-CN"/>
              </w:rPr>
              <w:t>370.57</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eastAsia="zh-CN"/>
              </w:rPr>
              <w:t>370.57</w:t>
            </w:r>
          </w:p>
        </w:tc>
        <w:tc>
          <w:tcPr>
            <w:tcW w:w="823"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eastAsia="zh-CN"/>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42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370.57</w:t>
            </w:r>
          </w:p>
        </w:tc>
        <w:tc>
          <w:tcPr>
            <w:tcW w:w="141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370.57</w:t>
            </w:r>
          </w:p>
        </w:tc>
        <w:tc>
          <w:tcPr>
            <w:tcW w:w="666"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29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20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823"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eastAsia="zh-CN"/>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420"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41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666"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29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20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823"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eastAsia="zh-CN"/>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420"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1410"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c>
          <w:tcPr>
            <w:tcW w:w="666"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294"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eastAsia="zh-CN"/>
              </w:rPr>
              <w:t>370.57</w:t>
            </w:r>
          </w:p>
        </w:tc>
        <w:tc>
          <w:tcPr>
            <w:tcW w:w="1200"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eastAsia="zh-CN"/>
              </w:rPr>
              <w:t>370.57</w:t>
            </w:r>
          </w:p>
        </w:tc>
        <w:tc>
          <w:tcPr>
            <w:tcW w:w="823"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eastAsia="zh-CN"/>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42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370.57</w:t>
            </w:r>
          </w:p>
        </w:tc>
        <w:tc>
          <w:tcPr>
            <w:tcW w:w="141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370.57</w:t>
            </w:r>
          </w:p>
        </w:tc>
        <w:tc>
          <w:tcPr>
            <w:tcW w:w="666"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9055" w:type="dxa"/>
        <w:jc w:val="center"/>
        <w:tblLayout w:type="fixed"/>
        <w:tblCellMar>
          <w:top w:w="0" w:type="dxa"/>
          <w:left w:w="108" w:type="dxa"/>
          <w:bottom w:w="0" w:type="dxa"/>
          <w:right w:w="108" w:type="dxa"/>
        </w:tblCellMar>
      </w:tblPr>
      <w:tblGrid>
        <w:gridCol w:w="428"/>
        <w:gridCol w:w="821"/>
        <w:gridCol w:w="797"/>
        <w:gridCol w:w="611"/>
        <w:gridCol w:w="558"/>
        <w:gridCol w:w="360"/>
        <w:gridCol w:w="375"/>
        <w:gridCol w:w="390"/>
        <w:gridCol w:w="345"/>
        <w:gridCol w:w="390"/>
        <w:gridCol w:w="330"/>
        <w:gridCol w:w="214"/>
        <w:gridCol w:w="176"/>
        <w:gridCol w:w="355"/>
        <w:gridCol w:w="397"/>
        <w:gridCol w:w="134"/>
        <w:gridCol w:w="282"/>
        <w:gridCol w:w="249"/>
        <w:gridCol w:w="167"/>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257" w:type="dxa"/>
            <w:gridSpan w:val="8"/>
            <w:tcBorders>
              <w:bottom w:val="single" w:color="000000" w:sz="4" w:space="0"/>
            </w:tcBorders>
            <w:noWrap w:val="0"/>
            <w:vAlign w:val="center"/>
          </w:tcPr>
          <w:p>
            <w:pPr>
              <w:autoSpaceDN w:val="0"/>
              <w:jc w:val="left"/>
              <w:textAlignment w:val="center"/>
              <w:rPr>
                <w:rFonts w:eastAsia="华文细黑"/>
                <w:color w:val="000000"/>
                <w:sz w:val="20"/>
              </w:rPr>
            </w:pPr>
          </w:p>
        </w:tc>
        <w:tc>
          <w:tcPr>
            <w:tcW w:w="934" w:type="dxa"/>
            <w:gridSpan w:val="3"/>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843"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24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797"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04" w:type="dxa"/>
            <w:gridSpan w:val="11"/>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05" w:type="dxa"/>
            <w:gridSpan w:val="9"/>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24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797"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6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55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39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3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249" w:type="dxa"/>
            <w:gridSpan w:val="2"/>
            <w:tcBorders>
              <w:left w:val="single" w:color="000000" w:sz="4" w:space="0"/>
              <w:right w:val="single" w:color="000000" w:sz="4" w:space="0"/>
            </w:tcBorders>
            <w:noWrap w:val="0"/>
            <w:vAlign w:val="center"/>
          </w:tcPr>
          <w:p>
            <w:pPr>
              <w:widowControl/>
              <w:jc w:val="center"/>
              <w:rPr>
                <w:rFonts w:hint="eastAsia" w:eastAsia="宋体"/>
                <w:kern w:val="0"/>
                <w:sz w:val="20"/>
                <w:lang w:eastAsia="zh-CN"/>
              </w:rPr>
            </w:pPr>
          </w:p>
          <w:p>
            <w:pPr>
              <w:widowControl/>
              <w:jc w:val="center"/>
              <w:rPr>
                <w:rFonts w:hint="eastAsia" w:eastAsia="宋体"/>
                <w:kern w:val="0"/>
                <w:sz w:val="20"/>
                <w:lang w:val="en-US" w:eastAsia="zh-CN"/>
              </w:rPr>
            </w:pPr>
            <w:r>
              <w:rPr>
                <w:rFonts w:hint="eastAsia" w:eastAsia="宋体"/>
                <w:kern w:val="0"/>
                <w:sz w:val="20"/>
                <w:lang w:val="en-US" w:eastAsia="zh-CN"/>
              </w:rPr>
              <w:t>中共通榆县委宣传部</w:t>
            </w:r>
          </w:p>
        </w:tc>
        <w:tc>
          <w:tcPr>
            <w:tcW w:w="797" w:type="dxa"/>
            <w:tcBorders>
              <w:top w:val="single" w:color="000000" w:sz="4" w:space="0"/>
              <w:left w:val="single" w:color="000000" w:sz="4" w:space="0"/>
              <w:right w:val="single" w:color="000000"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370.57</w:t>
            </w:r>
          </w:p>
        </w:tc>
        <w:tc>
          <w:tcPr>
            <w:tcW w:w="611" w:type="dxa"/>
            <w:tcBorders>
              <w:top w:val="single" w:color="000000" w:sz="4" w:space="0"/>
              <w:left w:val="single" w:color="000000" w:sz="4" w:space="0"/>
              <w:right w:val="single" w:color="000000"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370.57</w:t>
            </w:r>
          </w:p>
        </w:tc>
        <w:tc>
          <w:tcPr>
            <w:tcW w:w="558" w:type="dxa"/>
            <w:tcBorders>
              <w:top w:val="single" w:color="000000" w:sz="4" w:space="0"/>
              <w:left w:val="single" w:color="000000" w:sz="4" w:space="0"/>
              <w:right w:val="single" w:color="000000"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370.57</w:t>
            </w:r>
          </w:p>
        </w:tc>
        <w:tc>
          <w:tcPr>
            <w:tcW w:w="360" w:type="dxa"/>
            <w:tcBorders>
              <w:top w:val="single" w:color="000000" w:sz="4" w:space="0"/>
              <w:left w:val="single" w:color="000000" w:sz="4" w:space="0"/>
              <w:right w:val="single" w:color="000000" w:sz="4" w:space="0"/>
            </w:tcBorders>
            <w:noWrap w:val="0"/>
            <w:vAlign w:val="center"/>
          </w:tcPr>
          <w:p>
            <w:pPr>
              <w:widowControl/>
              <w:jc w:val="center"/>
              <w:rPr>
                <w:rFonts w:hint="eastAsia" w:eastAsia="宋体"/>
                <w:kern w:val="0"/>
                <w:sz w:val="20"/>
                <w:lang w:eastAsia="zh-CN"/>
              </w:rPr>
            </w:pPr>
          </w:p>
        </w:tc>
        <w:tc>
          <w:tcPr>
            <w:tcW w:w="375" w:type="dxa"/>
            <w:tcBorders>
              <w:top w:val="single" w:color="000000" w:sz="4" w:space="0"/>
              <w:left w:val="single" w:color="000000" w:sz="4" w:space="0"/>
              <w:right w:val="single" w:color="000000" w:sz="4" w:space="0"/>
            </w:tcBorders>
            <w:noWrap w:val="0"/>
            <w:vAlign w:val="center"/>
          </w:tcPr>
          <w:p>
            <w:pPr>
              <w:widowControl/>
              <w:jc w:val="center"/>
              <w:rPr>
                <w:rFonts w:hint="eastAsia" w:eastAsia="宋体"/>
                <w:kern w:val="0"/>
                <w:sz w:val="20"/>
                <w:lang w:eastAsia="zh-CN"/>
              </w:rPr>
            </w:pPr>
          </w:p>
        </w:tc>
        <w:tc>
          <w:tcPr>
            <w:tcW w:w="390" w:type="dxa"/>
            <w:tcBorders>
              <w:top w:val="single" w:color="000000" w:sz="4" w:space="0"/>
              <w:left w:val="single" w:color="000000" w:sz="4" w:space="0"/>
              <w:bottom w:val="single" w:color="000000" w:sz="4" w:space="0"/>
              <w:right w:val="single" w:color="000000" w:sz="4" w:space="0"/>
            </w:tcBorders>
            <w:noWrap w:val="0"/>
            <w:vAlign w:val="top"/>
          </w:tcPr>
          <w:p>
            <w:pPr>
              <w:widowControl/>
              <w:jc w:val="center"/>
              <w:rPr>
                <w:rFonts w:hint="eastAsia" w:eastAsia="宋体"/>
                <w:kern w:val="0"/>
                <w:sz w:val="20"/>
                <w:lang w:eastAsia="zh-CN"/>
              </w:rPr>
            </w:pPr>
          </w:p>
        </w:tc>
        <w:tc>
          <w:tcPr>
            <w:tcW w:w="345" w:type="dxa"/>
            <w:tcBorders>
              <w:top w:val="single" w:color="000000" w:sz="4" w:space="0"/>
              <w:left w:val="single" w:color="000000" w:sz="4" w:space="0"/>
              <w:right w:val="single" w:color="000000" w:sz="4" w:space="0"/>
            </w:tcBorders>
            <w:noWrap w:val="0"/>
            <w:vAlign w:val="center"/>
          </w:tcPr>
          <w:p>
            <w:pPr>
              <w:widowControl/>
              <w:jc w:val="center"/>
              <w:rPr>
                <w:rFonts w:hint="eastAsia" w:eastAsia="宋体"/>
                <w:kern w:val="0"/>
                <w:sz w:val="20"/>
                <w:lang w:eastAsia="zh-CN"/>
              </w:rPr>
            </w:pPr>
          </w:p>
        </w:tc>
        <w:tc>
          <w:tcPr>
            <w:tcW w:w="390" w:type="dxa"/>
            <w:tcBorders>
              <w:top w:val="single" w:color="000000" w:sz="4" w:space="0"/>
              <w:left w:val="single" w:color="000000" w:sz="4" w:space="0"/>
              <w:right w:val="single" w:color="000000" w:sz="4" w:space="0"/>
            </w:tcBorders>
            <w:noWrap w:val="0"/>
            <w:vAlign w:val="center"/>
          </w:tcPr>
          <w:p>
            <w:pPr>
              <w:widowControl/>
              <w:jc w:val="center"/>
              <w:rPr>
                <w:rFonts w:hint="eastAsia" w:eastAsia="宋体"/>
                <w:kern w:val="0"/>
                <w:sz w:val="20"/>
                <w:lang w:eastAsia="zh-CN"/>
              </w:rPr>
            </w:pPr>
          </w:p>
        </w:tc>
        <w:tc>
          <w:tcPr>
            <w:tcW w:w="330" w:type="dxa"/>
            <w:tcBorders>
              <w:top w:val="single" w:color="000000" w:sz="4" w:space="0"/>
              <w:left w:val="single" w:color="000000" w:sz="4" w:space="0"/>
              <w:right w:val="single" w:color="000000" w:sz="4" w:space="0"/>
            </w:tcBorders>
            <w:noWrap w:val="0"/>
            <w:vAlign w:val="center"/>
          </w:tcPr>
          <w:p>
            <w:pPr>
              <w:widowControl/>
              <w:jc w:val="center"/>
              <w:rPr>
                <w:rFonts w:hint="eastAsia" w:eastAsia="宋体"/>
                <w:kern w:val="0"/>
                <w:sz w:val="20"/>
                <w:lang w:eastAsia="zh-CN"/>
              </w:rPr>
            </w:pPr>
          </w:p>
        </w:tc>
        <w:tc>
          <w:tcPr>
            <w:tcW w:w="390" w:type="dxa"/>
            <w:gridSpan w:val="2"/>
            <w:tcBorders>
              <w:top w:val="single" w:color="000000" w:sz="4" w:space="0"/>
              <w:left w:val="single" w:color="000000" w:sz="4" w:space="0"/>
              <w:right w:val="single" w:color="000000" w:sz="4" w:space="0"/>
            </w:tcBorders>
            <w:noWrap w:val="0"/>
            <w:vAlign w:val="center"/>
          </w:tcPr>
          <w:p>
            <w:pPr>
              <w:widowControl/>
              <w:jc w:val="center"/>
              <w:rPr>
                <w:rFonts w:hint="eastAsia" w:eastAsia="宋体"/>
                <w:kern w:val="0"/>
                <w:sz w:val="20"/>
                <w:lang w:eastAsia="zh-CN"/>
              </w:rPr>
            </w:pPr>
          </w:p>
        </w:tc>
        <w:tc>
          <w:tcPr>
            <w:tcW w:w="355" w:type="dxa"/>
            <w:tcBorders>
              <w:top w:val="single" w:color="000000" w:sz="4" w:space="0"/>
              <w:left w:val="single" w:color="000000" w:sz="4" w:space="0"/>
              <w:right w:val="single" w:color="000000" w:sz="4" w:space="0"/>
            </w:tcBorders>
            <w:noWrap w:val="0"/>
            <w:vAlign w:val="center"/>
          </w:tcPr>
          <w:p>
            <w:pPr>
              <w:widowControl/>
              <w:jc w:val="center"/>
              <w:rPr>
                <w:rFonts w:hint="eastAsia" w:eastAsia="宋体"/>
                <w:kern w:val="0"/>
                <w:sz w:val="20"/>
                <w:lang w:eastAsia="zh-CN"/>
              </w:rPr>
            </w:pPr>
          </w:p>
        </w:tc>
        <w:tc>
          <w:tcPr>
            <w:tcW w:w="397" w:type="dxa"/>
            <w:tcBorders>
              <w:top w:val="single" w:color="000000" w:sz="4" w:space="0"/>
              <w:left w:val="single" w:color="000000" w:sz="4" w:space="0"/>
              <w:right w:val="single" w:color="000000" w:sz="4" w:space="0"/>
            </w:tcBorders>
            <w:noWrap w:val="0"/>
            <w:vAlign w:val="center"/>
          </w:tcPr>
          <w:p>
            <w:pPr>
              <w:widowControl/>
              <w:jc w:val="center"/>
              <w:rPr>
                <w:rFonts w:hint="eastAsia" w:eastAsia="宋体"/>
                <w:kern w:val="0"/>
                <w:sz w:val="20"/>
                <w:lang w:eastAsia="zh-CN"/>
              </w:rPr>
            </w:pPr>
          </w:p>
        </w:tc>
        <w:tc>
          <w:tcPr>
            <w:tcW w:w="416" w:type="dxa"/>
            <w:gridSpan w:val="2"/>
            <w:tcBorders>
              <w:top w:val="single" w:color="000000" w:sz="4" w:space="0"/>
              <w:left w:val="single" w:color="000000" w:sz="4" w:space="0"/>
              <w:right w:val="single" w:color="000000" w:sz="4" w:space="0"/>
            </w:tcBorders>
            <w:noWrap w:val="0"/>
            <w:vAlign w:val="center"/>
          </w:tcPr>
          <w:p>
            <w:pPr>
              <w:widowControl/>
              <w:jc w:val="center"/>
              <w:rPr>
                <w:rFonts w:hint="eastAsia" w:eastAsia="宋体"/>
                <w:kern w:val="0"/>
                <w:sz w:val="20"/>
                <w:lang w:eastAsia="zh-CN"/>
              </w:rPr>
            </w:pPr>
          </w:p>
        </w:tc>
        <w:tc>
          <w:tcPr>
            <w:tcW w:w="416" w:type="dxa"/>
            <w:gridSpan w:val="2"/>
            <w:tcBorders>
              <w:top w:val="single" w:color="000000" w:sz="4" w:space="0"/>
              <w:left w:val="single" w:color="000000" w:sz="4" w:space="0"/>
              <w:right w:val="single" w:color="000000" w:sz="4" w:space="0"/>
            </w:tcBorders>
            <w:noWrap w:val="0"/>
            <w:vAlign w:val="top"/>
          </w:tcPr>
          <w:p>
            <w:pPr>
              <w:widowControl/>
              <w:jc w:val="center"/>
              <w:rPr>
                <w:rFonts w:hint="eastAsia" w:eastAsia="宋体"/>
                <w:kern w:val="0"/>
                <w:sz w:val="20"/>
                <w:lang w:eastAsia="zh-CN"/>
              </w:rPr>
            </w:pPr>
          </w:p>
        </w:tc>
        <w:tc>
          <w:tcPr>
            <w:tcW w:w="416" w:type="dxa"/>
            <w:tcBorders>
              <w:top w:val="single" w:color="000000" w:sz="4" w:space="0"/>
              <w:left w:val="single" w:color="000000" w:sz="4" w:space="0"/>
              <w:right w:val="single" w:color="000000" w:sz="4" w:space="0"/>
            </w:tcBorders>
            <w:noWrap w:val="0"/>
            <w:vAlign w:val="center"/>
          </w:tcPr>
          <w:p>
            <w:pPr>
              <w:widowControl/>
              <w:jc w:val="center"/>
              <w:rPr>
                <w:rFonts w:hint="eastAsia" w:eastAsia="宋体"/>
                <w:kern w:val="0"/>
                <w:sz w:val="20"/>
                <w:lang w:eastAsia="zh-CN"/>
              </w:rPr>
            </w:pPr>
          </w:p>
        </w:tc>
        <w:tc>
          <w:tcPr>
            <w:tcW w:w="416" w:type="dxa"/>
            <w:tcBorders>
              <w:top w:val="single" w:color="000000" w:sz="4" w:space="0"/>
              <w:left w:val="single" w:color="000000" w:sz="4" w:space="0"/>
              <w:right w:val="single" w:color="000000" w:sz="4" w:space="0"/>
            </w:tcBorders>
            <w:noWrap w:val="0"/>
            <w:vAlign w:val="center"/>
          </w:tcPr>
          <w:p>
            <w:pPr>
              <w:widowControl/>
              <w:jc w:val="center"/>
              <w:rPr>
                <w:rFonts w:hint="eastAsia" w:eastAsia="宋体"/>
                <w:kern w:val="0"/>
                <w:sz w:val="20"/>
                <w:lang w:eastAsia="zh-CN"/>
              </w:rPr>
            </w:pPr>
          </w:p>
        </w:tc>
        <w:tc>
          <w:tcPr>
            <w:tcW w:w="416" w:type="dxa"/>
            <w:tcBorders>
              <w:top w:val="single" w:color="000000" w:sz="4" w:space="0"/>
              <w:left w:val="single" w:color="000000" w:sz="4" w:space="0"/>
              <w:right w:val="single" w:color="000000" w:sz="4" w:space="0"/>
            </w:tcBorders>
            <w:noWrap w:val="0"/>
            <w:vAlign w:val="center"/>
          </w:tcPr>
          <w:p>
            <w:pPr>
              <w:widowControl/>
              <w:jc w:val="center"/>
              <w:rPr>
                <w:rFonts w:hint="eastAsia" w:eastAsia="宋体"/>
                <w:kern w:val="0"/>
                <w:sz w:val="20"/>
                <w:lang w:eastAsia="zh-CN"/>
              </w:rPr>
            </w:pPr>
          </w:p>
        </w:tc>
        <w:tc>
          <w:tcPr>
            <w:tcW w:w="428" w:type="dxa"/>
            <w:tcBorders>
              <w:top w:val="single" w:color="000000" w:sz="4" w:space="0"/>
              <w:left w:val="single" w:color="000000" w:sz="4" w:space="0"/>
              <w:right w:val="single" w:color="000000" w:sz="4" w:space="0"/>
            </w:tcBorders>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481" w:hRule="atLeast"/>
          <w:jc w:val="center"/>
        </w:trPr>
        <w:tc>
          <w:tcPr>
            <w:tcW w:w="1249"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7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6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55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60" w:type="dxa"/>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90" w:type="dxa"/>
            <w:tcBorders>
              <w:top w:val="single" w:color="000000" w:sz="4" w:space="0"/>
              <w:bottom w:val="single" w:color="000000" w:sz="4" w:space="0"/>
              <w:right w:val="single" w:color="000000" w:sz="4" w:space="0"/>
            </w:tcBorders>
            <w:shd w:val="solid" w:color="FFFFFF" w:fill="auto"/>
            <w:noWrap w:val="0"/>
            <w:vAlign w:val="top"/>
          </w:tcPr>
          <w:p>
            <w:pPr>
              <w:widowControl/>
              <w:jc w:val="center"/>
              <w:rPr>
                <w:rFonts w:hint="eastAsia" w:eastAsia="宋体"/>
                <w:kern w:val="0"/>
                <w:sz w:val="20"/>
                <w:lang w:eastAsia="zh-CN"/>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9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widowControl/>
              <w:jc w:val="center"/>
              <w:rPr>
                <w:rFonts w:hint="eastAsia" w:eastAsia="宋体"/>
                <w:kern w:val="0"/>
                <w:sz w:val="20"/>
                <w:lang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456" w:hRule="atLeast"/>
          <w:jc w:val="center"/>
        </w:trPr>
        <w:tc>
          <w:tcPr>
            <w:tcW w:w="1249"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7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6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55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60" w:type="dxa"/>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90" w:type="dxa"/>
            <w:tcBorders>
              <w:top w:val="single" w:color="000000" w:sz="4" w:space="0"/>
              <w:bottom w:val="single" w:color="000000" w:sz="4" w:space="0"/>
              <w:right w:val="single" w:color="000000" w:sz="4" w:space="0"/>
            </w:tcBorders>
            <w:shd w:val="solid" w:color="FFFFFF" w:fill="auto"/>
            <w:noWrap w:val="0"/>
            <w:vAlign w:val="top"/>
          </w:tcPr>
          <w:p>
            <w:pPr>
              <w:widowControl/>
              <w:jc w:val="center"/>
              <w:rPr>
                <w:rFonts w:hint="eastAsia" w:eastAsia="宋体"/>
                <w:kern w:val="0"/>
                <w:sz w:val="20"/>
                <w:lang w:eastAsia="zh-CN"/>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9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widowControl/>
              <w:jc w:val="center"/>
              <w:rPr>
                <w:rFonts w:hint="eastAsia" w:eastAsia="宋体"/>
                <w:kern w:val="0"/>
                <w:sz w:val="20"/>
                <w:lang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480" w:hRule="atLeast"/>
          <w:jc w:val="center"/>
        </w:trPr>
        <w:tc>
          <w:tcPr>
            <w:tcW w:w="1249"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7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6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55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60" w:type="dxa"/>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90" w:type="dxa"/>
            <w:tcBorders>
              <w:top w:val="single" w:color="000000" w:sz="4" w:space="0"/>
              <w:bottom w:val="single" w:color="000000" w:sz="4" w:space="0"/>
              <w:right w:val="single" w:color="000000" w:sz="4" w:space="0"/>
            </w:tcBorders>
            <w:shd w:val="solid" w:color="FFFFFF" w:fill="auto"/>
            <w:noWrap w:val="0"/>
            <w:vAlign w:val="top"/>
          </w:tcPr>
          <w:p>
            <w:pPr>
              <w:widowControl/>
              <w:jc w:val="center"/>
              <w:rPr>
                <w:rFonts w:hint="eastAsia" w:eastAsia="宋体"/>
                <w:kern w:val="0"/>
                <w:sz w:val="20"/>
                <w:lang w:eastAsia="zh-CN"/>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9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widowControl/>
              <w:jc w:val="center"/>
              <w:rPr>
                <w:rFonts w:hint="eastAsia" w:eastAsia="宋体"/>
                <w:kern w:val="0"/>
                <w:sz w:val="20"/>
                <w:lang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471" w:hRule="atLeast"/>
          <w:jc w:val="center"/>
        </w:trPr>
        <w:tc>
          <w:tcPr>
            <w:tcW w:w="1249"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7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6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55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60" w:type="dxa"/>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90" w:type="dxa"/>
            <w:tcBorders>
              <w:top w:val="single" w:color="000000" w:sz="4" w:space="0"/>
              <w:bottom w:val="single" w:color="000000" w:sz="4" w:space="0"/>
              <w:right w:val="single" w:color="000000" w:sz="4" w:space="0"/>
            </w:tcBorders>
            <w:shd w:val="solid" w:color="FFFFFF" w:fill="auto"/>
            <w:noWrap w:val="0"/>
            <w:vAlign w:val="top"/>
          </w:tcPr>
          <w:p>
            <w:pPr>
              <w:widowControl/>
              <w:jc w:val="center"/>
              <w:rPr>
                <w:rFonts w:hint="eastAsia" w:eastAsia="宋体"/>
                <w:kern w:val="0"/>
                <w:sz w:val="20"/>
                <w:lang w:eastAsia="zh-CN"/>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9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3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widowControl/>
              <w:jc w:val="center"/>
              <w:rPr>
                <w:rFonts w:hint="eastAsia" w:eastAsia="宋体"/>
                <w:kern w:val="0"/>
                <w:sz w:val="20"/>
                <w:lang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eastAsia" w:eastAsia="宋体"/>
                <w:kern w:val="0"/>
                <w:sz w:val="20"/>
                <w:lang w:eastAsia="zh-CN"/>
              </w:rPr>
            </w:pPr>
          </w:p>
        </w:tc>
      </w:tr>
      <w:tr>
        <w:tblPrEx>
          <w:tblCellMar>
            <w:top w:w="0" w:type="dxa"/>
            <w:left w:w="108" w:type="dxa"/>
            <w:bottom w:w="0" w:type="dxa"/>
            <w:right w:w="108" w:type="dxa"/>
          </w:tblCellMar>
        </w:tblPrEx>
        <w:trPr>
          <w:trHeight w:val="461" w:hRule="atLeast"/>
          <w:jc w:val="center"/>
        </w:trPr>
        <w:tc>
          <w:tcPr>
            <w:tcW w:w="1249"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5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249"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7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5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249"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7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55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249"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7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370.57</w:t>
            </w:r>
          </w:p>
        </w:tc>
        <w:tc>
          <w:tcPr>
            <w:tcW w:w="6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370.57</w:t>
            </w:r>
          </w:p>
        </w:tc>
        <w:tc>
          <w:tcPr>
            <w:tcW w:w="55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370.57</w:t>
            </w:r>
          </w:p>
        </w:tc>
        <w:tc>
          <w:tcPr>
            <w:tcW w:w="36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10376" w:type="dxa"/>
              <w:tblInd w:w="-88" w:type="dxa"/>
              <w:tblLayout w:type="fixed"/>
              <w:tblCellMar>
                <w:top w:w="15" w:type="dxa"/>
                <w:left w:w="15" w:type="dxa"/>
                <w:bottom w:w="15" w:type="dxa"/>
                <w:right w:w="15" w:type="dxa"/>
              </w:tblCellMar>
            </w:tblPr>
            <w:tblGrid>
              <w:gridCol w:w="2683"/>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6346"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683"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eastAsia="zh-CN"/>
                    </w:rPr>
                  </w:pPr>
                  <w:r>
                    <w:rPr>
                      <w:rFonts w:eastAsia="宋体"/>
                      <w:color w:val="000000"/>
                      <w:kern w:val="0"/>
                      <w:sz w:val="20"/>
                    </w:rPr>
                    <w:t>一、一般公共服务</w:t>
                  </w:r>
                  <w:r>
                    <w:rPr>
                      <w:rFonts w:hint="eastAsia" w:eastAsia="宋体"/>
                      <w:color w:val="000000"/>
                      <w:kern w:val="0"/>
                      <w:sz w:val="20"/>
                      <w:lang w:eastAsia="zh-CN"/>
                    </w:rPr>
                    <w:t>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340.78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98.15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242.63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lang w:eastAsia="zh-CN"/>
                    </w:rPr>
                    <w:t>宣传</w:t>
                  </w:r>
                  <w:r>
                    <w:rPr>
                      <w:rFonts w:eastAsia="宋体"/>
                      <w:color w:val="000000"/>
                      <w:kern w:val="0"/>
                      <w:sz w:val="20"/>
                    </w:rPr>
                    <w:t>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340.78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98.15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242.63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340.78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98.15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242.63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二、</w:t>
                  </w:r>
                  <w:r>
                    <w:rPr>
                      <w:rFonts w:hint="eastAsia" w:eastAsia="宋体"/>
                      <w:color w:val="000000"/>
                      <w:kern w:val="0"/>
                      <w:sz w:val="20"/>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15.2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15.2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12.27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12.27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ind w:firstLine="400" w:firstLineChars="200"/>
                    <w:jc w:val="left"/>
                    <w:rPr>
                      <w:rFonts w:eastAsia="宋体"/>
                      <w:color w:val="000000"/>
                      <w:kern w:val="0"/>
                      <w:sz w:val="20"/>
                    </w:rPr>
                  </w:pPr>
                  <w:r>
                    <w:rPr>
                      <w:rFonts w:hint="eastAsia" w:eastAsia="宋体"/>
                      <w:color w:val="000000"/>
                      <w:kern w:val="0"/>
                      <w:sz w:val="20"/>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2.93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2.93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5"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both"/>
                    <w:rPr>
                      <w:rFonts w:hint="eastAsia" w:eastAsia="宋体"/>
                      <w:color w:val="000000"/>
                      <w:kern w:val="0"/>
                      <w:sz w:val="20"/>
                      <w:lang w:eastAsia="zh-CN"/>
                    </w:rPr>
                  </w:pPr>
                  <w:r>
                    <w:rPr>
                      <w:rFonts w:hint="eastAsia" w:eastAsia="宋体"/>
                      <w:color w:val="000000"/>
                      <w:kern w:val="0"/>
                      <w:sz w:val="20"/>
                      <w:lang w:eastAsia="zh-CN"/>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5.39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5.39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5.39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5.39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5.31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5.31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rPr>
                  </w:pPr>
                  <w:r>
                    <w:rPr>
                      <w:rFonts w:hint="eastAsia" w:eastAsia="华文细黑"/>
                      <w:color w:val="000000"/>
                      <w:kern w:val="0"/>
                      <w:sz w:val="20"/>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0.08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0.08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r>
            <w:tr>
              <w:tblPrEx>
                <w:tblCellMar>
                  <w:top w:w="15" w:type="dxa"/>
                  <w:left w:w="15" w:type="dxa"/>
                  <w:bottom w:w="15" w:type="dxa"/>
                  <w:right w:w="15" w:type="dxa"/>
                </w:tblCellMar>
              </w:tblPrEx>
              <w:trPr>
                <w:trHeight w:val="330"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rPr>
                  </w:pPr>
                  <w:r>
                    <w:rPr>
                      <w:rFonts w:hint="eastAsia" w:eastAsia="华文细黑"/>
                      <w:color w:val="000000"/>
                      <w:kern w:val="0"/>
                      <w:sz w:val="20"/>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9.2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lang w:val="en-US" w:eastAsia="zh-CN"/>
                    </w:rPr>
                  </w:pPr>
                  <w:r>
                    <w:rPr>
                      <w:rFonts w:hint="eastAsia" w:eastAsia="华文细黑"/>
                      <w:color w:val="000000"/>
                      <w:kern w:val="0"/>
                      <w:sz w:val="20"/>
                      <w:lang w:val="en-US" w:eastAsia="zh-CN"/>
                    </w:rPr>
                    <w:t>9.2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r>
            <w:tr>
              <w:tblPrEx>
                <w:tblCellMar>
                  <w:top w:w="15" w:type="dxa"/>
                  <w:left w:w="15" w:type="dxa"/>
                  <w:bottom w:w="15" w:type="dxa"/>
                  <w:right w:w="15" w:type="dxa"/>
                </w:tblCellMar>
              </w:tblPrEx>
              <w:trPr>
                <w:trHeight w:val="330"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rPr>
                  </w:pPr>
                  <w:r>
                    <w:rPr>
                      <w:rFonts w:hint="eastAsia" w:eastAsia="华文细黑"/>
                      <w:color w:val="000000"/>
                      <w:kern w:val="0"/>
                      <w:sz w:val="20"/>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lang w:val="en-US" w:eastAsia="zh-CN"/>
                    </w:rPr>
                  </w:pPr>
                  <w:r>
                    <w:rPr>
                      <w:rFonts w:hint="eastAsia" w:eastAsia="华文细黑"/>
                      <w:color w:val="000000"/>
                      <w:kern w:val="0"/>
                      <w:sz w:val="20"/>
                      <w:lang w:val="en-US" w:eastAsia="zh-CN"/>
                    </w:rPr>
                    <w:t>9.2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lang w:val="en-US" w:eastAsia="zh-CN"/>
                    </w:rPr>
                  </w:pPr>
                  <w:r>
                    <w:rPr>
                      <w:rFonts w:hint="eastAsia" w:eastAsia="华文细黑"/>
                      <w:color w:val="000000"/>
                      <w:kern w:val="0"/>
                      <w:sz w:val="20"/>
                      <w:lang w:val="en-US" w:eastAsia="zh-CN"/>
                    </w:rPr>
                    <w:t>9.2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r>
            <w:tr>
              <w:tblPrEx>
                <w:tblCellMar>
                  <w:top w:w="15" w:type="dxa"/>
                  <w:left w:w="15" w:type="dxa"/>
                  <w:bottom w:w="15" w:type="dxa"/>
                  <w:right w:w="15" w:type="dxa"/>
                </w:tblCellMar>
              </w:tblPrEx>
              <w:trPr>
                <w:trHeight w:val="330"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rPr>
                  </w:pPr>
                  <w:r>
                    <w:rPr>
                      <w:rFonts w:hint="eastAsia" w:eastAsia="华文细黑"/>
                      <w:color w:val="000000"/>
                      <w:kern w:val="0"/>
                      <w:sz w:val="20"/>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lang w:val="en-US" w:eastAsia="zh-CN"/>
                    </w:rPr>
                  </w:pPr>
                  <w:r>
                    <w:rPr>
                      <w:rFonts w:hint="eastAsia" w:eastAsia="华文细黑"/>
                      <w:color w:val="000000"/>
                      <w:kern w:val="0"/>
                      <w:sz w:val="20"/>
                      <w:lang w:val="en-US" w:eastAsia="zh-CN"/>
                    </w:rPr>
                    <w:t>9.2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lang w:val="en-US" w:eastAsia="zh-CN"/>
                    </w:rPr>
                  </w:pPr>
                  <w:r>
                    <w:rPr>
                      <w:rFonts w:hint="eastAsia" w:eastAsia="华文细黑"/>
                      <w:color w:val="000000"/>
                      <w:kern w:val="0"/>
                      <w:sz w:val="20"/>
                      <w:lang w:val="en-US" w:eastAsia="zh-CN"/>
                    </w:rPr>
                    <w:t>9.2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r>
            <w:tr>
              <w:tblPrEx>
                <w:tblCellMar>
                  <w:top w:w="15" w:type="dxa"/>
                  <w:left w:w="15" w:type="dxa"/>
                  <w:bottom w:w="15" w:type="dxa"/>
                  <w:right w:w="15" w:type="dxa"/>
                </w:tblCellMar>
              </w:tblPrEx>
              <w:trPr>
                <w:trHeight w:val="330" w:hRule="atLeast"/>
              </w:trPr>
              <w:tc>
                <w:tcPr>
                  <w:tcW w:w="2683"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lang w:eastAsia="zh-CN"/>
                    </w:rPr>
                  </w:pPr>
                  <w:r>
                    <w:rPr>
                      <w:rFonts w:hint="eastAsia" w:eastAsia="华文细黑"/>
                      <w:color w:val="000000"/>
                      <w:kern w:val="0"/>
                      <w:sz w:val="20"/>
                      <w:lang w:eastAsia="zh-CN"/>
                    </w:rPr>
                    <w:t>总计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370.57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华文细黑"/>
                      <w:color w:val="000000"/>
                      <w:kern w:val="0"/>
                      <w:sz w:val="20"/>
                      <w:lang w:val="en-US" w:eastAsia="zh-CN"/>
                    </w:rPr>
                    <w:t>370.57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华文细黑"/>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370.57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370.57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340.78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r>
                    <w:rPr>
                      <w:rFonts w:hint="eastAsia" w:eastAsia="宋体"/>
                      <w:kern w:val="0"/>
                      <w:sz w:val="20"/>
                      <w:lang w:val="en-US" w:eastAsia="zh-CN"/>
                    </w:rPr>
                    <w:t>340.78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370.57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lang w:val="en-US" w:eastAsia="zh-CN"/>
                    </w:rPr>
                    <w:t>370.57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15.2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15.2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5.39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5.39</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9.2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370.57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r>
                    <w:rPr>
                      <w:rFonts w:hint="eastAsia" w:eastAsia="宋体"/>
                      <w:kern w:val="0"/>
                      <w:sz w:val="20"/>
                      <w:lang w:val="en-US" w:eastAsia="zh-CN"/>
                    </w:rPr>
                    <w:t>370.57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370.57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370.57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370.57</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370.57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370.57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370.57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340.78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98.15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81.05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17.1</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242.63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宋体"/>
                      <w:color w:val="000000"/>
                      <w:kern w:val="0"/>
                      <w:sz w:val="20"/>
                    </w:rPr>
                  </w:pPr>
                  <w:r>
                    <w:rPr>
                      <w:rFonts w:eastAsia="宋体"/>
                      <w:color w:val="000000"/>
                      <w:kern w:val="0"/>
                      <w:sz w:val="20"/>
                    </w:rPr>
                    <w:t xml:space="preserve">    人大事务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340.78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98.15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81.05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17.1</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242.63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宋体"/>
                      <w:color w:val="000000"/>
                      <w:kern w:val="0"/>
                      <w:sz w:val="20"/>
                    </w:rPr>
                  </w:pPr>
                  <w:r>
                    <w:rPr>
                      <w:rFonts w:eastAsia="宋体"/>
                      <w:color w:val="000000"/>
                      <w:kern w:val="0"/>
                      <w:sz w:val="20"/>
                    </w:rPr>
                    <w:t xml:space="preserve">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340.78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98.15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81.05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17.1</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242.63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hint="eastAsia" w:eastAsia="宋体"/>
                      <w:color w:val="000000"/>
                      <w:kern w:val="0"/>
                      <w:sz w:val="20"/>
                      <w:lang w:eastAsia="zh-CN"/>
                    </w:rPr>
                  </w:pPr>
                  <w:r>
                    <w:rPr>
                      <w:rFonts w:eastAsia="宋体"/>
                      <w:color w:val="000000"/>
                      <w:kern w:val="0"/>
                      <w:sz w:val="20"/>
                    </w:rPr>
                    <w:t xml:space="preserve"> </w:t>
                  </w:r>
                  <w:r>
                    <w:rPr>
                      <w:rFonts w:hint="eastAsia" w:eastAsia="宋体"/>
                      <w:color w:val="000000"/>
                      <w:kern w:val="0"/>
                      <w:sz w:val="20"/>
                      <w:lang w:eastAsia="zh-CN"/>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宋体"/>
                      <w:color w:val="000000"/>
                      <w:kern w:val="0"/>
                      <w:sz w:val="20"/>
                    </w:rPr>
                  </w:pPr>
                  <w:r>
                    <w:rPr>
                      <w:rFonts w:hint="eastAsia" w:eastAsia="宋体"/>
                      <w:color w:val="000000"/>
                      <w:kern w:val="0"/>
                      <w:sz w:val="20"/>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425"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12.27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12.27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633"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rPr>
                  </w:pPr>
                </w:p>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2.93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2.93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eastAsia="zh-CN"/>
                    </w:rPr>
                  </w:pPr>
                  <w:r>
                    <w:rPr>
                      <w:rFonts w:hint="eastAsia" w:eastAsia="宋体"/>
                      <w:color w:val="000000"/>
                      <w:kern w:val="0"/>
                      <w:sz w:val="20"/>
                      <w:lang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5.39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5.39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5.39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5.39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5.39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5.31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5.31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r>
            <w:tr>
              <w:tblPrEx>
                <w:tblCellMar>
                  <w:top w:w="15" w:type="dxa"/>
                  <w:left w:w="15" w:type="dxa"/>
                  <w:bottom w:w="15" w:type="dxa"/>
                  <w:right w:w="15" w:type="dxa"/>
                </w:tblCellMar>
              </w:tblPrEx>
              <w:trPr>
                <w:trHeight w:val="358"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eastAsia="zh-CN"/>
                    </w:rPr>
                  </w:pPr>
                  <w:r>
                    <w:rPr>
                      <w:rFonts w:hint="eastAsia" w:eastAsia="宋体"/>
                      <w:color w:val="000000"/>
                      <w:kern w:val="0"/>
                      <w:sz w:val="20"/>
                      <w:lang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370.57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370.57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r>
                    <w:rPr>
                      <w:rFonts w:hint="eastAsia" w:eastAsia="宋体"/>
                      <w:color w:val="000000"/>
                      <w:kern w:val="0"/>
                      <w:sz w:val="20"/>
                      <w:lang w:val="en-US" w:eastAsia="zh-CN"/>
                    </w:rPr>
                    <w:t>370.57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110.84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110.84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36.7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36.7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26.95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26.95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16.37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16.37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12.27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12.27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2.93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5.31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5.31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0.08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0.08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9.2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9.2</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1.03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1.03</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二、</w:t>
            </w:r>
            <w:r>
              <w:rPr>
                <w:rFonts w:hint="default" w:ascii="Arial" w:hAnsi="Arial" w:eastAsia="宋体" w:cs="Arial"/>
                <w:i w:val="0"/>
                <w:iCs w:val="0"/>
                <w:color w:val="000000"/>
                <w:kern w:val="0"/>
                <w:sz w:val="20"/>
                <w:szCs w:val="20"/>
                <w:u w:val="none"/>
                <w:lang w:val="en-US" w:eastAsia="zh-CN" w:bidi="ar"/>
              </w:rPr>
              <w:t>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17.1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17.1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印刷费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0.12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0.12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手续费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0.08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0.08</w:t>
            </w:r>
          </w:p>
        </w:tc>
      </w:tr>
      <w:tr>
        <w:tblPrEx>
          <w:tblCellMar>
            <w:top w:w="0" w:type="dxa"/>
            <w:left w:w="108" w:type="dxa"/>
            <w:bottom w:w="0" w:type="dxa"/>
            <w:right w:w="108" w:type="dxa"/>
          </w:tblCellMar>
        </w:tblPrEx>
        <w:trPr>
          <w:trHeight w:val="629"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邮电费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0.6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0.6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维修（护）费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租赁费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0.5</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Arial" w:hAnsi="Arial" w:eastAsia="宋体" w:cs="Arial"/>
                <w:i w:val="0"/>
                <w:iCs w:val="0"/>
                <w:color w:val="000000"/>
                <w:kern w:val="0"/>
                <w:sz w:val="20"/>
                <w:szCs w:val="20"/>
                <w:u w:val="none"/>
                <w:lang w:val="en-US" w:eastAsia="zh-CN" w:bidi="ar"/>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会议费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公务接待费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工会经费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1.2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1.2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其他交通费用</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6.3</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合计</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127.94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110.84</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p>
          <w:p>
            <w:pPr>
              <w:widowControl/>
              <w:jc w:val="center"/>
              <w:rPr>
                <w:rFonts w:hint="default" w:eastAsia="宋体"/>
                <w:kern w:val="0"/>
                <w:sz w:val="20"/>
                <w:lang w:val="en-US" w:eastAsia="zh-CN"/>
              </w:rPr>
            </w:pPr>
            <w:r>
              <w:rPr>
                <w:rFonts w:hint="eastAsia" w:eastAsia="宋体"/>
                <w:kern w:val="0"/>
                <w:sz w:val="20"/>
                <w:lang w:val="en-US" w:eastAsia="zh-CN"/>
              </w:rPr>
              <w:t>17.1</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1</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1</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1</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0</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9</w:t>
            </w:r>
            <w:r>
              <w:rPr>
                <w:color w:val="000000"/>
                <w:kern w:val="0"/>
                <w:sz w:val="28"/>
                <w:szCs w:val="28"/>
              </w:rPr>
              <w:t>人，其中：在职人员</w:t>
            </w:r>
            <w:r>
              <w:rPr>
                <w:rFonts w:hint="eastAsia" w:eastAsia="宋体"/>
                <w:color w:val="000000"/>
                <w:kern w:val="0"/>
                <w:sz w:val="28"/>
                <w:szCs w:val="28"/>
                <w:u w:val="single"/>
                <w:lang w:val="en-US" w:eastAsia="zh-CN"/>
              </w:rPr>
              <w:t>9</w:t>
            </w:r>
            <w:r>
              <w:rPr>
                <w:color w:val="000000"/>
                <w:kern w:val="0"/>
                <w:sz w:val="28"/>
                <w:szCs w:val="28"/>
              </w:rPr>
              <w:t>人，离退休人员</w:t>
            </w:r>
            <w:r>
              <w:rPr>
                <w:rFonts w:hint="eastAsia" w:eastAsia="宋体"/>
                <w:color w:val="000000"/>
                <w:kern w:val="0"/>
                <w:sz w:val="28"/>
                <w:szCs w:val="28"/>
                <w:u w:val="single"/>
                <w:lang w:val="en-US" w:eastAsia="zh-CN"/>
              </w:rPr>
              <w:t>0</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1215"/>
        <w:gridCol w:w="1245"/>
        <w:gridCol w:w="670"/>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6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21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245"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67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663"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46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670"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663" w:type="dxa"/>
            <w:vMerge w:val="continue"/>
            <w:noWrap w:val="0"/>
            <w:vAlign w:val="center"/>
          </w:tcPr>
          <w:p>
            <w:pPr>
              <w:autoSpaceDN w:val="0"/>
              <w:jc w:val="center"/>
              <w:textAlignment w:val="center"/>
              <w:rPr>
                <w:rFonts w:ascii="Calibri" w:hAnsi="Calibri" w:eastAsia="华文细黑"/>
                <w:color w:val="000000"/>
                <w:sz w:val="20"/>
                <w:szCs w:val="22"/>
              </w:rPr>
            </w:pPr>
          </w:p>
        </w:tc>
        <w:tc>
          <w:tcPr>
            <w:tcW w:w="121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24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670"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exact"/>
          <w:jc w:val="center"/>
        </w:trPr>
        <w:tc>
          <w:tcPr>
            <w:tcW w:w="6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311-专项业务支出</w:t>
            </w:r>
          </w:p>
        </w:tc>
        <w:tc>
          <w:tcPr>
            <w:tcW w:w="1215" w:type="dxa"/>
            <w:noWrap w:val="0"/>
            <w:vAlign w:val="center"/>
          </w:tcPr>
          <w:p>
            <w:pPr>
              <w:tabs>
                <w:tab w:val="left" w:pos="336"/>
              </w:tabs>
              <w:autoSpaceDN w:val="0"/>
              <w:jc w:val="left"/>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lang w:eastAsia="zh-CN"/>
              </w:rPr>
              <w:t>中共通榆县委宣传部2024年驻村工作队生活补贴</w:t>
            </w:r>
          </w:p>
        </w:tc>
        <w:tc>
          <w:tcPr>
            <w:tcW w:w="1245" w:type="dxa"/>
            <w:noWrap w:val="0"/>
            <w:vAlign w:val="center"/>
          </w:tcPr>
          <w:p>
            <w:pPr>
              <w:tabs>
                <w:tab w:val="left" w:pos="312"/>
              </w:tabs>
              <w:autoSpaceDN w:val="0"/>
              <w:jc w:val="left"/>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lang w:eastAsia="zh-CN"/>
              </w:rPr>
              <w:t>中共通榆县委宣传部2024年驻村工作队生活补贴</w:t>
            </w:r>
          </w:p>
        </w:tc>
        <w:tc>
          <w:tcPr>
            <w:tcW w:w="67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eastAsia="zh-CN"/>
              </w:rPr>
              <w:t>中共通榆县委宣传部</w:t>
            </w:r>
          </w:p>
        </w:tc>
        <w:tc>
          <w:tcPr>
            <w:tcW w:w="498"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10.8</w:t>
            </w:r>
          </w:p>
        </w:tc>
        <w:tc>
          <w:tcPr>
            <w:tcW w:w="553"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10.8</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p>
        </w:tc>
        <w:tc>
          <w:tcPr>
            <w:tcW w:w="521" w:type="dxa"/>
            <w:noWrap w:val="0"/>
            <w:vAlign w:val="center"/>
          </w:tcPr>
          <w:p>
            <w:pPr>
              <w:autoSpaceDN w:val="0"/>
              <w:jc w:val="center"/>
              <w:textAlignment w:val="center"/>
              <w:rPr>
                <w:rFonts w:hint="eastAsia" w:ascii="宋体" w:hAnsi="宋体" w:eastAsia="宋体" w:cs="宋体"/>
                <w:color w:val="000000"/>
                <w:sz w:val="20"/>
                <w:szCs w:val="22"/>
              </w:rPr>
            </w:pPr>
          </w:p>
        </w:tc>
        <w:tc>
          <w:tcPr>
            <w:tcW w:w="564" w:type="dxa"/>
            <w:noWrap w:val="0"/>
            <w:vAlign w:val="center"/>
          </w:tcPr>
          <w:p>
            <w:pPr>
              <w:autoSpaceDN w:val="0"/>
              <w:jc w:val="center"/>
              <w:textAlignment w:val="center"/>
              <w:rPr>
                <w:rFonts w:hint="eastAsia" w:ascii="宋体" w:hAnsi="宋体" w:eastAsia="宋体" w:cs="宋体"/>
                <w:color w:val="000000"/>
                <w:sz w:val="20"/>
                <w:szCs w:val="22"/>
              </w:rPr>
            </w:pPr>
          </w:p>
        </w:tc>
        <w:tc>
          <w:tcPr>
            <w:tcW w:w="532" w:type="dxa"/>
            <w:noWrap w:val="0"/>
            <w:vAlign w:val="center"/>
          </w:tcPr>
          <w:p>
            <w:pPr>
              <w:autoSpaceDN w:val="0"/>
              <w:jc w:val="center"/>
              <w:textAlignment w:val="center"/>
              <w:rPr>
                <w:rFonts w:hint="eastAsia" w:ascii="宋体" w:hAnsi="宋体" w:eastAsia="宋体" w:cs="宋体"/>
                <w:color w:val="000000"/>
                <w:sz w:val="20"/>
                <w:szCs w:val="22"/>
              </w:rPr>
            </w:pPr>
          </w:p>
        </w:tc>
        <w:tc>
          <w:tcPr>
            <w:tcW w:w="598" w:type="dxa"/>
            <w:noWrap w:val="0"/>
            <w:vAlign w:val="center"/>
          </w:tcPr>
          <w:p>
            <w:pPr>
              <w:autoSpaceDN w:val="0"/>
              <w:jc w:val="center"/>
              <w:textAlignment w:val="center"/>
              <w:rPr>
                <w:rFonts w:hint="eastAsia" w:ascii="宋体" w:hAnsi="宋体" w:eastAsia="宋体" w:cs="宋体"/>
                <w:color w:val="000000"/>
                <w:sz w:val="20"/>
                <w:szCs w:val="22"/>
              </w:rPr>
            </w:pPr>
          </w:p>
        </w:tc>
        <w:tc>
          <w:tcPr>
            <w:tcW w:w="443" w:type="dxa"/>
            <w:noWrap w:val="0"/>
            <w:vAlign w:val="center"/>
          </w:tcPr>
          <w:p>
            <w:pPr>
              <w:autoSpaceDN w:val="0"/>
              <w:jc w:val="center"/>
              <w:textAlignment w:val="center"/>
              <w:rPr>
                <w:rFonts w:hint="eastAsia" w:ascii="宋体" w:hAnsi="宋体" w:eastAsia="宋体" w:cs="宋体"/>
                <w:color w:val="000000"/>
                <w:sz w:val="20"/>
                <w:szCs w:val="22"/>
              </w:rPr>
            </w:pPr>
          </w:p>
        </w:tc>
        <w:tc>
          <w:tcPr>
            <w:tcW w:w="425" w:type="dxa"/>
            <w:noWrap w:val="0"/>
            <w:vAlign w:val="center"/>
          </w:tcPr>
          <w:p>
            <w:pPr>
              <w:autoSpaceDN w:val="0"/>
              <w:jc w:val="center"/>
              <w:textAlignment w:val="center"/>
              <w:rPr>
                <w:rFonts w:hint="eastAsia" w:ascii="宋体" w:hAnsi="宋体" w:eastAsia="宋体" w:cs="宋体"/>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2" w:hRule="exact"/>
          <w:jc w:val="center"/>
        </w:trPr>
        <w:tc>
          <w:tcPr>
            <w:tcW w:w="6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311-专项业务支出</w:t>
            </w:r>
          </w:p>
        </w:tc>
        <w:tc>
          <w:tcPr>
            <w:tcW w:w="1215" w:type="dxa"/>
            <w:noWrap w:val="0"/>
            <w:vAlign w:val="center"/>
          </w:tcPr>
          <w:p>
            <w:pPr>
              <w:autoSpaceDN w:val="0"/>
              <w:jc w:val="both"/>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宣传部2024年白城日报等订阅费</w:t>
            </w:r>
          </w:p>
        </w:tc>
        <w:tc>
          <w:tcPr>
            <w:tcW w:w="124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宣传部2024年白城日报等订阅费</w:t>
            </w:r>
          </w:p>
        </w:tc>
        <w:tc>
          <w:tcPr>
            <w:tcW w:w="67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eastAsia="zh-CN"/>
              </w:rPr>
              <w:t>中共通榆县委宣传部</w:t>
            </w:r>
          </w:p>
        </w:tc>
        <w:tc>
          <w:tcPr>
            <w:tcW w:w="498"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188.34</w:t>
            </w: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val="en-US" w:eastAsia="zh-CN"/>
              </w:rPr>
              <w:t>188.34</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p>
        </w:tc>
        <w:tc>
          <w:tcPr>
            <w:tcW w:w="521" w:type="dxa"/>
            <w:noWrap w:val="0"/>
            <w:vAlign w:val="center"/>
          </w:tcPr>
          <w:p>
            <w:pPr>
              <w:autoSpaceDN w:val="0"/>
              <w:jc w:val="center"/>
              <w:textAlignment w:val="center"/>
              <w:rPr>
                <w:rFonts w:hint="eastAsia" w:ascii="宋体" w:hAnsi="宋体" w:eastAsia="宋体" w:cs="宋体"/>
                <w:color w:val="000000"/>
                <w:sz w:val="20"/>
                <w:szCs w:val="22"/>
              </w:rPr>
            </w:pPr>
          </w:p>
        </w:tc>
        <w:tc>
          <w:tcPr>
            <w:tcW w:w="564" w:type="dxa"/>
            <w:noWrap w:val="0"/>
            <w:vAlign w:val="center"/>
          </w:tcPr>
          <w:p>
            <w:pPr>
              <w:autoSpaceDN w:val="0"/>
              <w:jc w:val="center"/>
              <w:textAlignment w:val="center"/>
              <w:rPr>
                <w:rFonts w:hint="eastAsia" w:ascii="宋体" w:hAnsi="宋体" w:eastAsia="宋体" w:cs="宋体"/>
                <w:color w:val="000000"/>
                <w:sz w:val="20"/>
                <w:szCs w:val="22"/>
              </w:rPr>
            </w:pPr>
          </w:p>
        </w:tc>
        <w:tc>
          <w:tcPr>
            <w:tcW w:w="532" w:type="dxa"/>
            <w:noWrap w:val="0"/>
            <w:vAlign w:val="center"/>
          </w:tcPr>
          <w:p>
            <w:pPr>
              <w:autoSpaceDN w:val="0"/>
              <w:jc w:val="center"/>
              <w:textAlignment w:val="center"/>
              <w:rPr>
                <w:rFonts w:hint="eastAsia" w:ascii="宋体" w:hAnsi="宋体" w:eastAsia="宋体" w:cs="宋体"/>
                <w:color w:val="000000"/>
                <w:sz w:val="20"/>
                <w:szCs w:val="22"/>
              </w:rPr>
            </w:pPr>
          </w:p>
        </w:tc>
        <w:tc>
          <w:tcPr>
            <w:tcW w:w="598" w:type="dxa"/>
            <w:noWrap w:val="0"/>
            <w:vAlign w:val="center"/>
          </w:tcPr>
          <w:p>
            <w:pPr>
              <w:autoSpaceDN w:val="0"/>
              <w:jc w:val="center"/>
              <w:textAlignment w:val="center"/>
              <w:rPr>
                <w:rFonts w:hint="eastAsia" w:ascii="宋体" w:hAnsi="宋体" w:eastAsia="宋体" w:cs="宋体"/>
                <w:color w:val="000000"/>
                <w:sz w:val="20"/>
                <w:szCs w:val="22"/>
              </w:rPr>
            </w:pPr>
          </w:p>
        </w:tc>
        <w:tc>
          <w:tcPr>
            <w:tcW w:w="443" w:type="dxa"/>
            <w:noWrap w:val="0"/>
            <w:vAlign w:val="center"/>
          </w:tcPr>
          <w:p>
            <w:pPr>
              <w:autoSpaceDN w:val="0"/>
              <w:jc w:val="center"/>
              <w:textAlignment w:val="center"/>
              <w:rPr>
                <w:rFonts w:hint="eastAsia" w:ascii="宋体" w:hAnsi="宋体" w:eastAsia="宋体" w:cs="宋体"/>
                <w:color w:val="000000"/>
                <w:sz w:val="20"/>
                <w:szCs w:val="22"/>
              </w:rPr>
            </w:pPr>
          </w:p>
        </w:tc>
        <w:tc>
          <w:tcPr>
            <w:tcW w:w="425" w:type="dxa"/>
            <w:noWrap w:val="0"/>
            <w:vAlign w:val="center"/>
          </w:tcPr>
          <w:p>
            <w:pPr>
              <w:autoSpaceDN w:val="0"/>
              <w:jc w:val="center"/>
              <w:textAlignment w:val="center"/>
              <w:rPr>
                <w:rFonts w:hint="eastAsia" w:ascii="宋体" w:hAnsi="宋体" w:eastAsia="宋体" w:cs="宋体"/>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 w:hRule="exact"/>
          <w:jc w:val="center"/>
        </w:trPr>
        <w:tc>
          <w:tcPr>
            <w:tcW w:w="6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311-专项业务支出</w:t>
            </w:r>
          </w:p>
        </w:tc>
        <w:tc>
          <w:tcPr>
            <w:tcW w:w="1215" w:type="dxa"/>
            <w:noWrap w:val="0"/>
            <w:vAlign w:val="center"/>
          </w:tcPr>
          <w:p>
            <w:pPr>
              <w:tabs>
                <w:tab w:val="left" w:pos="237"/>
              </w:tabs>
              <w:autoSpaceDN w:val="0"/>
              <w:jc w:val="left"/>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lang w:eastAsia="zh-CN"/>
              </w:rPr>
              <w:t>宣传部2024年辅助岗位人员工资</w:t>
            </w:r>
          </w:p>
        </w:tc>
        <w:tc>
          <w:tcPr>
            <w:tcW w:w="124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宣传部2024年辅助岗位人员工资</w:t>
            </w:r>
          </w:p>
        </w:tc>
        <w:tc>
          <w:tcPr>
            <w:tcW w:w="67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eastAsia="zh-CN"/>
              </w:rPr>
              <w:t>中共通榆县委宣传部</w:t>
            </w:r>
          </w:p>
        </w:tc>
        <w:tc>
          <w:tcPr>
            <w:tcW w:w="498"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43.49</w:t>
            </w:r>
          </w:p>
        </w:tc>
        <w:tc>
          <w:tcPr>
            <w:tcW w:w="553"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43.49</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p>
        </w:tc>
        <w:tc>
          <w:tcPr>
            <w:tcW w:w="521" w:type="dxa"/>
            <w:noWrap w:val="0"/>
            <w:vAlign w:val="center"/>
          </w:tcPr>
          <w:p>
            <w:pPr>
              <w:autoSpaceDN w:val="0"/>
              <w:jc w:val="center"/>
              <w:textAlignment w:val="center"/>
              <w:rPr>
                <w:rFonts w:hint="eastAsia" w:ascii="宋体" w:hAnsi="宋体" w:eastAsia="宋体" w:cs="宋体"/>
                <w:color w:val="000000"/>
                <w:sz w:val="20"/>
                <w:szCs w:val="22"/>
              </w:rPr>
            </w:pPr>
          </w:p>
        </w:tc>
        <w:tc>
          <w:tcPr>
            <w:tcW w:w="564" w:type="dxa"/>
            <w:noWrap w:val="0"/>
            <w:vAlign w:val="center"/>
          </w:tcPr>
          <w:p>
            <w:pPr>
              <w:autoSpaceDN w:val="0"/>
              <w:jc w:val="center"/>
              <w:textAlignment w:val="center"/>
              <w:rPr>
                <w:rFonts w:hint="eastAsia" w:ascii="宋体" w:hAnsi="宋体" w:eastAsia="宋体" w:cs="宋体"/>
                <w:color w:val="000000"/>
                <w:sz w:val="20"/>
                <w:szCs w:val="22"/>
              </w:rPr>
            </w:pPr>
          </w:p>
        </w:tc>
        <w:tc>
          <w:tcPr>
            <w:tcW w:w="532" w:type="dxa"/>
            <w:noWrap w:val="0"/>
            <w:vAlign w:val="center"/>
          </w:tcPr>
          <w:p>
            <w:pPr>
              <w:autoSpaceDN w:val="0"/>
              <w:jc w:val="center"/>
              <w:textAlignment w:val="center"/>
              <w:rPr>
                <w:rFonts w:hint="eastAsia" w:ascii="宋体" w:hAnsi="宋体" w:eastAsia="宋体" w:cs="宋体"/>
                <w:color w:val="000000"/>
                <w:sz w:val="20"/>
                <w:szCs w:val="22"/>
              </w:rPr>
            </w:pPr>
          </w:p>
        </w:tc>
        <w:tc>
          <w:tcPr>
            <w:tcW w:w="598" w:type="dxa"/>
            <w:noWrap w:val="0"/>
            <w:vAlign w:val="center"/>
          </w:tcPr>
          <w:p>
            <w:pPr>
              <w:autoSpaceDN w:val="0"/>
              <w:jc w:val="center"/>
              <w:textAlignment w:val="center"/>
              <w:rPr>
                <w:rFonts w:hint="eastAsia" w:ascii="宋体" w:hAnsi="宋体" w:eastAsia="宋体" w:cs="宋体"/>
                <w:color w:val="000000"/>
                <w:sz w:val="20"/>
                <w:szCs w:val="22"/>
              </w:rPr>
            </w:pPr>
          </w:p>
        </w:tc>
        <w:tc>
          <w:tcPr>
            <w:tcW w:w="443" w:type="dxa"/>
            <w:noWrap w:val="0"/>
            <w:vAlign w:val="center"/>
          </w:tcPr>
          <w:p>
            <w:pPr>
              <w:autoSpaceDN w:val="0"/>
              <w:jc w:val="center"/>
              <w:textAlignment w:val="center"/>
              <w:rPr>
                <w:rFonts w:hint="eastAsia" w:ascii="宋体" w:hAnsi="宋体" w:eastAsia="宋体" w:cs="宋体"/>
                <w:color w:val="000000"/>
                <w:sz w:val="20"/>
                <w:szCs w:val="22"/>
              </w:rPr>
            </w:pPr>
          </w:p>
        </w:tc>
        <w:tc>
          <w:tcPr>
            <w:tcW w:w="425" w:type="dxa"/>
            <w:noWrap w:val="0"/>
            <w:vAlign w:val="center"/>
          </w:tcPr>
          <w:p>
            <w:pPr>
              <w:autoSpaceDN w:val="0"/>
              <w:jc w:val="center"/>
              <w:textAlignment w:val="center"/>
              <w:rPr>
                <w:rFonts w:hint="eastAsia" w:ascii="宋体" w:hAnsi="宋体" w:eastAsia="宋体" w:cs="宋体"/>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exact"/>
          <w:jc w:val="center"/>
        </w:trPr>
        <w:tc>
          <w:tcPr>
            <w:tcW w:w="6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215" w:type="dxa"/>
            <w:noWrap w:val="0"/>
            <w:vAlign w:val="center"/>
          </w:tcPr>
          <w:p>
            <w:pPr>
              <w:autoSpaceDN w:val="0"/>
              <w:jc w:val="center"/>
              <w:textAlignment w:val="center"/>
              <w:rPr>
                <w:rFonts w:hint="eastAsia" w:ascii="宋体" w:hAnsi="宋体" w:eastAsia="宋体" w:cs="宋体"/>
                <w:color w:val="000000"/>
                <w:sz w:val="20"/>
                <w:szCs w:val="22"/>
              </w:rPr>
            </w:pPr>
          </w:p>
        </w:tc>
        <w:tc>
          <w:tcPr>
            <w:tcW w:w="1245" w:type="dxa"/>
            <w:noWrap w:val="0"/>
            <w:vAlign w:val="center"/>
          </w:tcPr>
          <w:p>
            <w:pPr>
              <w:autoSpaceDN w:val="0"/>
              <w:jc w:val="center"/>
              <w:textAlignment w:val="center"/>
              <w:rPr>
                <w:rFonts w:hint="eastAsia" w:ascii="宋体" w:hAnsi="宋体" w:eastAsia="宋体" w:cs="宋体"/>
                <w:color w:val="000000"/>
                <w:sz w:val="20"/>
                <w:szCs w:val="22"/>
              </w:rPr>
            </w:pPr>
          </w:p>
        </w:tc>
        <w:tc>
          <w:tcPr>
            <w:tcW w:w="670" w:type="dxa"/>
            <w:noWrap w:val="0"/>
            <w:vAlign w:val="center"/>
          </w:tcPr>
          <w:p>
            <w:pPr>
              <w:autoSpaceDN w:val="0"/>
              <w:jc w:val="center"/>
              <w:textAlignment w:val="center"/>
              <w:rPr>
                <w:rFonts w:hint="eastAsia" w:ascii="宋体" w:hAnsi="宋体" w:eastAsia="宋体" w:cs="宋体"/>
                <w:color w:val="000000"/>
                <w:sz w:val="20"/>
                <w:szCs w:val="22"/>
              </w:rPr>
            </w:pPr>
          </w:p>
        </w:tc>
        <w:tc>
          <w:tcPr>
            <w:tcW w:w="498"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242.63</w:t>
            </w: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val="en-US" w:eastAsia="zh-CN"/>
              </w:rPr>
              <w:t>242.63</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p>
        </w:tc>
        <w:tc>
          <w:tcPr>
            <w:tcW w:w="521" w:type="dxa"/>
            <w:noWrap w:val="0"/>
            <w:vAlign w:val="center"/>
          </w:tcPr>
          <w:p>
            <w:pPr>
              <w:autoSpaceDN w:val="0"/>
              <w:jc w:val="center"/>
              <w:textAlignment w:val="center"/>
              <w:rPr>
                <w:rFonts w:hint="eastAsia" w:ascii="宋体" w:hAnsi="宋体" w:eastAsia="宋体" w:cs="宋体"/>
                <w:color w:val="000000"/>
                <w:sz w:val="20"/>
                <w:szCs w:val="22"/>
              </w:rPr>
            </w:pPr>
          </w:p>
        </w:tc>
        <w:tc>
          <w:tcPr>
            <w:tcW w:w="564" w:type="dxa"/>
            <w:noWrap w:val="0"/>
            <w:vAlign w:val="center"/>
          </w:tcPr>
          <w:p>
            <w:pPr>
              <w:autoSpaceDN w:val="0"/>
              <w:jc w:val="center"/>
              <w:textAlignment w:val="center"/>
              <w:rPr>
                <w:rFonts w:hint="eastAsia" w:ascii="宋体" w:hAnsi="宋体" w:eastAsia="宋体" w:cs="宋体"/>
                <w:color w:val="000000"/>
                <w:sz w:val="20"/>
                <w:szCs w:val="22"/>
              </w:rPr>
            </w:pPr>
          </w:p>
        </w:tc>
        <w:tc>
          <w:tcPr>
            <w:tcW w:w="532" w:type="dxa"/>
            <w:noWrap w:val="0"/>
            <w:vAlign w:val="center"/>
          </w:tcPr>
          <w:p>
            <w:pPr>
              <w:autoSpaceDN w:val="0"/>
              <w:jc w:val="center"/>
              <w:textAlignment w:val="center"/>
              <w:rPr>
                <w:rFonts w:hint="eastAsia" w:ascii="宋体" w:hAnsi="宋体" w:eastAsia="宋体" w:cs="宋体"/>
                <w:color w:val="000000"/>
                <w:sz w:val="20"/>
                <w:szCs w:val="22"/>
              </w:rPr>
            </w:pPr>
          </w:p>
        </w:tc>
        <w:tc>
          <w:tcPr>
            <w:tcW w:w="598" w:type="dxa"/>
            <w:noWrap w:val="0"/>
            <w:vAlign w:val="center"/>
          </w:tcPr>
          <w:p>
            <w:pPr>
              <w:autoSpaceDN w:val="0"/>
              <w:jc w:val="center"/>
              <w:textAlignment w:val="center"/>
              <w:rPr>
                <w:rFonts w:hint="eastAsia" w:ascii="宋体" w:hAnsi="宋体" w:eastAsia="宋体" w:cs="宋体"/>
                <w:color w:val="000000"/>
                <w:sz w:val="20"/>
                <w:szCs w:val="22"/>
              </w:rPr>
            </w:pPr>
          </w:p>
        </w:tc>
        <w:tc>
          <w:tcPr>
            <w:tcW w:w="443" w:type="dxa"/>
            <w:noWrap w:val="0"/>
            <w:vAlign w:val="center"/>
          </w:tcPr>
          <w:p>
            <w:pPr>
              <w:autoSpaceDN w:val="0"/>
              <w:jc w:val="center"/>
              <w:textAlignment w:val="center"/>
              <w:rPr>
                <w:rFonts w:hint="eastAsia" w:ascii="宋体" w:hAnsi="宋体" w:eastAsia="宋体" w:cs="宋体"/>
                <w:color w:val="000000"/>
                <w:sz w:val="20"/>
                <w:szCs w:val="22"/>
              </w:rPr>
            </w:pPr>
          </w:p>
        </w:tc>
        <w:tc>
          <w:tcPr>
            <w:tcW w:w="425" w:type="dxa"/>
            <w:noWrap w:val="0"/>
            <w:vAlign w:val="center"/>
          </w:tcPr>
          <w:p>
            <w:pPr>
              <w:autoSpaceDN w:val="0"/>
              <w:jc w:val="center"/>
              <w:textAlignment w:val="center"/>
              <w:rPr>
                <w:rFonts w:hint="eastAsia" w:ascii="宋体" w:hAnsi="宋体" w:eastAsia="宋体" w:cs="宋体"/>
                <w:color w:val="000000"/>
                <w:sz w:val="20"/>
                <w:szCs w:val="2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rPr>
          <w:rFonts w:eastAsia="楷体"/>
          <w:kern w:val="0"/>
          <w:szCs w:val="32"/>
        </w:rPr>
      </w:pPr>
    </w:p>
    <w:p>
      <w:pPr>
        <w:spacing w:line="700" w:lineRule="exact"/>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szCs w:val="22"/>
                <w:lang w:eastAsia="zh-CN"/>
              </w:rPr>
              <w:t>中共通榆县委宣传部2024年驻村工作队生活补贴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保障驻村工作队生活</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驻村工作队人数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3人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驻村补助发放正确率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驻村补助标准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驻村补助发放及时率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驻村人员生活质量提升程度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逐步提升</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驻村人员满意度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szCs w:val="22"/>
              </w:rPr>
              <w:t>宣传部2024年白城日报等订阅费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188.34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188.34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2024年订阅《白城日报》4300份</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订阅《白城日报》数量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ind w:firstLine="1000" w:firstLineChars="50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4300份</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《白城日报》质量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《白城日报》成本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438元/份</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 xml:space="preserve"> 《白城日报》征订及时率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群众新闻了解率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逐步提升</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读者满意度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spacing w:line="700" w:lineRule="exact"/>
        <w:rPr>
          <w:rFonts w:hint="eastAsia" w:ascii="楷体" w:hAnsi="楷体" w:eastAsia="楷体" w:cs="楷体"/>
          <w:kern w:val="0"/>
          <w:sz w:val="24"/>
          <w:szCs w:val="24"/>
        </w:rPr>
      </w:pPr>
    </w:p>
    <w:p>
      <w:pPr>
        <w:ind w:firstLine="720" w:firstLineChars="200"/>
        <w:jc w:val="center"/>
        <w:rPr>
          <w:rFonts w:eastAsia="黑体"/>
          <w:sz w:val="36"/>
          <w:szCs w:val="36"/>
        </w:rPr>
        <w:sectPr>
          <w:pgSz w:w="11907" w:h="16840"/>
          <w:pgMar w:top="2041" w:right="1588" w:bottom="2041" w:left="1588" w:header="851" w:footer="1588" w:gutter="0"/>
          <w:pgNumType w:start="0"/>
          <w:cols w:space="720" w:num="1"/>
          <w:titlePg/>
          <w:docGrid w:type="lines" w:linePitch="574" w:charSpace="-1675"/>
        </w:sect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szCs w:val="22"/>
              </w:rPr>
              <w:t>宣传部2024年辅助岗位人员工资</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szCs w:val="22"/>
                <w:lang w:val="en-US" w:eastAsia="zh-CN"/>
              </w:rPr>
              <w:t>43.49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szCs w:val="22"/>
                <w:lang w:val="en-US" w:eastAsia="zh-CN"/>
              </w:rPr>
              <w:t>43.49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保障辅助岗位人员工资发放</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辅助岗位人数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ind w:firstLine="1000" w:firstLineChars="50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21人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工资发放准确率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工资发放标准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1460元/人/月</w:t>
            </w:r>
          </w:p>
        </w:tc>
      </w:tr>
      <w:tr>
        <w:tblPrEx>
          <w:tblCellMar>
            <w:top w:w="15" w:type="dxa"/>
            <w:left w:w="15" w:type="dxa"/>
            <w:bottom w:w="15" w:type="dxa"/>
            <w:right w:w="15" w:type="dxa"/>
          </w:tblCellMar>
        </w:tblPrEx>
        <w:trPr>
          <w:trHeight w:val="405"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 xml:space="preserve">     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辅助岗位人员工作效率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逐步提升</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辅助岗位人员满意度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spacing w:line="700" w:lineRule="exact"/>
        <w:rPr>
          <w:rFonts w:hint="eastAsia" w:ascii="楷体" w:hAnsi="楷体" w:eastAsia="楷体" w:cs="楷体"/>
          <w:kern w:val="0"/>
          <w:sz w:val="24"/>
          <w:szCs w:val="24"/>
        </w:rPr>
      </w:pPr>
    </w:p>
    <w:p>
      <w:pPr>
        <w:ind w:firstLine="720" w:firstLineChars="200"/>
        <w:jc w:val="center"/>
        <w:rPr>
          <w:rFonts w:eastAsia="黑体"/>
          <w:sz w:val="36"/>
          <w:szCs w:val="36"/>
        </w:rPr>
        <w:sectPr>
          <w:pgSz w:w="11907" w:h="16840"/>
          <w:pgMar w:top="2041" w:right="1588" w:bottom="2041" w:left="1588" w:header="851" w:footer="1588" w:gutter="0"/>
          <w:pgNumType w:start="0"/>
          <w:cols w:space="720" w:num="1"/>
          <w:titlePg/>
          <w:docGrid w:type="lines" w:linePitch="574" w:charSpace="-1675"/>
        </w:sect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370.57</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370.57</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169.83</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项目支出增加</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370.57</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370.57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370.57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370.57</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127.94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34.53</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242.63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65.37</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370.57</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370.57</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340.78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15.2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5.39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9.2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370.57</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127.94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34.53</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242.63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65.47</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110.84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86.63</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17.1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13.37</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340.78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91.96</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职工工资及公用经费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15.2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4.1</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机关单位养老保险及职业年金支出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eastAsia="zh-CN"/>
        </w:rPr>
        <w:t>卫生健康</w:t>
      </w:r>
      <w:r>
        <w:rPr>
          <w:rFonts w:hint="eastAsia" w:ascii="仿宋_GB2312" w:hAnsi="仿宋_GB2312" w:eastAsia="仿宋_GB2312" w:cs="仿宋_GB2312"/>
          <w:szCs w:val="32"/>
        </w:rPr>
        <w:t>（类）支出</w:t>
      </w:r>
      <w:r>
        <w:rPr>
          <w:rFonts w:hint="eastAsia" w:ascii="仿宋_GB2312" w:hAnsi="仿宋_GB2312" w:cs="仿宋_GB2312"/>
          <w:szCs w:val="32"/>
          <w:lang w:val="en-US" w:eastAsia="zh-CN"/>
        </w:rPr>
        <w:t>5.39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1.45</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行政单位医疗保险及工伤保险支出</w:t>
      </w:r>
      <w:r>
        <w:rPr>
          <w:rFonts w:hint="eastAsia" w:ascii="仿宋_GB2312" w:hAnsi="仿宋_GB2312" w:eastAsia="仿宋_GB2312" w:cs="仿宋_GB2312"/>
          <w:szCs w:val="32"/>
        </w:rPr>
        <w:t>。</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9.2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2.48</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行政单位住房公积金支出</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127.94</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110.84</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17.1</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1</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1</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1.1</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1</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1</w:t>
      </w:r>
      <w:r>
        <w:rPr>
          <w:rFonts w:hint="eastAsia" w:ascii="仿宋_GB2312" w:hAnsi="仿宋_GB2312" w:eastAsia="仿宋_GB2312" w:cs="仿宋_GB2312"/>
          <w:szCs w:val="32"/>
          <w:lang w:eastAsia="zh-CN"/>
        </w:rPr>
        <w:t>万元</w:t>
      </w:r>
      <w:bookmarkStart w:id="0" w:name="_GoBack"/>
      <w:bookmarkEnd w:id="0"/>
      <w:r>
        <w:rPr>
          <w:rFonts w:hint="eastAsia" w:ascii="仿宋_GB2312" w:hAnsi="仿宋_GB2312" w:eastAsia="仿宋_GB2312" w:cs="仿宋_GB2312"/>
          <w:szCs w:val="32"/>
          <w:lang w:eastAsia="zh-CN"/>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1.1</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控制成本，节约资金</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szCs w:val="32"/>
        </w:rPr>
      </w:pPr>
      <w:r>
        <w:rPr>
          <w:rFonts w:eastAsia="楷体"/>
          <w:szCs w:val="32"/>
        </w:rPr>
        <w:t>本部门无政府性基金预算拨款</w:t>
      </w: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szCs w:val="32"/>
        </w:rPr>
      </w:pPr>
      <w:r>
        <w:rPr>
          <w:rFonts w:eastAsia="楷体"/>
          <w:szCs w:val="32"/>
        </w:rPr>
        <w:t>本部门无</w:t>
      </w:r>
      <w:r>
        <w:rPr>
          <w:rFonts w:hint="eastAsia" w:eastAsia="楷体"/>
          <w:szCs w:val="32"/>
        </w:rPr>
        <w:t>国有资本经营</w:t>
      </w:r>
      <w:r>
        <w:rPr>
          <w:rFonts w:eastAsia="楷体"/>
          <w:szCs w:val="32"/>
        </w:rPr>
        <w:t>预算拨款</w:t>
      </w: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rPr>
          <w:rFonts w:eastAsia="楷体"/>
          <w:szCs w:val="32"/>
        </w:rPr>
      </w:pPr>
    </w:p>
    <w:p>
      <w:pPr>
        <w:rPr>
          <w:rFonts w:eastAsia="楷体"/>
          <w:szCs w:val="32"/>
        </w:rPr>
      </w:pPr>
    </w:p>
    <w:p>
      <w:pPr>
        <w:rPr>
          <w:rFonts w:eastAsia="楷体"/>
          <w:szCs w:val="32"/>
        </w:rPr>
      </w:pPr>
    </w:p>
    <w:p>
      <w:pPr>
        <w:rPr>
          <w:rFonts w:eastAsia="楷体"/>
          <w:szCs w:val="32"/>
        </w:rPr>
      </w:pPr>
    </w:p>
    <w:p>
      <w:pPr>
        <w:rPr>
          <w:rFonts w:eastAsia="楷体"/>
          <w:szCs w:val="32"/>
        </w:rPr>
      </w:pPr>
    </w:p>
    <w:p>
      <w:pPr>
        <w:rPr>
          <w:rFonts w:eastAsia="楷体"/>
          <w:szCs w:val="32"/>
        </w:rPr>
      </w:pPr>
    </w:p>
    <w:p>
      <w:pPr>
        <w:rPr>
          <w:rFonts w:eastAsia="楷体"/>
          <w:szCs w:val="32"/>
        </w:rPr>
      </w:pPr>
    </w:p>
    <w:p>
      <w:pPr>
        <w:rPr>
          <w:rFonts w:eastAsia="楷体"/>
          <w:szCs w:val="32"/>
        </w:rPr>
      </w:pPr>
    </w:p>
    <w:p>
      <w:pPr>
        <w:rPr>
          <w:rFonts w:eastAsia="楷体"/>
          <w:szCs w:val="32"/>
        </w:rPr>
      </w:pPr>
    </w:p>
    <w:p>
      <w:pPr>
        <w:rPr>
          <w:rFonts w:eastAsia="楷体"/>
          <w:szCs w:val="32"/>
        </w:rPr>
      </w:pPr>
    </w:p>
    <w:p>
      <w:pPr>
        <w:rPr>
          <w:rFonts w:eastAsia="楷体"/>
          <w:szCs w:val="32"/>
        </w:rPr>
      </w:pP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年部门本级的机关运行经费财政拨款预算</w:t>
      </w:r>
      <w:r>
        <w:rPr>
          <w:rFonts w:hint="eastAsia" w:ascii="仿宋_GB2312" w:hAnsi="仿宋_GB2312" w:cs="仿宋_GB2312"/>
          <w:szCs w:val="32"/>
          <w:lang w:val="en-US" w:eastAsia="zh-CN"/>
        </w:rPr>
        <w:t>10.8</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w:t>
      </w:r>
      <w:r>
        <w:rPr>
          <w:rFonts w:hint="eastAsia" w:ascii="仿宋_GB2312" w:hAnsi="仿宋_GB2312" w:cs="仿宋_GB2312"/>
          <w:szCs w:val="32"/>
          <w:lang w:eastAsia="zh-CN"/>
        </w:rPr>
        <w:t>减少</w:t>
      </w:r>
      <w:r>
        <w:rPr>
          <w:rFonts w:hint="eastAsia" w:ascii="仿宋_GB2312" w:hAnsi="仿宋_GB2312" w:cs="仿宋_GB2312"/>
          <w:szCs w:val="32"/>
          <w:lang w:val="en-US" w:eastAsia="zh-CN"/>
        </w:rPr>
        <w:t>1.2</w:t>
      </w:r>
      <w:r>
        <w:rPr>
          <w:rFonts w:hint="eastAsia" w:ascii="仿宋_GB2312" w:hAnsi="仿宋_GB2312" w:eastAsia="仿宋_GB2312" w:cs="仿宋_GB2312"/>
          <w:szCs w:val="32"/>
        </w:rPr>
        <w:t>万元，</w:t>
      </w:r>
      <w:r>
        <w:rPr>
          <w:rFonts w:hint="eastAsia" w:ascii="仿宋_GB2312" w:hAnsi="仿宋_GB2312" w:cs="仿宋_GB2312"/>
          <w:szCs w:val="32"/>
          <w:lang w:eastAsia="zh-CN"/>
        </w:rPr>
        <w:t>下降</w:t>
      </w:r>
      <w:r>
        <w:rPr>
          <w:rFonts w:hint="eastAsia" w:ascii="仿宋_GB2312" w:hAnsi="仿宋_GB2312" w:cs="仿宋_GB2312"/>
          <w:szCs w:val="32"/>
          <w:lang w:val="en-US" w:eastAsia="zh-CN"/>
        </w:rPr>
        <w:t>10</w:t>
      </w:r>
      <w:r>
        <w:rPr>
          <w:rFonts w:hint="eastAsia" w:ascii="仿宋_GB2312" w:hAnsi="仿宋_GB2312" w:eastAsia="仿宋_GB2312" w:cs="仿宋_GB2312"/>
          <w:szCs w:val="32"/>
        </w:rPr>
        <w:t>%，主要原因是</w:t>
      </w:r>
      <w:r>
        <w:rPr>
          <w:rFonts w:hint="eastAsia" w:ascii="仿宋_GB2312" w:hAnsi="仿宋_GB2312" w:cs="仿宋_GB2312"/>
          <w:szCs w:val="32"/>
          <w:lang w:eastAsia="zh-CN"/>
        </w:rPr>
        <w:t>单位人员调出一名</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188.34</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188.34</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242.63</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3</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3</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242.63</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3</w:t>
      </w:r>
      <w:r>
        <w:rPr>
          <w:rFonts w:hint="eastAsia" w:ascii="仿宋_GB2312" w:hAnsi="仿宋_GB2312" w:eastAsia="仿宋_GB2312" w:cs="仿宋_GB2312"/>
        </w:rPr>
        <w:t>个</w:t>
      </w:r>
      <w:r>
        <w:rPr>
          <w:rFonts w:hint="eastAsia" w:ascii="仿宋_GB2312" w:hAnsi="仿宋_GB2312" w:cs="仿宋_GB2312"/>
          <w:lang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242.63</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2YjUyNzdhOTU5N2I1NjQzMmIwOTRhMjM0MDQ5YT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3200B94"/>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C586CF0"/>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957C7"/>
    <w:rsid w:val="160E1FA5"/>
    <w:rsid w:val="160F2600"/>
    <w:rsid w:val="1623210A"/>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1D66CE3"/>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4D5607F"/>
    <w:rsid w:val="456D114B"/>
    <w:rsid w:val="45EB670F"/>
    <w:rsid w:val="45FC53D1"/>
    <w:rsid w:val="46AB7C0D"/>
    <w:rsid w:val="46D44808"/>
    <w:rsid w:val="47CF49E6"/>
    <w:rsid w:val="4843587B"/>
    <w:rsid w:val="48674ED2"/>
    <w:rsid w:val="487708E6"/>
    <w:rsid w:val="49645F71"/>
    <w:rsid w:val="499F5C68"/>
    <w:rsid w:val="4AF16062"/>
    <w:rsid w:val="4B646DDD"/>
    <w:rsid w:val="4B7F44F8"/>
    <w:rsid w:val="4BAC24C5"/>
    <w:rsid w:val="4BFA0656"/>
    <w:rsid w:val="4C5567C9"/>
    <w:rsid w:val="4CAE1A3B"/>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55D47C0"/>
    <w:rsid w:val="56570E30"/>
    <w:rsid w:val="57AE5C26"/>
    <w:rsid w:val="57DD75A9"/>
    <w:rsid w:val="58256ABD"/>
    <w:rsid w:val="59472AC7"/>
    <w:rsid w:val="59BD150F"/>
    <w:rsid w:val="59DD570D"/>
    <w:rsid w:val="59FF5EDC"/>
    <w:rsid w:val="5A084708"/>
    <w:rsid w:val="5A3B1675"/>
    <w:rsid w:val="5AB343F7"/>
    <w:rsid w:val="5ABF50F2"/>
    <w:rsid w:val="5AF76904"/>
    <w:rsid w:val="5B052E7A"/>
    <w:rsid w:val="5B3D7F7E"/>
    <w:rsid w:val="5B7C7777"/>
    <w:rsid w:val="5B9462A0"/>
    <w:rsid w:val="5BA547E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06E4DAE"/>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12</TotalTime>
  <ScaleCrop>false</ScaleCrop>
  <LinksUpToDate>false</LinksUpToDate>
  <CharactersWithSpaces>8690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LIUYUE</cp:lastModifiedBy>
  <cp:lastPrinted>2022-02-21T08:08:00Z</cp:lastPrinted>
  <dcterms:modified xsi:type="dcterms:W3CDTF">2024-01-26T00:47:04Z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