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hint="default" w:eastAsia="黑体"/>
          <w:lang w:val="en-US" w:eastAsia="zh-CN"/>
        </w:rPr>
      </w:pPr>
      <w:r>
        <w:rPr>
          <w:rFonts w:hint="eastAsia" w:eastAsia="黑体"/>
          <w:lang w:val="en-US" w:eastAsia="zh-CN"/>
        </w:rPr>
        <w:t xml:space="preserve">   </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通榆县发展研究中心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（一）负责全县产业经济及其产业组织、产业结构、产业政策与产业规制，特别是清洁能源产业等问题的分析研究，为产业结构转型发展提出意见和建议。</w:t>
      </w:r>
    </w:p>
    <w:p>
      <w:pPr>
        <w:ind w:firstLine="640" w:firstLineChars="200"/>
        <w:rPr>
          <w:rFonts w:hint="eastAsia" w:ascii="仿宋_GB2312" w:hAnsi="仿宋_GB2312" w:cs="仿宋_GB2312"/>
          <w:color w:val="000000"/>
          <w:szCs w:val="32"/>
          <w:lang w:eastAsia="zh-CN"/>
        </w:rPr>
      </w:pPr>
      <w:r>
        <w:rPr>
          <w:rFonts w:hint="eastAsia" w:ascii="仿宋_GB2312" w:hAnsi="仿宋_GB2312" w:eastAsia="仿宋_GB2312" w:cs="仿宋_GB2312"/>
          <w:color w:val="000000"/>
          <w:szCs w:val="32"/>
        </w:rPr>
        <w:t>（二）负责全县乡村振兴、设施农业、畜禽养殖，推动农牧渔结合、种养加一体化推进等问题的分析研究，为大力发展</w:t>
      </w:r>
      <w:r>
        <w:rPr>
          <w:rFonts w:hint="eastAsia" w:ascii="仿宋_GB2312" w:hAnsi="仿宋_GB2312" w:cs="仿宋_GB2312"/>
          <w:color w:val="000000"/>
          <w:szCs w:val="32"/>
          <w:lang w:eastAsia="zh-CN"/>
        </w:rPr>
        <w:t>绿色农业提出意见和建议。</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（三）负责全县旅游产业、商贸物流及城乡统筹发展等问题的分析研究，为促进三次产业融合发展提出意见和建议。</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（四）负责全县教育、科技、文化、卫生、就业、公共管理、法治建设等社会事业发展状况的分析研究，为社会事业持续健康发展提出意见和建议。</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（五）负责做好县委、县政府重要决策的信息反馈工作，向县委、县政府反映各级领导和广大干部群众的有关意见及各种综合信息，为县委、县政府决策提供信息支撑。</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（六）负责组织、联络、协调全县各方面的人才力量，向县委、县政府提供政策理论支持，并负责日常联系工作。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（七）负责信息的收集、统计、处理及调研报送。</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（八）承办县委、县政府交办的其它事项。</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通榆县发展研究中心</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7</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个机构，分别为（一）综合科</w:t>
      </w:r>
      <w:r>
        <w:rPr>
          <w:rFonts w:hint="eastAsia" w:ascii="仿宋_GB2312" w:hAnsi="仿宋_GB2312" w:eastAsia="仿宋_GB2312" w:cs="仿宋_GB2312"/>
          <w:lang w:eastAsia="zh-CN"/>
        </w:rPr>
        <w:t>、</w:t>
      </w:r>
      <w:r>
        <w:rPr>
          <w:rFonts w:hint="eastAsia" w:ascii="仿宋_GB2312" w:hAnsi="仿宋_GB2312" w:eastAsia="仿宋_GB2312" w:cs="仿宋_GB2312"/>
        </w:rPr>
        <w:t>（二）经济发展调研科</w:t>
      </w:r>
      <w:r>
        <w:rPr>
          <w:rFonts w:hint="eastAsia" w:ascii="仿宋_GB2312" w:hAnsi="仿宋_GB2312" w:eastAsia="仿宋_GB2312" w:cs="仿宋_GB2312"/>
          <w:lang w:eastAsia="zh-CN"/>
        </w:rPr>
        <w:t>、</w:t>
      </w:r>
      <w:r>
        <w:rPr>
          <w:rFonts w:hint="eastAsia" w:ascii="仿宋_GB2312" w:hAnsi="仿宋_GB2312" w:eastAsia="仿宋_GB2312" w:cs="仿宋_GB2312"/>
        </w:rPr>
        <w:t>（三）农业农村调研科</w:t>
      </w:r>
      <w:r>
        <w:rPr>
          <w:rFonts w:hint="eastAsia" w:ascii="仿宋_GB2312" w:hAnsi="仿宋_GB2312" w:eastAsia="仿宋_GB2312" w:cs="仿宋_GB2312"/>
          <w:lang w:eastAsia="zh-CN"/>
        </w:rPr>
        <w:t>、</w:t>
      </w:r>
      <w:r>
        <w:rPr>
          <w:rFonts w:hint="eastAsia" w:ascii="仿宋_GB2312" w:hAnsi="仿宋_GB2312" w:eastAsia="仿宋_GB2312" w:cs="仿宋_GB2312"/>
        </w:rPr>
        <w:t>（四）商贸旅游调研科</w:t>
      </w:r>
      <w:r>
        <w:rPr>
          <w:rFonts w:hint="eastAsia" w:ascii="仿宋_GB2312" w:hAnsi="仿宋_GB2312" w:eastAsia="仿宋_GB2312" w:cs="仿宋_GB2312"/>
          <w:lang w:eastAsia="zh-CN"/>
        </w:rPr>
        <w:t>、</w:t>
      </w:r>
      <w:r>
        <w:rPr>
          <w:rFonts w:hint="eastAsia" w:ascii="仿宋_GB2312" w:hAnsi="仿宋_GB2312" w:eastAsia="仿宋_GB2312" w:cs="仿宋_GB2312"/>
        </w:rPr>
        <w:t>（五）社会管理调研科</w:t>
      </w:r>
      <w:r>
        <w:rPr>
          <w:rFonts w:hint="eastAsia" w:ascii="仿宋_GB2312" w:hAnsi="仿宋_GB2312" w:eastAsia="仿宋_GB2312" w:cs="仿宋_GB2312"/>
          <w:lang w:eastAsia="zh-CN"/>
        </w:rPr>
        <w:t>、</w:t>
      </w:r>
      <w:r>
        <w:rPr>
          <w:rFonts w:hint="eastAsia" w:ascii="仿宋_GB2312" w:hAnsi="仿宋_GB2312" w:eastAsia="仿宋_GB2312" w:cs="仿宋_GB2312"/>
        </w:rPr>
        <w:t>（六）城乡建设调研科</w:t>
      </w:r>
      <w:r>
        <w:rPr>
          <w:rFonts w:hint="eastAsia" w:ascii="仿宋_GB2312" w:hAnsi="仿宋_GB2312" w:eastAsia="仿宋_GB2312" w:cs="仿宋_GB2312"/>
          <w:lang w:eastAsia="zh-CN"/>
        </w:rPr>
        <w:t>、</w:t>
      </w:r>
      <w:r>
        <w:rPr>
          <w:rFonts w:hint="eastAsia" w:ascii="仿宋_GB2312" w:hAnsi="仿宋_GB2312" w:eastAsia="仿宋_GB2312" w:cs="仿宋_GB2312"/>
        </w:rPr>
        <w:t>（七）法治建设调研科</w:t>
      </w:r>
      <w:r>
        <w:rPr>
          <w:rFonts w:hint="eastAsia" w:ascii="仿宋_GB2312" w:hAnsi="仿宋_GB2312" w:eastAsia="仿宋_GB2312" w:cs="仿宋_GB2312"/>
          <w:lang w:eastAsia="zh-CN"/>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99.94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126.20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8.04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126.20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126.20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通榆县发展研究中心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126.20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126.20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126.20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126.20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126.20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126.20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社保保障和就业支出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机关事业单位职业年金缴费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126.20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67"/>
              <w:gridCol w:w="784"/>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126.20</w:t>
                  </w: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126.20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99.94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99.94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126.20</w:t>
                  </w: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126.20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126.20</w:t>
                  </w: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126.20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126.20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126.20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6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126.20</w:t>
                  </w:r>
                  <w:r>
                    <w:rPr>
                      <w:rFonts w:eastAsia="黑体"/>
                      <w:kern w:val="0"/>
                      <w:sz w:val="20"/>
                    </w:rPr>
                    <w:t>　</w:t>
                  </w:r>
                </w:p>
              </w:tc>
              <w:tc>
                <w:tcPr>
                  <w:tcW w:w="78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126.20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126.20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126.20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社保保障和就业支出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行政事业单位基本养老保险缴费支出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机关事业单位职业年金缴费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126.20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94.92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94.26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94.26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kern w:val="0"/>
                <w:sz w:val="20"/>
                <w:lang w:eastAsia="zh-CN"/>
              </w:rPr>
              <w:t>住房公积金缴费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042"/>
        <w:gridCol w:w="1020"/>
        <w:gridCol w:w="668"/>
        <w:gridCol w:w="716"/>
        <w:gridCol w:w="879"/>
        <w:gridCol w:w="509"/>
        <w:gridCol w:w="556"/>
        <w:gridCol w:w="463"/>
        <w:gridCol w:w="509"/>
        <w:gridCol w:w="649"/>
        <w:gridCol w:w="556"/>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947"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4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4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2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6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1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944"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90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4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62"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6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1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94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21"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556"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73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jc w:val="center"/>
        </w:trPr>
        <w:tc>
          <w:tcPr>
            <w:tcW w:w="64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4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0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68" w:type="dxa"/>
            <w:vMerge w:val="continue"/>
            <w:noWrap w:val="0"/>
            <w:vAlign w:val="center"/>
          </w:tcPr>
          <w:p>
            <w:pPr>
              <w:autoSpaceDN w:val="0"/>
              <w:jc w:val="center"/>
              <w:textAlignment w:val="center"/>
              <w:rPr>
                <w:rFonts w:ascii="Calibri" w:hAnsi="Calibri" w:eastAsia="华文细黑"/>
                <w:color w:val="000000"/>
                <w:sz w:val="20"/>
                <w:szCs w:val="22"/>
              </w:rPr>
            </w:pPr>
          </w:p>
        </w:tc>
        <w:tc>
          <w:tcPr>
            <w:tcW w:w="716" w:type="dxa"/>
            <w:vMerge w:val="continue"/>
            <w:noWrap w:val="0"/>
            <w:vAlign w:val="center"/>
          </w:tcPr>
          <w:p>
            <w:pPr>
              <w:autoSpaceDN w:val="0"/>
              <w:jc w:val="center"/>
              <w:textAlignment w:val="center"/>
              <w:rPr>
                <w:rFonts w:ascii="Calibri" w:hAnsi="Calibri" w:eastAsia="华文细黑"/>
                <w:color w:val="000000"/>
                <w:sz w:val="20"/>
                <w:szCs w:val="22"/>
              </w:rPr>
            </w:pPr>
          </w:p>
        </w:tc>
        <w:tc>
          <w:tcPr>
            <w:tcW w:w="87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0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6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0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4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56"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731"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exact"/>
          <w:jc w:val="center"/>
        </w:trPr>
        <w:tc>
          <w:tcPr>
            <w:tcW w:w="64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专项业务支出</w:t>
            </w:r>
          </w:p>
        </w:tc>
        <w:tc>
          <w:tcPr>
            <w:tcW w:w="104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sz w:val="20"/>
                <w:szCs w:val="22"/>
                <w:lang w:val="en-US" w:eastAsia="zh-CN"/>
              </w:rPr>
            </w:pPr>
            <w:r>
              <w:rPr>
                <w:rFonts w:hint="eastAsia" w:ascii="宋体" w:hAnsi="宋体" w:eastAsia="宋体" w:cs="宋体"/>
                <w:kern w:val="0"/>
                <w:sz w:val="20"/>
                <w:szCs w:val="20"/>
                <w:lang w:val="en-US" w:eastAsia="zh-CN"/>
              </w:rPr>
              <w:t>县委办2024年驻村工作队生活补贴</w:t>
            </w:r>
          </w:p>
        </w:tc>
        <w:tc>
          <w:tcPr>
            <w:tcW w:w="10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发展研究中心</w:t>
            </w:r>
            <w:r>
              <w:rPr>
                <w:rFonts w:hint="eastAsia" w:ascii="宋体" w:hAnsi="宋体" w:eastAsia="宋体" w:cs="宋体"/>
                <w:color w:val="000000"/>
                <w:sz w:val="20"/>
                <w:szCs w:val="22"/>
                <w:lang w:val="en-US" w:eastAsia="zh-CN"/>
              </w:rPr>
              <w:t>2024年度辅助岗人员工资</w:t>
            </w:r>
          </w:p>
        </w:tc>
        <w:tc>
          <w:tcPr>
            <w:tcW w:w="66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通榆县发展研究中心</w:t>
            </w:r>
          </w:p>
        </w:tc>
        <w:tc>
          <w:tcPr>
            <w:tcW w:w="716"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19.04</w:t>
            </w:r>
          </w:p>
        </w:tc>
        <w:tc>
          <w:tcPr>
            <w:tcW w:w="87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19.04</w:t>
            </w:r>
          </w:p>
        </w:tc>
        <w:tc>
          <w:tcPr>
            <w:tcW w:w="509" w:type="dxa"/>
            <w:noWrap w:val="0"/>
            <w:vAlign w:val="center"/>
          </w:tcPr>
          <w:p>
            <w:pPr>
              <w:autoSpaceDN w:val="0"/>
              <w:jc w:val="center"/>
              <w:textAlignment w:val="center"/>
              <w:rPr>
                <w:rFonts w:hint="eastAsia" w:ascii="宋体" w:hAnsi="宋体" w:eastAsia="宋体" w:cs="宋体"/>
                <w:color w:val="000000"/>
                <w:sz w:val="20"/>
                <w:szCs w:val="22"/>
              </w:rPr>
            </w:pPr>
          </w:p>
        </w:tc>
        <w:tc>
          <w:tcPr>
            <w:tcW w:w="556" w:type="dxa"/>
            <w:noWrap w:val="0"/>
            <w:vAlign w:val="center"/>
          </w:tcPr>
          <w:p>
            <w:pPr>
              <w:spacing w:line="700" w:lineRule="exact"/>
              <w:jc w:val="center"/>
              <w:rPr>
                <w:rFonts w:ascii="Calibri" w:hAnsi="Calibri" w:eastAsia="楷体"/>
                <w:kern w:val="0"/>
                <w:sz w:val="15"/>
                <w:szCs w:val="15"/>
              </w:rPr>
            </w:pPr>
          </w:p>
        </w:tc>
        <w:tc>
          <w:tcPr>
            <w:tcW w:w="463" w:type="dxa"/>
            <w:noWrap w:val="0"/>
            <w:vAlign w:val="center"/>
          </w:tcPr>
          <w:p>
            <w:pPr>
              <w:spacing w:line="700" w:lineRule="exact"/>
              <w:jc w:val="center"/>
              <w:rPr>
                <w:rFonts w:ascii="Calibri" w:hAnsi="Calibri" w:eastAsia="楷体"/>
                <w:kern w:val="0"/>
                <w:sz w:val="15"/>
                <w:szCs w:val="15"/>
              </w:rPr>
            </w:pPr>
          </w:p>
        </w:tc>
        <w:tc>
          <w:tcPr>
            <w:tcW w:w="509" w:type="dxa"/>
            <w:noWrap w:val="0"/>
            <w:vAlign w:val="center"/>
          </w:tcPr>
          <w:p>
            <w:pPr>
              <w:spacing w:line="700" w:lineRule="exact"/>
              <w:jc w:val="center"/>
              <w:rPr>
                <w:rFonts w:ascii="Calibri" w:hAnsi="Calibri" w:eastAsia="楷体"/>
                <w:kern w:val="0"/>
                <w:sz w:val="15"/>
                <w:szCs w:val="15"/>
              </w:rPr>
            </w:pPr>
          </w:p>
        </w:tc>
        <w:tc>
          <w:tcPr>
            <w:tcW w:w="649" w:type="dxa"/>
            <w:noWrap w:val="0"/>
            <w:vAlign w:val="center"/>
          </w:tcPr>
          <w:p>
            <w:pPr>
              <w:spacing w:line="700" w:lineRule="exact"/>
              <w:jc w:val="center"/>
              <w:rPr>
                <w:rFonts w:ascii="Calibri" w:hAnsi="Calibri" w:eastAsia="楷体"/>
                <w:kern w:val="0"/>
                <w:sz w:val="15"/>
                <w:szCs w:val="15"/>
              </w:rPr>
            </w:pPr>
          </w:p>
        </w:tc>
        <w:tc>
          <w:tcPr>
            <w:tcW w:w="556" w:type="dxa"/>
            <w:noWrap w:val="0"/>
            <w:vAlign w:val="center"/>
          </w:tcPr>
          <w:p>
            <w:pPr>
              <w:spacing w:line="700" w:lineRule="exact"/>
              <w:jc w:val="center"/>
              <w:rPr>
                <w:rFonts w:ascii="Calibri" w:hAnsi="Calibri" w:eastAsia="楷体"/>
                <w:kern w:val="0"/>
                <w:sz w:val="15"/>
                <w:szCs w:val="15"/>
              </w:rPr>
            </w:pPr>
          </w:p>
        </w:tc>
        <w:tc>
          <w:tcPr>
            <w:tcW w:w="731" w:type="dxa"/>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exact"/>
          <w:jc w:val="center"/>
        </w:trPr>
        <w:tc>
          <w:tcPr>
            <w:tcW w:w="64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专项业务支出</w:t>
            </w:r>
          </w:p>
        </w:tc>
        <w:tc>
          <w:tcPr>
            <w:tcW w:w="1042"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sz w:val="20"/>
                <w:szCs w:val="22"/>
                <w:lang w:val="en-US" w:eastAsia="zh-CN"/>
              </w:rPr>
            </w:pPr>
            <w:r>
              <w:rPr>
                <w:rFonts w:hint="eastAsia" w:ascii="宋体" w:hAnsi="宋体" w:eastAsia="宋体" w:cs="宋体"/>
                <w:kern w:val="0"/>
                <w:sz w:val="22"/>
                <w:szCs w:val="22"/>
                <w:lang w:val="en-US" w:eastAsia="zh-CN"/>
              </w:rPr>
              <w:t>2024年办公费</w:t>
            </w:r>
          </w:p>
        </w:tc>
        <w:tc>
          <w:tcPr>
            <w:tcW w:w="10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通榆县发展研究中心</w:t>
            </w:r>
            <w:r>
              <w:rPr>
                <w:rFonts w:hint="eastAsia" w:ascii="宋体" w:hAnsi="宋体" w:eastAsia="宋体" w:cs="宋体"/>
                <w:color w:val="000000"/>
                <w:sz w:val="20"/>
                <w:szCs w:val="22"/>
                <w:lang w:val="en-US" w:eastAsia="zh-CN"/>
              </w:rPr>
              <w:t>2024年度驻村工作队生活补助</w:t>
            </w:r>
          </w:p>
        </w:tc>
        <w:tc>
          <w:tcPr>
            <w:tcW w:w="66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通榆县发展研究中心</w:t>
            </w:r>
          </w:p>
        </w:tc>
        <w:tc>
          <w:tcPr>
            <w:tcW w:w="716"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3.60</w:t>
            </w:r>
          </w:p>
        </w:tc>
        <w:tc>
          <w:tcPr>
            <w:tcW w:w="87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3.60</w:t>
            </w:r>
          </w:p>
        </w:tc>
        <w:tc>
          <w:tcPr>
            <w:tcW w:w="509" w:type="dxa"/>
            <w:noWrap w:val="0"/>
            <w:vAlign w:val="center"/>
          </w:tcPr>
          <w:p>
            <w:pPr>
              <w:autoSpaceDN w:val="0"/>
              <w:jc w:val="center"/>
              <w:textAlignment w:val="center"/>
              <w:rPr>
                <w:rFonts w:hint="eastAsia" w:ascii="宋体" w:hAnsi="宋体" w:eastAsia="宋体" w:cs="宋体"/>
                <w:color w:val="000000"/>
                <w:sz w:val="20"/>
                <w:szCs w:val="22"/>
              </w:rPr>
            </w:pPr>
          </w:p>
        </w:tc>
        <w:tc>
          <w:tcPr>
            <w:tcW w:w="556" w:type="dxa"/>
            <w:noWrap w:val="0"/>
            <w:vAlign w:val="center"/>
          </w:tcPr>
          <w:p>
            <w:pPr>
              <w:spacing w:line="700" w:lineRule="exact"/>
              <w:jc w:val="center"/>
              <w:rPr>
                <w:rFonts w:ascii="Calibri" w:hAnsi="Calibri" w:eastAsia="楷体"/>
                <w:kern w:val="0"/>
                <w:sz w:val="15"/>
                <w:szCs w:val="15"/>
              </w:rPr>
            </w:pPr>
          </w:p>
        </w:tc>
        <w:tc>
          <w:tcPr>
            <w:tcW w:w="463" w:type="dxa"/>
            <w:noWrap w:val="0"/>
            <w:vAlign w:val="center"/>
          </w:tcPr>
          <w:p>
            <w:pPr>
              <w:spacing w:line="700" w:lineRule="exact"/>
              <w:jc w:val="center"/>
              <w:rPr>
                <w:rFonts w:ascii="Calibri" w:hAnsi="Calibri" w:eastAsia="楷体"/>
                <w:kern w:val="0"/>
                <w:sz w:val="15"/>
                <w:szCs w:val="15"/>
              </w:rPr>
            </w:pPr>
          </w:p>
        </w:tc>
        <w:tc>
          <w:tcPr>
            <w:tcW w:w="509" w:type="dxa"/>
            <w:noWrap w:val="0"/>
            <w:vAlign w:val="center"/>
          </w:tcPr>
          <w:p>
            <w:pPr>
              <w:spacing w:line="700" w:lineRule="exact"/>
              <w:jc w:val="center"/>
              <w:rPr>
                <w:rFonts w:ascii="Calibri" w:hAnsi="Calibri" w:eastAsia="楷体"/>
                <w:kern w:val="0"/>
                <w:sz w:val="15"/>
                <w:szCs w:val="15"/>
              </w:rPr>
            </w:pPr>
          </w:p>
        </w:tc>
        <w:tc>
          <w:tcPr>
            <w:tcW w:w="649" w:type="dxa"/>
            <w:noWrap w:val="0"/>
            <w:vAlign w:val="center"/>
          </w:tcPr>
          <w:p>
            <w:pPr>
              <w:spacing w:line="700" w:lineRule="exact"/>
              <w:jc w:val="center"/>
              <w:rPr>
                <w:rFonts w:ascii="Calibri" w:hAnsi="Calibri" w:eastAsia="楷体"/>
                <w:kern w:val="0"/>
                <w:sz w:val="15"/>
                <w:szCs w:val="15"/>
              </w:rPr>
            </w:pPr>
          </w:p>
        </w:tc>
        <w:tc>
          <w:tcPr>
            <w:tcW w:w="556" w:type="dxa"/>
            <w:noWrap w:val="0"/>
            <w:vAlign w:val="center"/>
          </w:tcPr>
          <w:p>
            <w:pPr>
              <w:spacing w:line="700" w:lineRule="exact"/>
              <w:jc w:val="center"/>
              <w:rPr>
                <w:rFonts w:ascii="Calibri" w:hAnsi="Calibri" w:eastAsia="楷体"/>
                <w:kern w:val="0"/>
                <w:sz w:val="15"/>
                <w:szCs w:val="15"/>
              </w:rPr>
            </w:pPr>
          </w:p>
        </w:tc>
        <w:tc>
          <w:tcPr>
            <w:tcW w:w="731" w:type="dxa"/>
            <w:noWrap w:val="0"/>
            <w:vAlign w:val="center"/>
          </w:tcPr>
          <w:p>
            <w:pPr>
              <w:spacing w:line="700" w:lineRule="exact"/>
              <w:jc w:val="center"/>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jc w:val="center"/>
        </w:trPr>
        <w:tc>
          <w:tcPr>
            <w:tcW w:w="64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042" w:type="dxa"/>
            <w:noWrap w:val="0"/>
            <w:vAlign w:val="center"/>
          </w:tcPr>
          <w:p>
            <w:pPr>
              <w:autoSpaceDN w:val="0"/>
              <w:jc w:val="center"/>
              <w:textAlignment w:val="center"/>
              <w:rPr>
                <w:rFonts w:hint="eastAsia" w:ascii="宋体" w:hAnsi="宋体" w:eastAsia="宋体" w:cs="宋体"/>
                <w:color w:val="000000"/>
                <w:sz w:val="20"/>
                <w:szCs w:val="22"/>
              </w:rPr>
            </w:pPr>
          </w:p>
        </w:tc>
        <w:tc>
          <w:tcPr>
            <w:tcW w:w="1020" w:type="dxa"/>
            <w:noWrap w:val="0"/>
            <w:vAlign w:val="center"/>
          </w:tcPr>
          <w:p>
            <w:pPr>
              <w:autoSpaceDN w:val="0"/>
              <w:jc w:val="center"/>
              <w:textAlignment w:val="center"/>
              <w:rPr>
                <w:rFonts w:hint="eastAsia" w:ascii="宋体" w:hAnsi="宋体" w:eastAsia="宋体" w:cs="宋体"/>
                <w:color w:val="000000"/>
                <w:sz w:val="20"/>
                <w:szCs w:val="22"/>
              </w:rPr>
            </w:pPr>
          </w:p>
        </w:tc>
        <w:tc>
          <w:tcPr>
            <w:tcW w:w="668" w:type="dxa"/>
            <w:noWrap w:val="0"/>
            <w:vAlign w:val="center"/>
          </w:tcPr>
          <w:p>
            <w:pPr>
              <w:autoSpaceDN w:val="0"/>
              <w:jc w:val="center"/>
              <w:textAlignment w:val="center"/>
              <w:rPr>
                <w:rFonts w:hint="eastAsia" w:ascii="宋体" w:hAnsi="宋体" w:eastAsia="宋体" w:cs="宋体"/>
                <w:color w:val="000000"/>
                <w:sz w:val="20"/>
                <w:szCs w:val="22"/>
              </w:rPr>
            </w:pPr>
          </w:p>
        </w:tc>
        <w:tc>
          <w:tcPr>
            <w:tcW w:w="716"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22.64</w:t>
            </w:r>
          </w:p>
        </w:tc>
        <w:tc>
          <w:tcPr>
            <w:tcW w:w="87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22.64</w:t>
            </w:r>
          </w:p>
        </w:tc>
        <w:tc>
          <w:tcPr>
            <w:tcW w:w="509" w:type="dxa"/>
            <w:noWrap w:val="0"/>
            <w:vAlign w:val="center"/>
          </w:tcPr>
          <w:p>
            <w:pPr>
              <w:autoSpaceDN w:val="0"/>
              <w:jc w:val="center"/>
              <w:textAlignment w:val="center"/>
              <w:rPr>
                <w:rFonts w:hint="eastAsia" w:ascii="宋体" w:hAnsi="宋体" w:eastAsia="宋体" w:cs="宋体"/>
                <w:color w:val="000000"/>
                <w:sz w:val="20"/>
                <w:szCs w:val="22"/>
              </w:rPr>
            </w:pPr>
          </w:p>
        </w:tc>
        <w:tc>
          <w:tcPr>
            <w:tcW w:w="556" w:type="dxa"/>
            <w:noWrap w:val="0"/>
            <w:vAlign w:val="center"/>
          </w:tcPr>
          <w:p>
            <w:pPr>
              <w:spacing w:line="700" w:lineRule="exact"/>
              <w:jc w:val="center"/>
              <w:rPr>
                <w:rFonts w:ascii="Calibri" w:hAnsi="Calibri" w:eastAsia="楷体"/>
                <w:kern w:val="0"/>
                <w:szCs w:val="32"/>
              </w:rPr>
            </w:pPr>
          </w:p>
        </w:tc>
        <w:tc>
          <w:tcPr>
            <w:tcW w:w="463" w:type="dxa"/>
            <w:noWrap w:val="0"/>
            <w:vAlign w:val="center"/>
          </w:tcPr>
          <w:p>
            <w:pPr>
              <w:spacing w:line="700" w:lineRule="exact"/>
              <w:jc w:val="center"/>
              <w:rPr>
                <w:rFonts w:ascii="Calibri" w:hAnsi="Calibri" w:eastAsia="楷体"/>
                <w:kern w:val="0"/>
                <w:szCs w:val="32"/>
              </w:rPr>
            </w:pPr>
          </w:p>
        </w:tc>
        <w:tc>
          <w:tcPr>
            <w:tcW w:w="509" w:type="dxa"/>
            <w:noWrap w:val="0"/>
            <w:vAlign w:val="center"/>
          </w:tcPr>
          <w:p>
            <w:pPr>
              <w:spacing w:line="700" w:lineRule="exact"/>
              <w:jc w:val="center"/>
              <w:rPr>
                <w:rFonts w:ascii="Calibri" w:hAnsi="Calibri" w:eastAsia="楷体"/>
                <w:kern w:val="0"/>
                <w:szCs w:val="32"/>
              </w:rPr>
            </w:pPr>
          </w:p>
        </w:tc>
        <w:tc>
          <w:tcPr>
            <w:tcW w:w="649" w:type="dxa"/>
            <w:noWrap w:val="0"/>
            <w:vAlign w:val="center"/>
          </w:tcPr>
          <w:p>
            <w:pPr>
              <w:spacing w:line="700" w:lineRule="exact"/>
              <w:jc w:val="center"/>
              <w:rPr>
                <w:rFonts w:ascii="Calibri" w:hAnsi="Calibri" w:eastAsia="楷体"/>
                <w:kern w:val="0"/>
                <w:szCs w:val="32"/>
              </w:rPr>
            </w:pPr>
          </w:p>
        </w:tc>
        <w:tc>
          <w:tcPr>
            <w:tcW w:w="556" w:type="dxa"/>
            <w:noWrap w:val="0"/>
            <w:vAlign w:val="center"/>
          </w:tcPr>
          <w:p>
            <w:pPr>
              <w:spacing w:line="700" w:lineRule="exact"/>
              <w:jc w:val="center"/>
              <w:rPr>
                <w:rFonts w:ascii="Calibri" w:hAnsi="Calibri" w:eastAsia="楷体"/>
                <w:kern w:val="0"/>
                <w:szCs w:val="32"/>
              </w:rPr>
            </w:pPr>
          </w:p>
        </w:tc>
        <w:tc>
          <w:tcPr>
            <w:tcW w:w="731"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1033"/>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ab/>
            </w:r>
            <w:r>
              <w:rPr>
                <w:rFonts w:hint="eastAsia" w:ascii="宋体" w:hAnsi="宋体" w:eastAsia="宋体" w:cs="宋体"/>
                <w:color w:val="000000"/>
                <w:sz w:val="20"/>
                <w:lang w:eastAsia="zh-CN"/>
              </w:rPr>
              <w:t>发展研究中心</w:t>
            </w:r>
            <w:r>
              <w:rPr>
                <w:rFonts w:hint="eastAsia" w:ascii="宋体" w:hAnsi="宋体" w:eastAsia="宋体" w:cs="宋体"/>
                <w:color w:val="000000"/>
                <w:sz w:val="20"/>
                <w:lang w:val="en-US" w:eastAsia="zh-CN"/>
              </w:rPr>
              <w:t>2024年驻村人员补助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保质保量完成驻村工作队生活补助发放工作。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1"/>
              </w:num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驻村干部人数</w:t>
            </w:r>
          </w:p>
          <w:p>
            <w:pPr>
              <w:numPr>
                <w:ilvl w:val="0"/>
                <w:numId w:val="1"/>
              </w:num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驻村生活补助对生活水平的影响度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对工作质量工作效率的影响度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bl>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1033"/>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ab/>
            </w:r>
            <w:r>
              <w:rPr>
                <w:rFonts w:hint="eastAsia" w:ascii="宋体" w:hAnsi="宋体" w:eastAsia="宋体" w:cs="宋体"/>
                <w:color w:val="000000"/>
                <w:sz w:val="20"/>
                <w:lang w:eastAsia="zh-CN"/>
              </w:rPr>
              <w:t>发展研究中心</w:t>
            </w:r>
            <w:r>
              <w:rPr>
                <w:rFonts w:hint="eastAsia" w:ascii="宋体" w:hAnsi="宋体" w:eastAsia="宋体" w:cs="宋体"/>
                <w:color w:val="000000"/>
                <w:sz w:val="20"/>
                <w:lang w:val="en-US" w:eastAsia="zh-CN"/>
              </w:rPr>
              <w:t>2024年度辅助岗人员工资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400" w:firstLineChars="20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每月按时发放辅助人员工资，保障基本民生。</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辅助岗人员工作合格率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开工资的及时率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辅助岗人员对工作的完成率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&gt;=100%</w:t>
            </w:r>
          </w:p>
        </w:tc>
      </w:tr>
    </w:tbl>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10.57</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eastAsia="zh-CN"/>
        </w:rPr>
        <w:t>行政机关工作运行需要</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99.94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13.80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8.04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103.56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82.06</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22.64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17.94</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94.92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91.66</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8.64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99.94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79.19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通榆县发展研究中心在职人员人员经费及日常办公经费。</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10.94</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通榆县发展研究中心在职人员社会保障缴费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8.04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6.37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通榆县发展研究中心在职人员住房公积金缴费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4.42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3.50</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通榆县发展研究中心在职人员医保缴费。</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126.20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94.92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33.84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2.63</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7.60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cs="仿宋_GB2312"/>
          <w:szCs w:val="32"/>
          <w:u w:val="single"/>
          <w:lang w:val="en-US" w:eastAsia="zh-CN"/>
        </w:rPr>
        <w:t>22.93</w:t>
      </w:r>
      <w:r>
        <w:rPr>
          <w:rFonts w:hint="eastAsia" w:ascii="仿宋_GB2312" w:hAnsi="仿宋_GB2312" w:cs="仿宋_GB2312"/>
          <w:szCs w:val="32"/>
          <w:u w:val="none"/>
          <w:lang w:val="en-US" w:eastAsia="zh-CN"/>
        </w:rPr>
        <w:t>万元、机关事业单位基本养老保险缴费</w:t>
      </w:r>
      <w:r>
        <w:rPr>
          <w:rFonts w:hint="eastAsia" w:ascii="仿宋_GB2312" w:hAnsi="仿宋_GB2312" w:cs="仿宋_GB2312"/>
          <w:szCs w:val="32"/>
          <w:u w:val="single"/>
          <w:lang w:val="en-US" w:eastAsia="zh-CN"/>
        </w:rPr>
        <w:t>10.72</w:t>
      </w:r>
      <w:r>
        <w:rPr>
          <w:rFonts w:hint="eastAsia" w:ascii="仿宋_GB2312" w:hAnsi="仿宋_GB2312" w:cs="仿宋_GB2312"/>
          <w:szCs w:val="32"/>
          <w:u w:val="none"/>
          <w:lang w:val="en-US" w:eastAsia="zh-CN"/>
        </w:rPr>
        <w:t>万元、职业年金</w:t>
      </w:r>
      <w:r>
        <w:rPr>
          <w:rFonts w:hint="eastAsia" w:ascii="仿宋_GB2312" w:hAnsi="仿宋_GB2312" w:cs="仿宋_GB2312"/>
          <w:szCs w:val="32"/>
          <w:u w:val="single"/>
          <w:lang w:val="en-US" w:eastAsia="zh-CN"/>
        </w:rPr>
        <w:t>2.61</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szCs w:val="32"/>
          <w:u w:val="single"/>
          <w:lang w:val="en-US" w:eastAsia="zh-CN"/>
        </w:rPr>
        <w:t>4.29</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0.60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1.00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8.04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8.64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4.19</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u w:val="single"/>
          <w:lang w:val="en-US" w:eastAsia="zh-CN"/>
        </w:rPr>
        <w:t>0.05</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u w:val="single"/>
          <w:lang w:val="en-US" w:eastAsia="zh-CN"/>
        </w:rPr>
        <w:t>0.30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u w:val="single"/>
          <w:lang w:val="en-US" w:eastAsia="zh-CN"/>
        </w:rPr>
        <w:t>0.30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1.8</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、对个人和家庭补补助，主要包括：生活补助</w:t>
      </w:r>
      <w:r>
        <w:rPr>
          <w:rFonts w:hint="eastAsia" w:ascii="仿宋_GB2312" w:hAnsi="仿宋_GB2312" w:cs="仿宋_GB2312"/>
          <w:kern w:val="0"/>
          <w:szCs w:val="32"/>
          <w:u w:val="single"/>
          <w:lang w:val="en-US" w:eastAsia="zh-CN"/>
        </w:rPr>
        <w:t>0.66</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bookmarkStart w:id="0" w:name="_GoBack"/>
      <w:bookmarkEnd w:id="0"/>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_万元，占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22.64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22.64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22.64</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14E2"/>
    <w:multiLevelType w:val="singleLevel"/>
    <w:tmpl w:val="AF6B14E2"/>
    <w:lvl w:ilvl="0" w:tentative="0">
      <w:start w:val="1"/>
      <w:numFmt w:val="decimal"/>
      <w:lvlText w:val="%1."/>
      <w:lvlJc w:val="left"/>
      <w:pPr>
        <w:tabs>
          <w:tab w:val="left" w:pos="312"/>
        </w:tabs>
      </w:p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5525E"/>
    <w:rsid w:val="00584D1B"/>
    <w:rsid w:val="00586A56"/>
    <w:rsid w:val="005D5B16"/>
    <w:rsid w:val="005F314F"/>
    <w:rsid w:val="00623896"/>
    <w:rsid w:val="006358AE"/>
    <w:rsid w:val="006B3914"/>
    <w:rsid w:val="007638E0"/>
    <w:rsid w:val="00805D3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FD609D"/>
    <w:rsid w:val="020E6D2C"/>
    <w:rsid w:val="031D7D4B"/>
    <w:rsid w:val="03822CFE"/>
    <w:rsid w:val="04022755"/>
    <w:rsid w:val="04082AD7"/>
    <w:rsid w:val="0486486A"/>
    <w:rsid w:val="04954460"/>
    <w:rsid w:val="04F026C1"/>
    <w:rsid w:val="050D06DA"/>
    <w:rsid w:val="050F3BA7"/>
    <w:rsid w:val="05513E94"/>
    <w:rsid w:val="056F5A6D"/>
    <w:rsid w:val="059B3770"/>
    <w:rsid w:val="063949A0"/>
    <w:rsid w:val="067960C1"/>
    <w:rsid w:val="069F5975"/>
    <w:rsid w:val="06BD5BC7"/>
    <w:rsid w:val="07D21289"/>
    <w:rsid w:val="07F544B0"/>
    <w:rsid w:val="0882554E"/>
    <w:rsid w:val="09A0082A"/>
    <w:rsid w:val="0A334D52"/>
    <w:rsid w:val="0A791DB0"/>
    <w:rsid w:val="0ABA06FE"/>
    <w:rsid w:val="0B5F5ADA"/>
    <w:rsid w:val="0B710869"/>
    <w:rsid w:val="0BD670DD"/>
    <w:rsid w:val="0C2A5C84"/>
    <w:rsid w:val="0C507DDC"/>
    <w:rsid w:val="0D6F0EA6"/>
    <w:rsid w:val="0DA001B0"/>
    <w:rsid w:val="0DB6446C"/>
    <w:rsid w:val="0DB77A48"/>
    <w:rsid w:val="0DEB170B"/>
    <w:rsid w:val="0DF45E1C"/>
    <w:rsid w:val="0E4C7841"/>
    <w:rsid w:val="0F3E0406"/>
    <w:rsid w:val="0F8B592F"/>
    <w:rsid w:val="0FD62F63"/>
    <w:rsid w:val="107728C7"/>
    <w:rsid w:val="10AE7F82"/>
    <w:rsid w:val="10C93B35"/>
    <w:rsid w:val="11177619"/>
    <w:rsid w:val="112605C8"/>
    <w:rsid w:val="12E711B7"/>
    <w:rsid w:val="136D62BD"/>
    <w:rsid w:val="13C64E44"/>
    <w:rsid w:val="13F21722"/>
    <w:rsid w:val="1441443C"/>
    <w:rsid w:val="14C12787"/>
    <w:rsid w:val="15593E10"/>
    <w:rsid w:val="159F7E25"/>
    <w:rsid w:val="15F848D0"/>
    <w:rsid w:val="160E1FA5"/>
    <w:rsid w:val="160F2600"/>
    <w:rsid w:val="17765BCA"/>
    <w:rsid w:val="17A027D8"/>
    <w:rsid w:val="17D71E7A"/>
    <w:rsid w:val="19477227"/>
    <w:rsid w:val="1A817DF8"/>
    <w:rsid w:val="1ADC594E"/>
    <w:rsid w:val="1AEB5252"/>
    <w:rsid w:val="1BE31830"/>
    <w:rsid w:val="1C07246A"/>
    <w:rsid w:val="1C807054"/>
    <w:rsid w:val="1C852172"/>
    <w:rsid w:val="1CA40C0C"/>
    <w:rsid w:val="1CFF4A32"/>
    <w:rsid w:val="1D833200"/>
    <w:rsid w:val="1E2D59A2"/>
    <w:rsid w:val="1E3A3FD0"/>
    <w:rsid w:val="1EB55C07"/>
    <w:rsid w:val="1F351A10"/>
    <w:rsid w:val="1FED47E9"/>
    <w:rsid w:val="204600D2"/>
    <w:rsid w:val="206816AC"/>
    <w:rsid w:val="20713A86"/>
    <w:rsid w:val="21B9471D"/>
    <w:rsid w:val="22A4003E"/>
    <w:rsid w:val="230333DB"/>
    <w:rsid w:val="2351194D"/>
    <w:rsid w:val="23984063"/>
    <w:rsid w:val="23CE11F0"/>
    <w:rsid w:val="23EC61F6"/>
    <w:rsid w:val="244C543C"/>
    <w:rsid w:val="24624768"/>
    <w:rsid w:val="2539376C"/>
    <w:rsid w:val="254C6FAD"/>
    <w:rsid w:val="259B5BC5"/>
    <w:rsid w:val="25C7462E"/>
    <w:rsid w:val="25F62C4E"/>
    <w:rsid w:val="2611778F"/>
    <w:rsid w:val="265718D7"/>
    <w:rsid w:val="26643D6C"/>
    <w:rsid w:val="26FE109D"/>
    <w:rsid w:val="27073E1E"/>
    <w:rsid w:val="273870AC"/>
    <w:rsid w:val="27B04AB3"/>
    <w:rsid w:val="28A63332"/>
    <w:rsid w:val="29A84555"/>
    <w:rsid w:val="29C45F24"/>
    <w:rsid w:val="2B004E04"/>
    <w:rsid w:val="2DF8796C"/>
    <w:rsid w:val="2EB22F18"/>
    <w:rsid w:val="2EE12108"/>
    <w:rsid w:val="2EED35E3"/>
    <w:rsid w:val="2F250383"/>
    <w:rsid w:val="2F63610B"/>
    <w:rsid w:val="300965A3"/>
    <w:rsid w:val="30730D6E"/>
    <w:rsid w:val="30B91A70"/>
    <w:rsid w:val="31451602"/>
    <w:rsid w:val="315761EA"/>
    <w:rsid w:val="32CF2C5D"/>
    <w:rsid w:val="335402B5"/>
    <w:rsid w:val="339466B2"/>
    <w:rsid w:val="34555AF5"/>
    <w:rsid w:val="35616772"/>
    <w:rsid w:val="35EA1663"/>
    <w:rsid w:val="35ED155C"/>
    <w:rsid w:val="364C598E"/>
    <w:rsid w:val="36CC2B0F"/>
    <w:rsid w:val="371A614D"/>
    <w:rsid w:val="3838492F"/>
    <w:rsid w:val="385D11C5"/>
    <w:rsid w:val="387258D7"/>
    <w:rsid w:val="3887374F"/>
    <w:rsid w:val="38A66BC5"/>
    <w:rsid w:val="38AF6637"/>
    <w:rsid w:val="39041A07"/>
    <w:rsid w:val="39043B77"/>
    <w:rsid w:val="393F0DCD"/>
    <w:rsid w:val="39670895"/>
    <w:rsid w:val="397A5801"/>
    <w:rsid w:val="39886C6B"/>
    <w:rsid w:val="3A657F9A"/>
    <w:rsid w:val="3A9113D4"/>
    <w:rsid w:val="3AC54F32"/>
    <w:rsid w:val="3B144A0A"/>
    <w:rsid w:val="3B1B2A0D"/>
    <w:rsid w:val="3B7C071F"/>
    <w:rsid w:val="3B802F47"/>
    <w:rsid w:val="3BC92948"/>
    <w:rsid w:val="3BE370D4"/>
    <w:rsid w:val="3C29381E"/>
    <w:rsid w:val="3C711E1D"/>
    <w:rsid w:val="3C7F463D"/>
    <w:rsid w:val="3C9963E7"/>
    <w:rsid w:val="3CAE3960"/>
    <w:rsid w:val="3CCE71EB"/>
    <w:rsid w:val="3D365BF6"/>
    <w:rsid w:val="3DF23324"/>
    <w:rsid w:val="3E9E2257"/>
    <w:rsid w:val="3EA14040"/>
    <w:rsid w:val="3EE8108D"/>
    <w:rsid w:val="3F6251B6"/>
    <w:rsid w:val="404C1FAE"/>
    <w:rsid w:val="405745EF"/>
    <w:rsid w:val="40B80EFF"/>
    <w:rsid w:val="41A35364"/>
    <w:rsid w:val="41C31686"/>
    <w:rsid w:val="42982B4E"/>
    <w:rsid w:val="436B1E42"/>
    <w:rsid w:val="43993170"/>
    <w:rsid w:val="44054362"/>
    <w:rsid w:val="449C5E6A"/>
    <w:rsid w:val="456D114B"/>
    <w:rsid w:val="459C4BB6"/>
    <w:rsid w:val="45EB670F"/>
    <w:rsid w:val="46AB7C0D"/>
    <w:rsid w:val="46D44808"/>
    <w:rsid w:val="47CF49E6"/>
    <w:rsid w:val="4843587B"/>
    <w:rsid w:val="48674ED2"/>
    <w:rsid w:val="487708E6"/>
    <w:rsid w:val="49645F71"/>
    <w:rsid w:val="499F5C68"/>
    <w:rsid w:val="4AF16062"/>
    <w:rsid w:val="4B3A626E"/>
    <w:rsid w:val="4B5F2F6E"/>
    <w:rsid w:val="4B646DDD"/>
    <w:rsid w:val="4B7F44F8"/>
    <w:rsid w:val="4BAC24C5"/>
    <w:rsid w:val="4BFA0656"/>
    <w:rsid w:val="4C5567C9"/>
    <w:rsid w:val="4D3349CE"/>
    <w:rsid w:val="4D730507"/>
    <w:rsid w:val="4D741DD3"/>
    <w:rsid w:val="4DC93207"/>
    <w:rsid w:val="4E2A22FD"/>
    <w:rsid w:val="4E8D5761"/>
    <w:rsid w:val="4EF54A85"/>
    <w:rsid w:val="4F6F75D9"/>
    <w:rsid w:val="501B3C66"/>
    <w:rsid w:val="504B40C5"/>
    <w:rsid w:val="50987DC2"/>
    <w:rsid w:val="50A4703E"/>
    <w:rsid w:val="50AC5B0E"/>
    <w:rsid w:val="5117392E"/>
    <w:rsid w:val="5136104F"/>
    <w:rsid w:val="51E55C99"/>
    <w:rsid w:val="52071113"/>
    <w:rsid w:val="52447C09"/>
    <w:rsid w:val="525A440D"/>
    <w:rsid w:val="52852658"/>
    <w:rsid w:val="52D970E6"/>
    <w:rsid w:val="534926E3"/>
    <w:rsid w:val="536373D3"/>
    <w:rsid w:val="54741940"/>
    <w:rsid w:val="547F5A6B"/>
    <w:rsid w:val="54810E66"/>
    <w:rsid w:val="54C2556E"/>
    <w:rsid w:val="55480EEF"/>
    <w:rsid w:val="56570E30"/>
    <w:rsid w:val="573F4933"/>
    <w:rsid w:val="576C677A"/>
    <w:rsid w:val="57AE5C26"/>
    <w:rsid w:val="57DD75A9"/>
    <w:rsid w:val="58256ABD"/>
    <w:rsid w:val="58705DF6"/>
    <w:rsid w:val="59472AC7"/>
    <w:rsid w:val="59BD150F"/>
    <w:rsid w:val="59DD570D"/>
    <w:rsid w:val="59FF5EDC"/>
    <w:rsid w:val="5A084708"/>
    <w:rsid w:val="5A4E56FE"/>
    <w:rsid w:val="5AB343F7"/>
    <w:rsid w:val="5ABF50F2"/>
    <w:rsid w:val="5AF76904"/>
    <w:rsid w:val="5B052E7A"/>
    <w:rsid w:val="5B3D7F7E"/>
    <w:rsid w:val="5B4540E4"/>
    <w:rsid w:val="5B7C7777"/>
    <w:rsid w:val="5B9462A0"/>
    <w:rsid w:val="5BD9690C"/>
    <w:rsid w:val="5BEC6771"/>
    <w:rsid w:val="5C425CFC"/>
    <w:rsid w:val="5C7A31A3"/>
    <w:rsid w:val="5CA506B9"/>
    <w:rsid w:val="5CFD5FB2"/>
    <w:rsid w:val="5D2B52D8"/>
    <w:rsid w:val="5D5A7C63"/>
    <w:rsid w:val="5DAB78D0"/>
    <w:rsid w:val="5E256F6F"/>
    <w:rsid w:val="5EE03675"/>
    <w:rsid w:val="5F41345D"/>
    <w:rsid w:val="5F4771F0"/>
    <w:rsid w:val="5F6235A9"/>
    <w:rsid w:val="611B18FD"/>
    <w:rsid w:val="614125C2"/>
    <w:rsid w:val="61F85E23"/>
    <w:rsid w:val="624C5C52"/>
    <w:rsid w:val="624F048C"/>
    <w:rsid w:val="62E418BB"/>
    <w:rsid w:val="63582D4F"/>
    <w:rsid w:val="635C3B47"/>
    <w:rsid w:val="63952BB5"/>
    <w:rsid w:val="63DF08E4"/>
    <w:rsid w:val="64127E15"/>
    <w:rsid w:val="64C04AFD"/>
    <w:rsid w:val="661A7B69"/>
    <w:rsid w:val="664909C1"/>
    <w:rsid w:val="66A005FC"/>
    <w:rsid w:val="66C63EB5"/>
    <w:rsid w:val="66DD20EA"/>
    <w:rsid w:val="66E22DA5"/>
    <w:rsid w:val="67401089"/>
    <w:rsid w:val="677772D0"/>
    <w:rsid w:val="6781062F"/>
    <w:rsid w:val="679461D3"/>
    <w:rsid w:val="6858287E"/>
    <w:rsid w:val="68C301C4"/>
    <w:rsid w:val="69157114"/>
    <w:rsid w:val="691A443E"/>
    <w:rsid w:val="69E36D38"/>
    <w:rsid w:val="6A80735F"/>
    <w:rsid w:val="6ACC5E47"/>
    <w:rsid w:val="6AD43ED1"/>
    <w:rsid w:val="6B11024D"/>
    <w:rsid w:val="6B7D5B36"/>
    <w:rsid w:val="6CF120A8"/>
    <w:rsid w:val="70137AE5"/>
    <w:rsid w:val="70217BD0"/>
    <w:rsid w:val="714213DD"/>
    <w:rsid w:val="717F272E"/>
    <w:rsid w:val="728027C6"/>
    <w:rsid w:val="72D54D7C"/>
    <w:rsid w:val="737664E0"/>
    <w:rsid w:val="73FE7ACC"/>
    <w:rsid w:val="74053F35"/>
    <w:rsid w:val="74556746"/>
    <w:rsid w:val="74AB7A24"/>
    <w:rsid w:val="75457333"/>
    <w:rsid w:val="75D332DA"/>
    <w:rsid w:val="76BB79B1"/>
    <w:rsid w:val="76C17E06"/>
    <w:rsid w:val="76CA67BD"/>
    <w:rsid w:val="774E6400"/>
    <w:rsid w:val="775B0046"/>
    <w:rsid w:val="77691033"/>
    <w:rsid w:val="77846D70"/>
    <w:rsid w:val="78177BE5"/>
    <w:rsid w:val="78796248"/>
    <w:rsid w:val="79700BEF"/>
    <w:rsid w:val="79E43EE7"/>
    <w:rsid w:val="79F85634"/>
    <w:rsid w:val="7A090695"/>
    <w:rsid w:val="7AE175F4"/>
    <w:rsid w:val="7B3D596F"/>
    <w:rsid w:val="7B417685"/>
    <w:rsid w:val="7B5220F0"/>
    <w:rsid w:val="7BA169C0"/>
    <w:rsid w:val="7BE95D3C"/>
    <w:rsid w:val="7CAD595B"/>
    <w:rsid w:val="7CF65D07"/>
    <w:rsid w:val="7D2975D1"/>
    <w:rsid w:val="7DCC0CD6"/>
    <w:rsid w:val="7F587460"/>
    <w:rsid w:val="7F645E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8073</Words>
  <Characters>9652</Characters>
  <Lines>71</Lines>
  <Paragraphs>20</Paragraphs>
  <TotalTime>1</TotalTime>
  <ScaleCrop>false</ScaleCrop>
  <LinksUpToDate>false</LinksUpToDate>
  <CharactersWithSpaces>10188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2024-01-31T06:29:45Z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