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通榆县迎新街道办事处2024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76" w:lineRule="exact"/>
        <w:ind w:firstLine="608" w:firstLineChars="190"/>
        <w:rPr>
          <w:rFonts w:hint="eastAsia" w:eastAsia="仿宋_GB2312"/>
        </w:rPr>
      </w:pPr>
      <w:r>
        <w:rPr>
          <w:rFonts w:hint="eastAsia" w:eastAsia="仿宋_GB2312"/>
          <w:lang w:eastAsia="zh-CN"/>
        </w:rPr>
        <w:t>（</w:t>
      </w:r>
      <w:r>
        <w:rPr>
          <w:rFonts w:hint="eastAsia" w:eastAsia="仿宋_GB2312"/>
          <w:lang w:val="en-US" w:eastAsia="zh-CN"/>
        </w:rPr>
        <w:t>一</w:t>
      </w:r>
      <w:r>
        <w:rPr>
          <w:rFonts w:hint="eastAsia" w:eastAsia="仿宋_GB2312"/>
          <w:lang w:eastAsia="zh-CN"/>
        </w:rPr>
        <w:t>）</w:t>
      </w:r>
      <w:r>
        <w:rPr>
          <w:rFonts w:hint="eastAsia" w:eastAsia="仿宋_GB2312"/>
        </w:rPr>
        <w:t>贯彻党的路线,方针，政策，和国家的法律，法规执行县委，县政府的决议，决定，加强民主政治，加强基础组织建设。</w:t>
      </w:r>
    </w:p>
    <w:p>
      <w:pPr>
        <w:spacing w:line="576" w:lineRule="exact"/>
        <w:ind w:firstLine="608" w:firstLineChars="190"/>
        <w:rPr>
          <w:rFonts w:hint="eastAsia" w:eastAsia="仿宋_GB2312"/>
        </w:rPr>
      </w:pPr>
      <w:r>
        <w:rPr>
          <w:rFonts w:hint="eastAsia" w:eastAsia="仿宋_GB2312"/>
          <w:lang w:eastAsia="zh-CN"/>
        </w:rPr>
        <w:t>（</w:t>
      </w:r>
      <w:r>
        <w:rPr>
          <w:rFonts w:hint="eastAsia" w:eastAsia="仿宋_GB2312"/>
          <w:lang w:val="en-US" w:eastAsia="zh-CN"/>
        </w:rPr>
        <w:t>二</w:t>
      </w:r>
      <w:r>
        <w:rPr>
          <w:rFonts w:hint="eastAsia" w:eastAsia="仿宋_GB2312"/>
          <w:lang w:eastAsia="zh-CN"/>
        </w:rPr>
        <w:t>）</w:t>
      </w:r>
      <w:r>
        <w:rPr>
          <w:rFonts w:hint="eastAsia" w:eastAsia="仿宋_GB2312"/>
        </w:rPr>
        <w:t>统筹落实街道发展的重大决策和街道建设规划，参与辖区公共服务设施建设规划编制，推动辖区健康，有序，可持续发展。</w:t>
      </w:r>
    </w:p>
    <w:p>
      <w:pPr>
        <w:spacing w:line="576" w:lineRule="exact"/>
        <w:ind w:firstLine="608" w:firstLineChars="190"/>
        <w:rPr>
          <w:rFonts w:hint="eastAsia" w:eastAsia="仿宋_GB2312"/>
        </w:rPr>
      </w:pPr>
      <w:r>
        <w:rPr>
          <w:rFonts w:hint="eastAsia" w:eastAsia="仿宋_GB2312"/>
          <w:lang w:eastAsia="zh-CN"/>
        </w:rPr>
        <w:t>（</w:t>
      </w:r>
      <w:r>
        <w:rPr>
          <w:rFonts w:hint="eastAsia" w:eastAsia="仿宋_GB2312"/>
          <w:lang w:val="en-US" w:eastAsia="zh-CN"/>
        </w:rPr>
        <w:t>三</w:t>
      </w:r>
      <w:r>
        <w:rPr>
          <w:rFonts w:hint="eastAsia" w:eastAsia="仿宋_GB2312"/>
          <w:lang w:eastAsia="zh-CN"/>
        </w:rPr>
        <w:t>）</w:t>
      </w:r>
      <w:r>
        <w:rPr>
          <w:rFonts w:hint="eastAsia" w:eastAsia="仿宋_GB2312"/>
        </w:rPr>
        <w:t>组织实施与居民生活密切相关的卫生，文化体育，社区教育，为老服务等社区公共服务，协助做好人力资源社会保障，民政，残联，计划生育等相关政策的落实工作。</w:t>
      </w:r>
    </w:p>
    <w:p>
      <w:pPr>
        <w:spacing w:line="576" w:lineRule="exact"/>
        <w:ind w:firstLine="608" w:firstLineChars="190"/>
        <w:rPr>
          <w:rFonts w:hint="eastAsia" w:eastAsia="仿宋_GB2312"/>
        </w:rPr>
      </w:pPr>
      <w:r>
        <w:rPr>
          <w:rFonts w:hint="eastAsia" w:eastAsia="仿宋_GB2312"/>
          <w:lang w:eastAsia="zh-CN"/>
        </w:rPr>
        <w:t>（</w:t>
      </w:r>
      <w:r>
        <w:rPr>
          <w:rFonts w:hint="eastAsia" w:eastAsia="仿宋_GB2312"/>
          <w:lang w:val="en-US" w:eastAsia="zh-CN"/>
        </w:rPr>
        <w:t>四</w:t>
      </w:r>
      <w:r>
        <w:rPr>
          <w:rFonts w:hint="eastAsia" w:eastAsia="仿宋_GB2312"/>
          <w:lang w:eastAsia="zh-CN"/>
        </w:rPr>
        <w:t>）</w:t>
      </w:r>
      <w:r>
        <w:rPr>
          <w:rFonts w:hint="eastAsia" w:eastAsia="仿宋_GB2312"/>
        </w:rPr>
        <w:t>综合协调辖区内的城市管理，人口管理，社会管理，安全管理，住宅小区和房屋管理等地区，综合性工作。</w:t>
      </w:r>
    </w:p>
    <w:p>
      <w:pPr>
        <w:spacing w:line="576" w:lineRule="exact"/>
        <w:ind w:firstLine="608" w:firstLineChars="190"/>
        <w:rPr>
          <w:rFonts w:hint="eastAsia" w:eastAsia="仿宋_GB2312"/>
        </w:rPr>
      </w:pPr>
      <w:r>
        <w:rPr>
          <w:rFonts w:hint="eastAsia" w:eastAsia="仿宋_GB2312"/>
          <w:lang w:eastAsia="zh-CN"/>
        </w:rPr>
        <w:t>（</w:t>
      </w:r>
      <w:r>
        <w:rPr>
          <w:rFonts w:hint="eastAsia" w:eastAsia="仿宋_GB2312"/>
          <w:lang w:val="en-US" w:eastAsia="zh-CN"/>
        </w:rPr>
        <w:t>五</w:t>
      </w:r>
      <w:r>
        <w:rPr>
          <w:rFonts w:hint="eastAsia" w:eastAsia="仿宋_GB2312"/>
          <w:lang w:eastAsia="zh-CN"/>
        </w:rPr>
        <w:t>）</w:t>
      </w:r>
      <w:r>
        <w:rPr>
          <w:rFonts w:hint="eastAsia" w:eastAsia="仿宋_GB2312"/>
        </w:rPr>
        <w:t>动员社会力量参与街道治理，整合辖区内社会力量，形成社区公共治合力，为社区发展服务，推动社区公益慈善事业发展。</w:t>
      </w:r>
    </w:p>
    <w:p>
      <w:pPr>
        <w:spacing w:line="576" w:lineRule="exact"/>
        <w:ind w:firstLine="608" w:firstLineChars="190"/>
        <w:rPr>
          <w:rFonts w:hint="eastAsia" w:eastAsia="仿宋_GB2312"/>
        </w:rPr>
      </w:pPr>
      <w:r>
        <w:rPr>
          <w:rFonts w:hint="eastAsia" w:eastAsia="仿宋_GB2312"/>
        </w:rPr>
        <w:t>（</w:t>
      </w:r>
      <w:r>
        <w:rPr>
          <w:rFonts w:hint="eastAsia" w:eastAsia="仿宋_GB2312"/>
          <w:lang w:val="en-US" w:eastAsia="zh-CN"/>
        </w:rPr>
        <w:t>六</w:t>
      </w:r>
      <w:r>
        <w:rPr>
          <w:rFonts w:hint="eastAsia" w:eastAsia="仿宋_GB2312"/>
        </w:rPr>
        <w:t>）指导居民委员会等基层群众性自制组织建设，健全自制平台，组织社区居民和单位参与社区建设和管理。</w:t>
      </w:r>
    </w:p>
    <w:p>
      <w:pPr>
        <w:spacing w:line="576" w:lineRule="exact"/>
        <w:ind w:firstLine="608" w:firstLineChars="190"/>
        <w:rPr>
          <w:rFonts w:hint="eastAsia" w:eastAsia="仿宋_GB2312"/>
        </w:rPr>
      </w:pPr>
      <w:r>
        <w:rPr>
          <w:rFonts w:hint="eastAsia" w:eastAsia="仿宋_GB2312"/>
        </w:rPr>
        <w:t>（</w:t>
      </w:r>
      <w:r>
        <w:rPr>
          <w:rFonts w:hint="eastAsia" w:eastAsia="仿宋_GB2312"/>
          <w:lang w:val="en-US" w:eastAsia="zh-CN"/>
        </w:rPr>
        <w:t>七</w:t>
      </w:r>
      <w:r>
        <w:rPr>
          <w:rFonts w:hint="eastAsia" w:eastAsia="仿宋_GB2312"/>
        </w:rPr>
        <w:t>）承担辖区社会治安综合治理工作，反应社区民意，化解矛盾纠纷，维护社区平安，</w:t>
      </w:r>
    </w:p>
    <w:p>
      <w:pPr>
        <w:spacing w:line="576" w:lineRule="exact"/>
        <w:ind w:firstLine="608" w:firstLineChars="190"/>
        <w:rPr>
          <w:rFonts w:hint="eastAsia" w:eastAsia="仿宋_GB2312"/>
        </w:rPr>
      </w:pPr>
      <w:r>
        <w:rPr>
          <w:rFonts w:hint="eastAsia" w:eastAsia="仿宋_GB2312"/>
        </w:rPr>
        <w:t>（</w:t>
      </w:r>
      <w:r>
        <w:rPr>
          <w:rFonts w:hint="eastAsia" w:eastAsia="仿宋_GB2312"/>
          <w:lang w:val="en-US" w:eastAsia="zh-CN"/>
        </w:rPr>
        <w:t>八</w:t>
      </w:r>
      <w:r>
        <w:rPr>
          <w:rFonts w:hint="eastAsia" w:eastAsia="仿宋_GB2312"/>
        </w:rPr>
        <w:t>）做好国防教育和兵役等工作。</w:t>
      </w:r>
    </w:p>
    <w:p>
      <w:pPr>
        <w:spacing w:line="576" w:lineRule="exact"/>
        <w:ind w:firstLine="608" w:firstLineChars="190"/>
        <w:rPr>
          <w:rFonts w:eastAsia="仿宋_GB2312"/>
        </w:rPr>
      </w:pPr>
      <w:r>
        <w:rPr>
          <w:rFonts w:hint="eastAsia" w:eastAsia="仿宋_GB2312"/>
        </w:rPr>
        <w:t>（</w:t>
      </w:r>
      <w:r>
        <w:rPr>
          <w:rFonts w:hint="eastAsia" w:eastAsia="仿宋_GB2312"/>
          <w:lang w:val="en-US" w:eastAsia="zh-CN"/>
        </w:rPr>
        <w:t>九</w:t>
      </w:r>
      <w:r>
        <w:rPr>
          <w:rFonts w:hint="eastAsia" w:eastAsia="仿宋_GB2312"/>
        </w:rPr>
        <w:t>）法律，法规，规章规定的其他职能和县委，县政府交办的其他事项。</w:t>
      </w:r>
    </w:p>
    <w:p>
      <w:pPr>
        <w:ind w:firstLine="640" w:firstLineChars="200"/>
      </w:pPr>
      <w:r>
        <w:rPr>
          <w:rFonts w:eastAsia="楷体_GB2312"/>
        </w:rPr>
        <w:t>二、机构设置</w:t>
      </w:r>
    </w:p>
    <w:p>
      <w:pPr>
        <w:spacing w:line="576" w:lineRule="exact"/>
        <w:ind w:firstLine="608" w:firstLineChars="190"/>
        <w:rPr>
          <w:rFonts w:hint="eastAsia" w:eastAsia="仿宋_GB2312"/>
          <w:sz w:val="32"/>
          <w:szCs w:val="32"/>
          <w:lang w:eastAsia="zh-CN"/>
        </w:rPr>
      </w:pPr>
      <w:r>
        <w:rPr>
          <w:rFonts w:eastAsia="仿宋_GB2312"/>
          <w:sz w:val="32"/>
          <w:szCs w:val="32"/>
        </w:rPr>
        <w:t>根据上述职责，</w:t>
      </w:r>
      <w:r>
        <w:rPr>
          <w:rFonts w:hint="eastAsia" w:eastAsia="仿宋_GB2312"/>
          <w:sz w:val="32"/>
          <w:szCs w:val="32"/>
          <w:u w:val="single"/>
          <w:lang w:val="en-US" w:eastAsia="zh-CN"/>
        </w:rPr>
        <w:t>通榆县迎新街道办事处</w:t>
      </w:r>
      <w:r>
        <w:rPr>
          <w:rFonts w:eastAsia="仿宋_GB2312"/>
          <w:sz w:val="32"/>
          <w:szCs w:val="32"/>
        </w:rPr>
        <w:t>内设</w:t>
      </w:r>
      <w:r>
        <w:rPr>
          <w:rFonts w:hint="eastAsia" w:eastAsia="仿宋_GB2312"/>
          <w:sz w:val="32"/>
          <w:szCs w:val="32"/>
          <w:u w:val="single"/>
          <w:lang w:val="en-US" w:eastAsia="zh-CN"/>
        </w:rPr>
        <w:t>7</w:t>
      </w:r>
      <w:r>
        <w:rPr>
          <w:rFonts w:eastAsia="仿宋_GB2312"/>
          <w:sz w:val="32"/>
          <w:szCs w:val="32"/>
        </w:rPr>
        <w:t>个机构，分别为</w:t>
      </w:r>
      <w:r>
        <w:rPr>
          <w:rFonts w:hint="eastAsia"/>
          <w:sz w:val="32"/>
          <w:szCs w:val="32"/>
          <w:lang w:eastAsia="zh-CN"/>
        </w:rPr>
        <w:t>：</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二）党建工作办公室。负责党的政治建设、组织建设和宣传、意识形态、统战工作，统筹推进区域化党建、“两新”组织党建、社区党建工作。承担机关党务、党风廉政建设和反腐败等工作。统筹推进辖区人才工作。负责指导工会、共青团、妇联等群团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三）平安建设办公室（应急管理办公室）。负责平安建设、综合治理、维护稳定、“多网合一”等工作。组织协调开展邪教防范、法治宣传、社区戒毒、社区矫正、刑满释放人员安置帮教工作。指导督促辖区单位和居民落实安全生产和消防安全等工作。受理人民群众来信来访、开展矛盾纠纷调处化解。组织协调有关部门共同解决辖区内的治安问题。加强国防教育，组织开展防空、防震工作，负责安全生产、应急事件应对预案的制订和执行等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四）社会事务办公室（退役军人事务办公室）。具体承担社会事务和公共服务等工作职责。落实人力社保、医保、退役军人、民政、保障性住房、教育、文化、体育、卫生健康、人口计生、残联、红十字等领域的有关政策和工作的落实。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（五）财政经济办公室。</w:t>
      </w:r>
      <w:r>
        <w:rPr>
          <w:rFonts w:hint="eastAsia" w:ascii="仿宋_GB2312" w:hAnsi="仿宋" w:eastAsia="仿宋_GB2312" w:cs="仿宋"/>
          <w:sz w:val="32"/>
          <w:szCs w:val="32"/>
        </w:rPr>
        <w:t>负责编制本街道产业发展规划，优化投资环境，协调解决经济发展中的相关问题，做好企业管理和服务工作；统筹协调市监、财税、工信、审计、统计、粮商等部门的管理工作；编制和执行街道财政预（决）算计划，统管街道财务、机关及所属单位财务运行、财务管理等工作。</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eastAsia="仿宋_GB2312"/>
          <w:sz w:val="32"/>
          <w:szCs w:val="32"/>
        </w:rPr>
        <w:t>（六）公共管理办公室。</w:t>
      </w:r>
      <w:r>
        <w:rPr>
          <w:rFonts w:hint="eastAsia" w:ascii="仿宋_GB2312" w:hAnsi="仿宋" w:eastAsia="仿宋_GB2312"/>
          <w:sz w:val="32"/>
          <w:szCs w:val="32"/>
        </w:rPr>
        <w:t>统筹落实街道发展的重大决策和街道建设规划，参与辖区公共服务设施建设规划编制；负责贯彻落实城市建设管理法律法规，统筹抓好辖区基础设施建设管理、环境整治等工作；指导监督物业服务企业按照合同约定提供服务；落实对 “弃管”小区物业的临时托管；</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七）综合行政执法办公室。负责统筹组织协调辖区内派驻和基层执法力量实行联合执法，牵头建立综合行政执法平台工作，代表街道办事处履行明确赋予或授权的行政执法职责。承办街道党工委、办事处交办的其他事项。</w:t>
      </w:r>
    </w:p>
    <w:p>
      <w:pPr>
        <w:pStyle w:val="51"/>
        <w:ind w:firstLine="640" w:firstLineChars="200"/>
        <w:rPr>
          <w:rFonts w:eastAsia="仿宋_GB2312"/>
          <w:sz w:val="32"/>
          <w:szCs w:val="32"/>
        </w:rPr>
      </w:pPr>
      <w:r>
        <w:rPr>
          <w:rFonts w:eastAsia="仿宋_GB2312"/>
          <w:sz w:val="32"/>
          <w:szCs w:val="32"/>
        </w:rPr>
        <w:t>下设</w:t>
      </w:r>
      <w:r>
        <w:rPr>
          <w:rFonts w:hint="eastAsia" w:eastAsia="仿宋_GB2312"/>
          <w:sz w:val="32"/>
          <w:szCs w:val="32"/>
          <w:u w:val="single"/>
          <w:lang w:val="en-US" w:eastAsia="zh-CN"/>
        </w:rPr>
        <w:t>2</w:t>
      </w:r>
      <w:r>
        <w:rPr>
          <w:rFonts w:eastAsia="仿宋_GB2312"/>
          <w:sz w:val="32"/>
          <w:szCs w:val="32"/>
        </w:rPr>
        <w:t>家预算单位，分别为</w:t>
      </w:r>
      <w:r>
        <w:rPr>
          <w:rFonts w:hint="eastAsia" w:eastAsia="仿宋_GB2312"/>
          <w:sz w:val="32"/>
          <w:szCs w:val="32"/>
          <w:lang w:val="en-US" w:eastAsia="zh-CN"/>
        </w:rPr>
        <w:t>通榆县迎新街道办事处和通榆县迎新街道综合服务中心</w:t>
      </w:r>
      <w:r>
        <w:rPr>
          <w:rFonts w:eastAsia="仿宋_GB2312"/>
          <w:sz w:val="32"/>
          <w:szCs w:val="3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322.30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322.30</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322.30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322.30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322.30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322.30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val="en-US" w:eastAsia="zh-CN"/>
              </w:rPr>
              <w:t>通榆县迎新街道办事处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322.30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322.30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322.30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三</w:t>
                  </w:r>
                  <w:r>
                    <w:rPr>
                      <w:rFonts w:eastAsia="宋体"/>
                      <w:color w:val="000000"/>
                      <w:kern w:val="0"/>
                      <w:sz w:val="20"/>
                    </w:rPr>
                    <w:t>、</w:t>
                  </w: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322.30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265.88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322.30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28.80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10.19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322.30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322.30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322.30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322.30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三</w:t>
                  </w:r>
                  <w:r>
                    <w:rPr>
                      <w:rFonts w:eastAsia="宋体"/>
                      <w:color w:val="000000"/>
                      <w:kern w:val="0"/>
                      <w:sz w:val="20"/>
                    </w:rPr>
                    <w:t>、</w:t>
                  </w: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800" w:firstLineChars="400"/>
                    <w:jc w:val="left"/>
                    <w:rPr>
                      <w:rFonts w:eastAsia="宋体"/>
                      <w:color w:val="000000"/>
                      <w:kern w:val="0"/>
                      <w:sz w:val="20"/>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23.24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5.56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10.04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17.43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32.04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13.60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eastAsia="宋体"/>
                <w:kern w:val="0"/>
                <w:sz w:val="20"/>
                <w:lang w:val="en-US" w:eastAsia="zh-CN"/>
              </w:rPr>
            </w:pPr>
            <w:r>
              <w:rPr>
                <w:rFonts w:hint="eastAsia" w:eastAsia="宋体"/>
                <w:kern w:val="0"/>
                <w:sz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eastAsia="宋体"/>
                <w:kern w:val="0"/>
                <w:sz w:val="20"/>
                <w:lang w:val="en-US" w:eastAsia="zh-CN"/>
              </w:rPr>
            </w:pPr>
            <w:r>
              <w:rPr>
                <w:rFonts w:hint="eastAsia" w:eastAsia="宋体"/>
                <w:kern w:val="0"/>
                <w:sz w:val="20"/>
                <w:lang w:val="en-US" w:eastAsia="zh-CN"/>
              </w:rPr>
              <w:t>2.80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bidi w:val="0"/>
              <w:adjustRightInd/>
              <w:snapToGrid/>
              <w:jc w:val="center"/>
              <w:textAlignment w:val="auto"/>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11.64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11.64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363"/>
        <w:gridCol w:w="1375"/>
        <w:gridCol w:w="625"/>
        <w:gridCol w:w="690"/>
        <w:gridCol w:w="735"/>
        <w:gridCol w:w="478"/>
        <w:gridCol w:w="392"/>
        <w:gridCol w:w="495"/>
        <w:gridCol w:w="540"/>
        <w:gridCol w:w="267"/>
        <w:gridCol w:w="333"/>
        <w:gridCol w:w="110"/>
        <w:gridCol w:w="166"/>
        <w:gridCol w:w="259"/>
        <w:gridCol w:w="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Height w:val="706" w:hRule="atLeast"/>
          <w:jc w:val="center"/>
        </w:trPr>
        <w:tc>
          <w:tcPr>
            <w:tcW w:w="8481" w:type="dxa"/>
            <w:gridSpan w:val="15"/>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Height w:val="400" w:hRule="atLeast"/>
          <w:jc w:val="center"/>
        </w:trPr>
        <w:tc>
          <w:tcPr>
            <w:tcW w:w="65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3" w:type="dxa"/>
            <w:gridSpan w:val="2"/>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8"/>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Height w:val="1810" w:hRule="atLeast"/>
          <w:jc w:val="center"/>
        </w:trPr>
        <w:tc>
          <w:tcPr>
            <w:tcW w:w="65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738"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21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4"/>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jc w:val="center"/>
        </w:trPr>
        <w:tc>
          <w:tcPr>
            <w:tcW w:w="653" w:type="dxa"/>
            <w:vMerge w:val="continue"/>
            <w:noWrap w:val="0"/>
            <w:vAlign w:val="center"/>
          </w:tcPr>
          <w:p>
            <w:pPr>
              <w:autoSpaceDN w:val="0"/>
              <w:jc w:val="center"/>
              <w:textAlignment w:val="center"/>
              <w:rPr>
                <w:rFonts w:ascii="Calibri" w:hAnsi="Calibri" w:eastAsia="华文细黑"/>
                <w:color w:val="000000"/>
                <w:sz w:val="20"/>
                <w:szCs w:val="22"/>
              </w:rPr>
            </w:pPr>
          </w:p>
        </w:tc>
        <w:tc>
          <w:tcPr>
            <w:tcW w:w="13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3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25" w:type="dxa"/>
            <w:vMerge w:val="continue"/>
            <w:noWrap w:val="0"/>
            <w:vAlign w:val="center"/>
          </w:tcPr>
          <w:p>
            <w:pPr>
              <w:autoSpaceDN w:val="0"/>
              <w:jc w:val="center"/>
              <w:textAlignment w:val="center"/>
              <w:rPr>
                <w:rFonts w:ascii="Calibri" w:hAnsi="Calibri" w:eastAsia="华文细黑"/>
                <w:color w:val="000000"/>
                <w:sz w:val="20"/>
                <w:szCs w:val="22"/>
              </w:rPr>
            </w:pP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3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7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9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9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00"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76" w:type="dxa"/>
            <w:gridSpan w:val="2"/>
            <w:noWrap w:val="0"/>
            <w:vAlign w:val="center"/>
          </w:tcPr>
          <w:p>
            <w:pPr>
              <w:autoSpaceDN w:val="0"/>
              <w:jc w:val="center"/>
              <w:textAlignment w:val="center"/>
              <w:rPr>
                <w:rFonts w:hint="eastAsia" w:ascii="宋体" w:hAnsi="宋体" w:eastAsia="宋体" w:cs="宋体"/>
                <w:color w:val="000000"/>
                <w:sz w:val="20"/>
                <w:szCs w:val="22"/>
              </w:rPr>
            </w:pPr>
          </w:p>
        </w:tc>
        <w:tc>
          <w:tcPr>
            <w:tcW w:w="425" w:type="dxa"/>
            <w:gridSpan w:val="2"/>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exact"/>
          <w:jc w:val="center"/>
        </w:trPr>
        <w:tc>
          <w:tcPr>
            <w:tcW w:w="65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迎新街道办事处2024年社区办公费</w:t>
            </w:r>
          </w:p>
        </w:tc>
        <w:tc>
          <w:tcPr>
            <w:tcW w:w="6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w:t>
            </w: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24.00</w:t>
            </w:r>
          </w:p>
        </w:tc>
        <w:tc>
          <w:tcPr>
            <w:tcW w:w="735"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24.00</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exact"/>
          <w:jc w:val="center"/>
        </w:trPr>
        <w:tc>
          <w:tcPr>
            <w:tcW w:w="65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迎新街道办事处2024年社区取暖费</w:t>
            </w:r>
          </w:p>
        </w:tc>
        <w:tc>
          <w:tcPr>
            <w:tcW w:w="6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w:t>
            </w: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20.00</w:t>
            </w:r>
          </w:p>
        </w:tc>
        <w:tc>
          <w:tcPr>
            <w:tcW w:w="73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20.00</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exact"/>
          <w:jc w:val="center"/>
        </w:trPr>
        <w:tc>
          <w:tcPr>
            <w:tcW w:w="65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迎新街道办事处2024年社区服务群众专项经费</w:t>
            </w:r>
          </w:p>
        </w:tc>
        <w:tc>
          <w:tcPr>
            <w:tcW w:w="6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w:t>
            </w: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15.00</w:t>
            </w:r>
          </w:p>
        </w:tc>
        <w:tc>
          <w:tcPr>
            <w:tcW w:w="73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15.00</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jc w:val="center"/>
        </w:trPr>
        <w:tc>
          <w:tcPr>
            <w:tcW w:w="65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迎新街道办事处2024年社工师补助</w:t>
            </w:r>
          </w:p>
        </w:tc>
        <w:tc>
          <w:tcPr>
            <w:tcW w:w="6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w:t>
            </w: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2.32</w:t>
            </w:r>
          </w:p>
        </w:tc>
        <w:tc>
          <w:tcPr>
            <w:tcW w:w="73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2.32</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exact"/>
          <w:jc w:val="center"/>
        </w:trPr>
        <w:tc>
          <w:tcPr>
            <w:tcW w:w="65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迎新街道办事处2024年辅助岗位人员工资</w:t>
            </w:r>
          </w:p>
        </w:tc>
        <w:tc>
          <w:tcPr>
            <w:tcW w:w="6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迎新街道办事处</w:t>
            </w: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19.04</w:t>
            </w:r>
          </w:p>
        </w:tc>
        <w:tc>
          <w:tcPr>
            <w:tcW w:w="73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19.04</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65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363" w:type="dxa"/>
            <w:noWrap w:val="0"/>
            <w:vAlign w:val="center"/>
          </w:tcPr>
          <w:p>
            <w:pPr>
              <w:autoSpaceDN w:val="0"/>
              <w:jc w:val="center"/>
              <w:textAlignment w:val="center"/>
              <w:rPr>
                <w:rFonts w:ascii="Calibri" w:hAnsi="Calibri" w:eastAsia="华文细黑"/>
                <w:color w:val="000000"/>
                <w:sz w:val="20"/>
                <w:szCs w:val="22"/>
              </w:rPr>
            </w:pPr>
          </w:p>
        </w:tc>
        <w:tc>
          <w:tcPr>
            <w:tcW w:w="1375" w:type="dxa"/>
            <w:noWrap w:val="0"/>
            <w:vAlign w:val="center"/>
          </w:tcPr>
          <w:p>
            <w:pPr>
              <w:spacing w:line="700" w:lineRule="exact"/>
              <w:jc w:val="center"/>
              <w:rPr>
                <w:rFonts w:ascii="Calibri" w:hAnsi="Calibri" w:eastAsia="楷体"/>
                <w:kern w:val="0"/>
                <w:szCs w:val="32"/>
              </w:rPr>
            </w:pPr>
          </w:p>
        </w:tc>
        <w:tc>
          <w:tcPr>
            <w:tcW w:w="625" w:type="dxa"/>
            <w:noWrap w:val="0"/>
            <w:vAlign w:val="center"/>
          </w:tcPr>
          <w:p>
            <w:pPr>
              <w:spacing w:line="700" w:lineRule="exact"/>
              <w:jc w:val="center"/>
              <w:rPr>
                <w:rFonts w:ascii="Calibri" w:hAnsi="Calibri" w:eastAsia="楷体"/>
                <w:kern w:val="0"/>
                <w:szCs w:val="32"/>
              </w:rPr>
            </w:pPr>
          </w:p>
        </w:tc>
        <w:tc>
          <w:tcPr>
            <w:tcW w:w="690"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80.36</w:t>
            </w:r>
          </w:p>
        </w:tc>
        <w:tc>
          <w:tcPr>
            <w:tcW w:w="735"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80.36</w:t>
            </w:r>
          </w:p>
        </w:tc>
        <w:tc>
          <w:tcPr>
            <w:tcW w:w="478" w:type="dxa"/>
            <w:noWrap w:val="0"/>
            <w:vAlign w:val="center"/>
          </w:tcPr>
          <w:p>
            <w:pPr>
              <w:spacing w:line="700" w:lineRule="exact"/>
              <w:jc w:val="center"/>
              <w:rPr>
                <w:rFonts w:ascii="Calibri" w:hAnsi="Calibri" w:eastAsia="楷体"/>
                <w:kern w:val="0"/>
                <w:szCs w:val="32"/>
              </w:rPr>
            </w:pPr>
          </w:p>
        </w:tc>
        <w:tc>
          <w:tcPr>
            <w:tcW w:w="392"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540" w:type="dxa"/>
            <w:noWrap w:val="0"/>
            <w:vAlign w:val="center"/>
          </w:tcPr>
          <w:p>
            <w:pPr>
              <w:spacing w:line="700" w:lineRule="exact"/>
              <w:jc w:val="center"/>
              <w:rPr>
                <w:rFonts w:ascii="Calibri" w:hAnsi="Calibri" w:eastAsia="楷体"/>
                <w:kern w:val="0"/>
                <w:szCs w:val="32"/>
              </w:rPr>
            </w:pPr>
          </w:p>
        </w:tc>
        <w:tc>
          <w:tcPr>
            <w:tcW w:w="600" w:type="dxa"/>
            <w:gridSpan w:val="2"/>
            <w:noWrap w:val="0"/>
            <w:vAlign w:val="center"/>
          </w:tcPr>
          <w:p>
            <w:pPr>
              <w:spacing w:line="700" w:lineRule="exact"/>
              <w:jc w:val="center"/>
              <w:rPr>
                <w:rFonts w:ascii="Calibri" w:hAnsi="Calibri" w:eastAsia="楷体"/>
                <w:kern w:val="0"/>
                <w:szCs w:val="32"/>
              </w:rPr>
            </w:pPr>
          </w:p>
        </w:tc>
        <w:tc>
          <w:tcPr>
            <w:tcW w:w="276"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迎新街道办事处2024年社区办公费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完成办公费的使用。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社区数量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对经费开展情况验收合格率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每个社区办公费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办公经费使用的及时性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保证日常工作顺利开展</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工作人员满意程度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迎新街道办事处2024年社区取暖费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完成2024年社区和街道取暖。</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指标1：富强社区供暖面积</w:t>
            </w:r>
          </w:p>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指标2：繁荣（文明社区）供暖面积</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指标3：街道办公楼数量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指标1：≥1096.036平米</w:t>
            </w:r>
          </w:p>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指标2：≥1252.35平米</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指标3：=1栋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供暖合格率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指标1：取暖费单价</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指标2：电取暖费用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指标1：≤26.5元/平米</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指标2：≤30000元/年/栋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供暖及时性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保证日常工作顺利开展</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工作人员满意程度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sectPr>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迎新街道办事处2024年社区服务群众专项经费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完成2024年服务群众专项经费的使用。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社区数量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经费使用情况验收合格率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各社区服务群众专项经费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服务群众及时性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保证服务群众工作正常开展</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sectPr>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迎新街道办事处2024年社工师补助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完成2024年社工师补助的发放。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社工师补助人数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社工师发放补助准确性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社工师补助每月成本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社工师补助发放及时性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领取人员生活保障程度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职工满意程度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ind w:firstLine="640" w:firstLineChars="200"/>
        <w:rPr>
          <w:rFonts w:hint="eastAsia" w:eastAsia="楷体"/>
          <w:kern w:val="0"/>
          <w:szCs w:val="32"/>
        </w:rPr>
        <w:sectPr>
          <w:pgSz w:w="11907" w:h="16840"/>
          <w:pgMar w:top="2041" w:right="1588" w:bottom="2041" w:left="1588" w:header="851" w:footer="1588" w:gutter="0"/>
          <w:pgNumType w:start="0"/>
          <w:cols w:space="720" w:num="1"/>
          <w:titlePg/>
          <w:docGrid w:type="lines" w:linePitch="574" w:charSpace="-1675"/>
        </w:sect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完成2024年辅助岗岗位人员工资的发放。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发放工资准确性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指标1：辅助岗每月工资</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指标2：每月缴纳五险一金金额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指标1：≤2000元</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指标2：≤1173元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领取人员生活保障程度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56.69</w:t>
      </w:r>
      <w:r>
        <w:rPr>
          <w:rFonts w:hint="eastAsia" w:ascii="仿宋_GB2312" w:hAnsi="仿宋_GB2312" w:eastAsia="仿宋_GB2312" w:cs="仿宋_GB2312"/>
          <w:szCs w:val="32"/>
        </w:rPr>
        <w:t>万元，主要原因是</w:t>
      </w:r>
      <w:r>
        <w:rPr>
          <w:rFonts w:hint="eastAsia"/>
          <w:szCs w:val="32"/>
          <w:u w:val="single"/>
          <w:lang w:val="en-US" w:eastAsia="zh-CN"/>
        </w:rPr>
        <w:t>项目资金增</w:t>
      </w:r>
      <w:r>
        <w:rPr>
          <w:rFonts w:hint="eastAsia"/>
          <w:color w:val="000000"/>
          <w:szCs w:val="32"/>
          <w:u w:val="single"/>
          <w:lang w:val="en-US" w:eastAsia="zh-CN"/>
        </w:rPr>
        <w:t>加</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left="320" w:leftChars="100" w:firstLine="320" w:firstLineChars="1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 xml:space="preserve"> 322.30 </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241.94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75.07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80.36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24.93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 xml:space="preserve"> 322.30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322.30 </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265.88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28.80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10.19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 xml:space="preserve"> </w:t>
      </w:r>
      <w:r>
        <w:rPr>
          <w:rFonts w:hint="eastAsia" w:ascii="仿宋_GB2312" w:hAnsi="仿宋_GB2312" w:cs="仿宋_GB2312"/>
          <w:szCs w:val="32"/>
          <w:u w:val="single"/>
          <w:lang w:val="en-US" w:eastAsia="zh-CN"/>
        </w:rPr>
        <w:t xml:space="preserve">17.43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241.94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75.07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80.36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24.93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209.90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86.76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32.04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13.24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 xml:space="preserve"> 265.88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82.49 </w:t>
      </w:r>
      <w:r>
        <w:rPr>
          <w:rFonts w:hint="eastAsia" w:ascii="仿宋_GB2312" w:hAnsi="仿宋_GB2312" w:eastAsia="仿宋_GB2312" w:cs="仿宋_GB2312"/>
          <w:szCs w:val="32"/>
        </w:rPr>
        <w:t>%，主要用于</w:t>
      </w:r>
      <w:r>
        <w:rPr>
          <w:rFonts w:hint="eastAsia"/>
          <w:szCs w:val="32"/>
          <w:u w:val="single"/>
          <w:lang w:val="en-US" w:eastAsia="zh-CN"/>
        </w:rPr>
        <w:t>人员经费以及办公经费等</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 xml:space="preserve"> 28.80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8.94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单位职工基本养老保险支出和职业年金支出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10.19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 xml:space="preserve">3.16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单位职工基本医疗保险支出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 xml:space="preserve"> 17.43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5.41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w:t>
      </w:r>
      <w:r>
        <w:rPr>
          <w:rFonts w:hint="eastAsia" w:ascii="仿宋_GB2312" w:hAnsi="仿宋_GB2312" w:cs="仿宋_GB2312"/>
          <w:szCs w:val="32"/>
          <w:u w:val="single"/>
          <w:lang w:val="en-US" w:eastAsia="zh-CN"/>
        </w:rPr>
        <w:t>住房公积金</w:t>
      </w:r>
      <w:r>
        <w:rPr>
          <w:rFonts w:hint="eastAsia" w:ascii="仿宋_GB2312" w:hAnsi="仿宋_GB2312" w:cs="仿宋_GB2312"/>
          <w:szCs w:val="32"/>
          <w:u w:val="single"/>
          <w:lang w:eastAsia="zh-CN"/>
        </w:rPr>
        <w:t>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 xml:space="preserve"> 241.94 </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 xml:space="preserve"> 209.90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32.04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通榆县迎新街道办事处</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u w:val="single"/>
          <w:lang w:val="en-US" w:eastAsia="zh-CN"/>
        </w:rPr>
        <w:t>322.30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 xml:space="preserve"> 56.69 </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 xml:space="preserve"> 21.34 </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项目资金增加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u w:val="single"/>
          <w:lang w:val="en-US" w:eastAsia="zh-CN"/>
        </w:rPr>
        <w:t xml:space="preserve"> </w:t>
      </w:r>
      <w:r>
        <w:rPr>
          <w:rFonts w:hint="eastAsia" w:ascii="仿宋_GB2312" w:hAnsi="仿宋_GB2312" w:cs="仿宋_GB2312"/>
          <w:szCs w:val="32"/>
          <w:highlight w:val="none"/>
          <w:u w:val="single"/>
          <w:lang w:val="en-US" w:eastAsia="zh-CN"/>
        </w:rPr>
        <w:t xml:space="preserve">80.36 </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 xml:space="preserve"> 1 </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 xml:space="preserve"> 5 </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 xml:space="preserve"> 80.36 </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 xml:space="preserve"> 0 </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u w:val="single"/>
          <w:lang w:val="en-US" w:eastAsia="zh-CN"/>
        </w:rPr>
        <w:t xml:space="preserve"> 5</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u w:val="single"/>
          <w:lang w:val="en-US" w:eastAsia="zh-CN"/>
        </w:rPr>
        <w:t xml:space="preserve"> </w:t>
      </w:r>
      <w:r>
        <w:rPr>
          <w:rFonts w:hint="eastAsia" w:ascii="仿宋_GB2312" w:hAnsi="仿宋_GB2312" w:cs="仿宋_GB2312"/>
          <w:szCs w:val="32"/>
          <w:u w:val="single"/>
          <w:lang w:val="en-US" w:eastAsia="zh-CN"/>
        </w:rPr>
        <w:t xml:space="preserve">80.36 </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6E2F6B"/>
    <w:rsid w:val="019B69D8"/>
    <w:rsid w:val="020E6D2C"/>
    <w:rsid w:val="031D7D4B"/>
    <w:rsid w:val="039B5989"/>
    <w:rsid w:val="04022755"/>
    <w:rsid w:val="0486486A"/>
    <w:rsid w:val="04954460"/>
    <w:rsid w:val="04F026C1"/>
    <w:rsid w:val="050D06DA"/>
    <w:rsid w:val="050F3BA7"/>
    <w:rsid w:val="05513E94"/>
    <w:rsid w:val="056F5A6D"/>
    <w:rsid w:val="059B3770"/>
    <w:rsid w:val="063949A0"/>
    <w:rsid w:val="067960C1"/>
    <w:rsid w:val="06BD5BC7"/>
    <w:rsid w:val="06C131CC"/>
    <w:rsid w:val="073A38EF"/>
    <w:rsid w:val="07D21289"/>
    <w:rsid w:val="07EA70C4"/>
    <w:rsid w:val="07F544B0"/>
    <w:rsid w:val="09A0082A"/>
    <w:rsid w:val="0A334D52"/>
    <w:rsid w:val="0ABA06FE"/>
    <w:rsid w:val="0B4B60CB"/>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B72298"/>
    <w:rsid w:val="12E711B7"/>
    <w:rsid w:val="136D62BD"/>
    <w:rsid w:val="13F21722"/>
    <w:rsid w:val="1441443C"/>
    <w:rsid w:val="14C12787"/>
    <w:rsid w:val="15593E10"/>
    <w:rsid w:val="159F7E25"/>
    <w:rsid w:val="15F848D0"/>
    <w:rsid w:val="160E1FA5"/>
    <w:rsid w:val="160F2600"/>
    <w:rsid w:val="164B1D9C"/>
    <w:rsid w:val="17765BCA"/>
    <w:rsid w:val="17A027D8"/>
    <w:rsid w:val="1A817DF8"/>
    <w:rsid w:val="1ADC594E"/>
    <w:rsid w:val="1AEB5252"/>
    <w:rsid w:val="1C1D7350"/>
    <w:rsid w:val="1C852172"/>
    <w:rsid w:val="1CA40C0C"/>
    <w:rsid w:val="1CFF4A32"/>
    <w:rsid w:val="1D833200"/>
    <w:rsid w:val="1E2D59A2"/>
    <w:rsid w:val="1E3A3FD0"/>
    <w:rsid w:val="1EB55C07"/>
    <w:rsid w:val="1F351A10"/>
    <w:rsid w:val="1F4673C3"/>
    <w:rsid w:val="1FED47E9"/>
    <w:rsid w:val="201C7BDE"/>
    <w:rsid w:val="206816AC"/>
    <w:rsid w:val="20947775"/>
    <w:rsid w:val="22A4003E"/>
    <w:rsid w:val="23984063"/>
    <w:rsid w:val="23CE11F0"/>
    <w:rsid w:val="23EC61F6"/>
    <w:rsid w:val="244C543C"/>
    <w:rsid w:val="24624768"/>
    <w:rsid w:val="2539376C"/>
    <w:rsid w:val="254C6FAD"/>
    <w:rsid w:val="259B5BC5"/>
    <w:rsid w:val="25C7462E"/>
    <w:rsid w:val="25F62C4E"/>
    <w:rsid w:val="265718D7"/>
    <w:rsid w:val="26643D6C"/>
    <w:rsid w:val="26862B41"/>
    <w:rsid w:val="26FE109D"/>
    <w:rsid w:val="27027B2E"/>
    <w:rsid w:val="27073E1E"/>
    <w:rsid w:val="27B04AB3"/>
    <w:rsid w:val="28A54C15"/>
    <w:rsid w:val="28A63332"/>
    <w:rsid w:val="29C45F24"/>
    <w:rsid w:val="2DF8796C"/>
    <w:rsid w:val="2EB22F18"/>
    <w:rsid w:val="2EE12108"/>
    <w:rsid w:val="2EED35E3"/>
    <w:rsid w:val="2F250383"/>
    <w:rsid w:val="2F63610B"/>
    <w:rsid w:val="300965A3"/>
    <w:rsid w:val="30730D6E"/>
    <w:rsid w:val="30B91A70"/>
    <w:rsid w:val="32CF2C5D"/>
    <w:rsid w:val="335402B5"/>
    <w:rsid w:val="335A2AA0"/>
    <w:rsid w:val="339466B2"/>
    <w:rsid w:val="34555AF5"/>
    <w:rsid w:val="35616772"/>
    <w:rsid w:val="35EA1663"/>
    <w:rsid w:val="364C598E"/>
    <w:rsid w:val="36CC2B0F"/>
    <w:rsid w:val="371A614D"/>
    <w:rsid w:val="37904CE2"/>
    <w:rsid w:val="3838492F"/>
    <w:rsid w:val="384004B6"/>
    <w:rsid w:val="387258D7"/>
    <w:rsid w:val="38787C50"/>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CA68D4"/>
    <w:rsid w:val="4EF54A85"/>
    <w:rsid w:val="4F6F75D9"/>
    <w:rsid w:val="501B3C66"/>
    <w:rsid w:val="504B40C5"/>
    <w:rsid w:val="50987DC2"/>
    <w:rsid w:val="50A4703E"/>
    <w:rsid w:val="5136104F"/>
    <w:rsid w:val="51E55C99"/>
    <w:rsid w:val="52071113"/>
    <w:rsid w:val="52447C09"/>
    <w:rsid w:val="525A440D"/>
    <w:rsid w:val="54741940"/>
    <w:rsid w:val="54810E66"/>
    <w:rsid w:val="549A5BDA"/>
    <w:rsid w:val="54C2556E"/>
    <w:rsid w:val="55480EEF"/>
    <w:rsid w:val="56570E30"/>
    <w:rsid w:val="57AE5C26"/>
    <w:rsid w:val="57DD75A9"/>
    <w:rsid w:val="58256ABD"/>
    <w:rsid w:val="58B803F8"/>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D7E50B5"/>
    <w:rsid w:val="5E256F6F"/>
    <w:rsid w:val="5F6235A9"/>
    <w:rsid w:val="5FD70E51"/>
    <w:rsid w:val="60025ECE"/>
    <w:rsid w:val="614125C2"/>
    <w:rsid w:val="61FC4B9F"/>
    <w:rsid w:val="624C5C52"/>
    <w:rsid w:val="63952BB5"/>
    <w:rsid w:val="63DF08E4"/>
    <w:rsid w:val="64127E15"/>
    <w:rsid w:val="64C04AFD"/>
    <w:rsid w:val="661A7B69"/>
    <w:rsid w:val="664909C1"/>
    <w:rsid w:val="66C63EB5"/>
    <w:rsid w:val="677772D0"/>
    <w:rsid w:val="679461D3"/>
    <w:rsid w:val="68442DFB"/>
    <w:rsid w:val="6858287E"/>
    <w:rsid w:val="69157114"/>
    <w:rsid w:val="691A443E"/>
    <w:rsid w:val="697B0A9F"/>
    <w:rsid w:val="6A80735F"/>
    <w:rsid w:val="6ACC5E47"/>
    <w:rsid w:val="6AD43ED1"/>
    <w:rsid w:val="6B11024D"/>
    <w:rsid w:val="6B7D5B36"/>
    <w:rsid w:val="6C9674BB"/>
    <w:rsid w:val="6CF120A8"/>
    <w:rsid w:val="714213DD"/>
    <w:rsid w:val="717F272E"/>
    <w:rsid w:val="728027C6"/>
    <w:rsid w:val="72D54D7C"/>
    <w:rsid w:val="737664E0"/>
    <w:rsid w:val="73FE7ACC"/>
    <w:rsid w:val="74053F35"/>
    <w:rsid w:val="74172874"/>
    <w:rsid w:val="74556746"/>
    <w:rsid w:val="74AB7A24"/>
    <w:rsid w:val="76BB79B1"/>
    <w:rsid w:val="76C17E06"/>
    <w:rsid w:val="76CA67BD"/>
    <w:rsid w:val="774E6400"/>
    <w:rsid w:val="775B0046"/>
    <w:rsid w:val="78796248"/>
    <w:rsid w:val="79050385"/>
    <w:rsid w:val="79700BEF"/>
    <w:rsid w:val="79F85634"/>
    <w:rsid w:val="7A090695"/>
    <w:rsid w:val="7AE175F4"/>
    <w:rsid w:val="7B417685"/>
    <w:rsid w:val="7B5220F0"/>
    <w:rsid w:val="7BA169C0"/>
    <w:rsid w:val="7BE95D3C"/>
    <w:rsid w:val="7C72188D"/>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39</Pages>
  <Words>9796</Words>
  <Characters>11642</Characters>
  <Lines>71</Lines>
  <Paragraphs>20</Paragraphs>
  <TotalTime>36</TotalTime>
  <ScaleCrop>false</ScaleCrop>
  <LinksUpToDate>false</LinksUpToDate>
  <CharactersWithSpaces>12459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2024-02-06T01:23:28Z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F31A9D45A00C4B44AA99438F54FCC205_13</vt:lpwstr>
  </property>
</Properties>
</file>