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val="en-US" w:eastAsia="zh-CN"/>
        </w:rPr>
      </w:pPr>
      <w:r>
        <w:rPr>
          <w:rFonts w:hint="eastAsia" w:eastAsia="方正小标宋简体"/>
          <w:sz w:val="44"/>
          <w:szCs w:val="44"/>
          <w:lang w:val="en-US" w:eastAsia="zh-CN"/>
        </w:rPr>
        <w:t>通榆县新华镇人民政府</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center"/>
        <w:rPr>
          <w:rFonts w:hint="default" w:eastAsia="方正小标宋简体"/>
          <w:sz w:val="44"/>
          <w:szCs w:val="44"/>
          <w:lang w:val="en-US" w:eastAsia="zh-CN"/>
        </w:rPr>
      </w:pPr>
      <w:r>
        <w:rPr>
          <w:rFonts w:hint="eastAsia" w:eastAsia="方正小标宋简体"/>
          <w:sz w:val="44"/>
          <w:szCs w:val="44"/>
          <w:lang w:val="en-US" w:eastAsia="zh-CN"/>
        </w:rPr>
        <w:t>(本级)</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spacing w:line="600" w:lineRule="atLeast"/>
        <w:ind w:firstLine="640" w:firstLineChars="200"/>
        <w:rPr>
          <w:rFonts w:hint="eastAsia" w:ascii="华文仿宋" w:hAnsi="华文仿宋" w:eastAsia="华文仿宋" w:cs="华文仿宋"/>
          <w:color w:val="000000"/>
          <w:sz w:val="28"/>
          <w:szCs w:val="44"/>
        </w:rPr>
      </w:pPr>
      <w:r>
        <w:rPr>
          <w:rFonts w:eastAsia="楷体_GB2312"/>
        </w:rPr>
        <w:t>一、主要职</w:t>
      </w:r>
      <w:r>
        <w:rPr>
          <w:rFonts w:hint="eastAsia" w:eastAsia="楷体_GB2312"/>
          <w:lang w:val="en-US" w:eastAsia="zh-CN"/>
        </w:rPr>
        <w:t>能</w:t>
      </w:r>
      <w:r>
        <w:rPr>
          <w:rFonts w:hint="eastAsia" w:ascii="华文仿宋" w:hAnsi="华文仿宋" w:eastAsia="华文仿宋" w:cs="华文仿宋"/>
          <w:sz w:val="44"/>
          <w:szCs w:val="24"/>
        </w:rPr>
        <w:t xml:space="preserve"> </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1、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2、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3、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4、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5、动员社会参与。坚持以基层党建引领基层治理，动员指导辖区内各类单位、社会组织和村等社会力量参与社会治理，引导辖区单位履行社会责任，整合辖区内各种社会力量为镇、村发展服务。做实做强由党建引领的基层共治基本单元，构建党组织统一领导各类组织积极协同、广大群众广泛参与的基层治理体系。</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6、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7、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560" w:firstLineChars="200"/>
        <w:rPr>
          <w:rFonts w:hint="eastAsia" w:ascii="华文仿宋" w:hAnsi="华文仿宋" w:eastAsia="华文仿宋" w:cs="华文仿宋"/>
          <w:color w:val="000000"/>
          <w:sz w:val="28"/>
          <w:szCs w:val="44"/>
        </w:rPr>
      </w:pPr>
      <w:r>
        <w:rPr>
          <w:rFonts w:hint="eastAsia" w:ascii="华文仿宋" w:hAnsi="华文仿宋" w:eastAsia="华文仿宋" w:cs="华文仿宋"/>
          <w:color w:val="000000"/>
          <w:sz w:val="28"/>
          <w:szCs w:val="44"/>
        </w:rPr>
        <w:t>8、深化“放管服”改革和“最多跑一次”改革。依托镇便民服务平台，推进审批服务事项向便民服务中心集中，保障便民服务中心的审批服务事项到位、权限到位。推进镇便民服务平台标准化建设，加快实现政务服务马上办、网上办、就近办、一次办，提升政务服务质量。</w:t>
      </w:r>
    </w:p>
    <w:p>
      <w:pPr>
        <w:ind w:firstLine="560" w:firstLineChars="200"/>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44"/>
        </w:rPr>
        <w:t>9、完成法律、法规、规章规定的其他事项和县委、县政府交办的其他任务。</w:t>
      </w:r>
    </w:p>
    <w:p>
      <w:pPr>
        <w:ind w:firstLine="560" w:firstLineChars="200"/>
        <w:rPr>
          <w:rFonts w:hint="eastAsia" w:ascii="华文仿宋" w:hAnsi="华文仿宋" w:eastAsia="华文仿宋" w:cs="华文仿宋"/>
          <w:sz w:val="28"/>
          <w:szCs w:val="24"/>
        </w:rPr>
      </w:pPr>
    </w:p>
    <w:p>
      <w:pPr>
        <w:widowControl/>
        <w:spacing w:line="576" w:lineRule="exact"/>
        <w:ind w:firstLine="723" w:firstLineChars="200"/>
        <w:jc w:val="left"/>
        <w:rPr>
          <w:rFonts w:hint="eastAsia" w:ascii="仿宋" w:hAnsi="仿宋" w:eastAsia="仿宋" w:cs="Arial"/>
          <w:b/>
          <w:bCs w:val="0"/>
          <w:kern w:val="0"/>
          <w:szCs w:val="32"/>
        </w:rPr>
      </w:pPr>
      <w:r>
        <w:rPr>
          <w:rFonts w:hint="eastAsia" w:ascii="仿宋" w:hAnsi="仿宋" w:eastAsia="仿宋" w:cs="Arial"/>
          <w:b/>
          <w:bCs w:val="0"/>
          <w:kern w:val="0"/>
          <w:sz w:val="36"/>
          <w:szCs w:val="52"/>
          <w:lang w:val="en-US" w:eastAsia="zh-CN"/>
        </w:rPr>
        <w:t>二、</w:t>
      </w:r>
      <w:r>
        <w:rPr>
          <w:rFonts w:hint="eastAsia" w:ascii="仿宋" w:hAnsi="仿宋" w:eastAsia="仿宋" w:cs="Arial"/>
          <w:b/>
          <w:bCs w:val="0"/>
          <w:kern w:val="0"/>
          <w:sz w:val="36"/>
          <w:szCs w:val="52"/>
        </w:rPr>
        <w:t>机构</w:t>
      </w:r>
      <w:r>
        <w:rPr>
          <w:rFonts w:hint="eastAsia" w:ascii="仿宋" w:hAnsi="仿宋" w:eastAsia="仿宋" w:cs="Arial"/>
          <w:b/>
          <w:bCs w:val="0"/>
          <w:kern w:val="0"/>
          <w:sz w:val="36"/>
          <w:szCs w:val="52"/>
          <w:lang w:val="en-US" w:eastAsia="zh-CN"/>
        </w:rPr>
        <w:t>设置</w:t>
      </w:r>
      <w:r>
        <w:rPr>
          <w:rFonts w:hint="eastAsia" w:ascii="仿宋" w:hAnsi="仿宋" w:eastAsia="仿宋"/>
          <w:b/>
          <w:bCs w:val="0"/>
          <w:sz w:val="32"/>
        </w:rPr>
        <w:t>及部门决算单位构成</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根据上述职责，通榆县</w:t>
      </w:r>
      <w:r>
        <w:rPr>
          <w:rFonts w:hint="eastAsia" w:ascii="仿宋_GB2312" w:hAnsi="仿宋_GB2312" w:eastAsia="仿宋_GB2312" w:cs="仿宋_GB2312"/>
          <w:lang w:val="en-US" w:eastAsia="zh-CN"/>
        </w:rPr>
        <w:t>新华镇</w:t>
      </w:r>
      <w:r>
        <w:rPr>
          <w:rFonts w:hint="eastAsia" w:ascii="仿宋_GB2312" w:hAnsi="仿宋_GB2312" w:eastAsia="仿宋_GB2312" w:cs="仿宋_GB2312"/>
        </w:rPr>
        <w:t>人民政府内设14个机构，分别为综合办公室、党建工作办公室、平安建设办公室、社会事务办公室（退役军人事务办公室）、农业农村办公室、综合行政执法办公室、财政经济办公室、扶贫工作办公室、乡人大、纪检监察、人武、工会、共青团、妇联。</w:t>
      </w:r>
    </w:p>
    <w:p>
      <w:pPr>
        <w:pStyle w:val="51"/>
        <w:ind w:firstLine="640" w:firstLineChars="20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通榆县新华镇人民政府 下辖一个新华镇综合服务中心。</w:t>
      </w:r>
    </w:p>
    <w:p>
      <w:pPr>
        <w:pStyle w:val="51"/>
        <w:ind w:firstLine="640" w:firstLineChars="200"/>
        <w:rPr>
          <w:rFonts w:hint="eastAsia" w:ascii="仿宋" w:hAnsi="仿宋" w:eastAsia="仿宋"/>
          <w:bCs/>
        </w:rPr>
      </w:pPr>
      <w:r>
        <w:rPr>
          <w:rFonts w:hint="eastAsia" w:ascii="仿宋_GB2312" w:hAnsi="仿宋_GB2312" w:eastAsia="仿宋_GB2312" w:cs="仿宋_GB2312"/>
          <w:lang w:val="en-US" w:eastAsia="zh-CN"/>
        </w:rPr>
        <w:t>本次</w:t>
      </w:r>
      <w:r>
        <w:rPr>
          <w:rFonts w:hint="eastAsia" w:ascii="仿宋_GB2312" w:hAnsi="仿宋_GB2312" w:eastAsia="仿宋_GB2312" w:cs="仿宋_GB2312"/>
        </w:rPr>
        <w:t>预算单位，为通榆县</w:t>
      </w:r>
      <w:r>
        <w:rPr>
          <w:rFonts w:hint="eastAsia" w:ascii="仿宋_GB2312" w:hAnsi="仿宋_GB2312" w:eastAsia="仿宋_GB2312" w:cs="仿宋_GB2312"/>
          <w:lang w:val="en-US" w:eastAsia="zh-CN"/>
        </w:rPr>
        <w:t>新华镇人民政府(本级)</w:t>
      </w:r>
      <w:r>
        <w:rPr>
          <w:rFonts w:hint="eastAsia" w:ascii="仿宋_GB2312" w:hAnsi="仿宋_GB2312" w:eastAsia="仿宋_GB2312" w:cs="仿宋_GB2312"/>
        </w:rPr>
        <w:t>。</w:t>
      </w:r>
    </w:p>
    <w:p>
      <w:pPr>
        <w:widowControl/>
        <w:spacing w:line="576" w:lineRule="exact"/>
        <w:ind w:firstLine="640" w:firstLineChars="200"/>
        <w:jc w:val="left"/>
        <w:rPr>
          <w:rFonts w:hint="eastAsia" w:ascii="仿宋" w:hAnsi="仿宋" w:eastAsia="仿宋" w:cs="Arial"/>
          <w:bCs/>
          <w:kern w:val="0"/>
          <w:szCs w:val="32"/>
        </w:rPr>
      </w:pPr>
      <w:r>
        <w:rPr>
          <w:rFonts w:hint="eastAsia" w:ascii="仿宋" w:hAnsi="仿宋" w:eastAsia="仿宋" w:cs="Arial"/>
          <w:bCs/>
          <w:kern w:val="0"/>
          <w:szCs w:val="32"/>
        </w:rPr>
        <w:t>2、人员编制情况</w:t>
      </w:r>
    </w:p>
    <w:p>
      <w:pPr>
        <w:widowControl/>
        <w:spacing w:line="576" w:lineRule="exact"/>
        <w:ind w:firstLine="640" w:firstLineChars="200"/>
        <w:jc w:val="left"/>
        <w:rPr>
          <w:rFonts w:hint="eastAsia" w:ascii="仿宋" w:hAnsi="仿宋" w:eastAsia="仿宋" w:cs="Arial"/>
          <w:bCs/>
          <w:kern w:val="0"/>
          <w:szCs w:val="32"/>
        </w:rPr>
      </w:pPr>
      <w:r>
        <w:rPr>
          <w:rFonts w:hint="eastAsia" w:ascii="仿宋" w:hAnsi="仿宋" w:eastAsia="仿宋" w:cs="Arial"/>
          <w:bCs/>
          <w:kern w:val="0"/>
          <w:szCs w:val="32"/>
        </w:rPr>
        <w:t>本部门行政编制 26人。</w:t>
      </w:r>
    </w:p>
    <w:p>
      <w:pPr>
        <w:widowControl/>
        <w:spacing w:line="576" w:lineRule="exact"/>
        <w:ind w:firstLine="640" w:firstLineChars="200"/>
        <w:jc w:val="left"/>
        <w:rPr>
          <w:rFonts w:hint="eastAsia" w:ascii="仿宋" w:hAnsi="仿宋" w:eastAsia="仿宋" w:cs="Arial"/>
          <w:bCs/>
          <w:kern w:val="0"/>
          <w:szCs w:val="32"/>
        </w:rPr>
      </w:pPr>
      <w:r>
        <w:rPr>
          <w:rFonts w:hint="eastAsia" w:ascii="仿宋" w:hAnsi="仿宋" w:eastAsia="仿宋" w:cs="Arial"/>
          <w:bCs/>
          <w:kern w:val="0"/>
          <w:szCs w:val="32"/>
        </w:rPr>
        <w:t>3、实有人员情况</w:t>
      </w:r>
    </w:p>
    <w:p>
      <w:pPr>
        <w:widowControl/>
        <w:spacing w:line="576" w:lineRule="exact"/>
        <w:ind w:firstLine="640" w:firstLineChars="200"/>
        <w:jc w:val="left"/>
        <w:rPr>
          <w:rFonts w:hint="default" w:eastAsia="仿宋"/>
          <w:lang w:val="en-US" w:eastAsia="zh-CN"/>
        </w:rPr>
      </w:pPr>
      <w:r>
        <w:rPr>
          <w:rFonts w:hint="eastAsia" w:ascii="仿宋" w:hAnsi="仿宋" w:eastAsia="仿宋" w:cs="Arial"/>
          <w:bCs/>
          <w:kern w:val="0"/>
          <w:szCs w:val="32"/>
        </w:rPr>
        <w:t>行政在职2</w:t>
      </w:r>
      <w:r>
        <w:rPr>
          <w:rFonts w:hint="eastAsia" w:ascii="仿宋" w:hAnsi="仿宋" w:eastAsia="仿宋" w:cs="Arial"/>
          <w:bCs/>
          <w:kern w:val="0"/>
          <w:szCs w:val="32"/>
          <w:lang w:val="en-US" w:eastAsia="zh-CN"/>
        </w:rPr>
        <w:t>3</w:t>
      </w:r>
      <w:r>
        <w:rPr>
          <w:rFonts w:hint="eastAsia" w:ascii="仿宋" w:hAnsi="仿宋" w:eastAsia="仿宋" w:cs="Arial"/>
          <w:bCs/>
          <w:kern w:val="0"/>
          <w:szCs w:val="32"/>
        </w:rPr>
        <w:t>人</w:t>
      </w:r>
      <w:r>
        <w:rPr>
          <w:rFonts w:hint="eastAsia" w:ascii="仿宋" w:hAnsi="仿宋" w:eastAsia="仿宋" w:cs="Arial"/>
          <w:bCs/>
          <w:kern w:val="0"/>
          <w:szCs w:val="32"/>
          <w:lang w:eastAsia="zh-CN"/>
        </w:rPr>
        <w:t>、</w:t>
      </w:r>
    </w:p>
    <w:p>
      <w:pPr>
        <w:pStyle w:val="51"/>
        <w:ind w:firstLine="640" w:firstLineChars="200"/>
        <w:rPr>
          <w:rFonts w:eastAsia="楷体"/>
        </w:rPr>
      </w:pPr>
    </w:p>
    <w:p>
      <w:pPr>
        <w:pStyle w:val="51"/>
        <w:spacing w:line="576" w:lineRule="exact"/>
        <w:rPr>
          <w:rFonts w:hint="eastAsia" w:ascii="仿宋" w:hAnsi="仿宋" w:eastAsia="仿宋"/>
          <w:bCs/>
          <w:lang w:val="en-US" w:eastAsia="zh-CN"/>
        </w:rPr>
      </w:pPr>
    </w:p>
    <w:p>
      <w:pPr>
        <w:numPr>
          <w:ilvl w:val="0"/>
          <w:numId w:val="0"/>
        </w:numPr>
        <w:spacing w:line="600" w:lineRule="atLeast"/>
        <w:rPr>
          <w:rFonts w:hint="eastAsia" w:ascii="仿宋" w:hAnsi="仿宋" w:eastAsia="宋体"/>
          <w:color w:val="auto"/>
          <w:sz w:val="32"/>
          <w:szCs w:val="28"/>
          <w:lang w:eastAsia="zh-CN"/>
        </w:rPr>
      </w:pPr>
    </w:p>
    <w:p>
      <w:pPr>
        <w:ind w:firstLine="640" w:firstLineChars="200"/>
        <w:rPr>
          <w:rFonts w:hint="eastAsia" w:eastAsia="楷体_GB2312"/>
          <w:lang w:val="en-US" w:eastAsia="zh-CN"/>
        </w:rPr>
      </w:pPr>
    </w:p>
    <w:p>
      <w:pPr>
        <w:rPr>
          <w:rFonts w:hint="eastAsia" w:ascii="仿宋_GB2312" w:hAnsi="仿宋_GB2312" w:eastAsia="仿宋_GB2312" w:cs="仿宋_GB2312"/>
          <w:color w:val="000000"/>
          <w:sz w:val="21"/>
          <w:szCs w:val="21"/>
        </w:rPr>
      </w:pPr>
    </w:p>
    <w:p>
      <w:pPr>
        <w:ind w:firstLine="640" w:firstLineChars="200"/>
        <w:rPr>
          <w:rFonts w:hint="eastAsia" w:ascii="仿宋_GB2312" w:hAnsi="仿宋_GB2312" w:eastAsia="仿宋_GB2312" w:cs="仿宋_GB2312"/>
        </w:rPr>
      </w:pPr>
    </w:p>
    <w:p>
      <w:pPr>
        <w:pStyle w:val="51"/>
        <w:rPr>
          <w:rFonts w:hint="eastAsia" w:ascii="仿宋_GB2312" w:hAnsi="仿宋_GB2312" w:eastAsia="仿宋_GB2312" w:cs="仿宋_GB2312"/>
        </w:rPr>
      </w:pPr>
    </w:p>
    <w:p>
      <w:pPr>
        <w:pStyle w:val="51"/>
        <w:ind w:firstLine="640" w:firstLineChars="200"/>
        <w:rPr>
          <w:rFonts w:eastAsia="楷体"/>
        </w:rPr>
      </w:pPr>
    </w:p>
    <w:p>
      <w:pPr>
        <w:pStyle w:val="51"/>
        <w:ind w:firstLine="640" w:firstLineChars="200"/>
        <w:rPr>
          <w:rFonts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both"/>
              <w:rPr>
                <w:rFonts w:hint="default" w:eastAsia="宋体"/>
                <w:kern w:val="0"/>
                <w:sz w:val="20"/>
                <w:lang w:val="en-US" w:eastAsia="zh-CN"/>
              </w:rPr>
            </w:pPr>
            <w:r>
              <w:rPr>
                <w:rFonts w:hint="eastAsia" w:eastAsia="宋体"/>
                <w:kern w:val="0"/>
                <w:sz w:val="20"/>
                <w:lang w:val="en-US" w:eastAsia="zh-CN"/>
              </w:rPr>
              <w:t>485.10</w:t>
            </w:r>
          </w:p>
        </w:tc>
        <w:tc>
          <w:tcPr>
            <w:tcW w:w="1073" w:type="dxa"/>
            <w:tcBorders>
              <w:top w:val="nil"/>
              <w:left w:val="nil"/>
              <w:bottom w:val="single" w:color="auto" w:sz="4" w:space="0"/>
              <w:right w:val="single" w:color="auto" w:sz="4" w:space="0"/>
            </w:tcBorders>
            <w:noWrap w:val="0"/>
            <w:vAlign w:val="center"/>
          </w:tcPr>
          <w:p>
            <w:pPr>
              <w:widowControl/>
              <w:jc w:val="both"/>
              <w:rPr>
                <w:rFonts w:hint="default" w:eastAsia="宋体"/>
                <w:kern w:val="0"/>
                <w:sz w:val="20"/>
                <w:lang w:val="en-US" w:eastAsia="zh-CN"/>
              </w:rPr>
            </w:pPr>
            <w:r>
              <w:rPr>
                <w:rFonts w:hint="eastAsia" w:eastAsia="宋体"/>
                <w:kern w:val="0"/>
                <w:sz w:val="20"/>
                <w:lang w:val="en-US" w:eastAsia="zh-CN"/>
              </w:rPr>
              <w:t>485.10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404.32</w:t>
            </w:r>
          </w:p>
        </w:tc>
        <w:tc>
          <w:tcPr>
            <w:tcW w:w="1182" w:type="dxa"/>
            <w:gridSpan w:val="2"/>
            <w:tcBorders>
              <w:top w:val="nil"/>
              <w:left w:val="nil"/>
              <w:bottom w:val="single" w:color="auto" w:sz="4" w:space="0"/>
              <w:right w:val="single" w:color="auto" w:sz="4" w:space="0"/>
            </w:tcBorders>
            <w:noWrap w:val="0"/>
            <w:vAlign w:val="center"/>
          </w:tcPr>
          <w:p>
            <w:pPr>
              <w:widowControl/>
              <w:jc w:val="both"/>
              <w:rPr>
                <w:rFonts w:hint="default" w:eastAsia="宋体"/>
                <w:kern w:val="0"/>
                <w:sz w:val="20"/>
                <w:lang w:val="en-US" w:eastAsia="zh-CN"/>
              </w:rPr>
            </w:pPr>
            <w:r>
              <w:rPr>
                <w:rFonts w:hint="eastAsia" w:eastAsia="宋体"/>
                <w:kern w:val="0"/>
                <w:sz w:val="20"/>
                <w:lang w:val="en-US" w:eastAsia="zh-CN"/>
              </w:rPr>
              <w:t>404.32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485.10</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485.10</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41.96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24.10</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24.10</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14.72</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14.72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485.10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485.10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485.10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485.10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485.10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485.10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485.10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485.10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新华镇人民政府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485.10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485.10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485.10</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485.10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485.10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485.10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404.32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 xml:space="preserve">278.48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125.83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 xml:space="preserve"> 政府办公厅及相关机构事务</w:t>
                  </w:r>
                </w:p>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404.32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default" w:eastAsia="宋体"/>
                      <w:color w:val="000000"/>
                      <w:kern w:val="0"/>
                      <w:sz w:val="20"/>
                      <w:lang w:val="en-US" w:eastAsia="zh-CN"/>
                    </w:rPr>
                    <w:t xml:space="preserve">278.48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125.83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404.32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default" w:eastAsia="宋体"/>
                      <w:color w:val="000000"/>
                      <w:kern w:val="0"/>
                      <w:sz w:val="20"/>
                      <w:lang w:val="en-US" w:eastAsia="zh-CN"/>
                    </w:rPr>
                    <w:t xml:space="preserve">278.48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125.83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9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both"/>
                    <w:rPr>
                      <w:rFonts w:hint="default"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485.10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359.27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125.83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814"/>
              <w:gridCol w:w="67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485.10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16"/>
                      <w:szCs w:val="16"/>
                      <w:lang w:val="en-US" w:eastAsia="zh-CN"/>
                    </w:rPr>
                  </w:pPr>
                  <w:r>
                    <w:rPr>
                      <w:rFonts w:hint="eastAsia" w:eastAsia="宋体"/>
                      <w:kern w:val="0"/>
                      <w:sz w:val="16"/>
                      <w:szCs w:val="16"/>
                      <w:lang w:val="en-US" w:eastAsia="zh-CN"/>
                    </w:rPr>
                    <w:t>485.10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404.32</w:t>
                  </w: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404.32</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485.10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16"/>
                      <w:szCs w:val="16"/>
                      <w:lang w:val="en-US" w:eastAsia="zh-CN"/>
                    </w:rPr>
                  </w:pPr>
                  <w:r>
                    <w:rPr>
                      <w:rFonts w:hint="eastAsia" w:eastAsia="宋体"/>
                      <w:kern w:val="0"/>
                      <w:sz w:val="16"/>
                      <w:szCs w:val="16"/>
                      <w:lang w:val="en-US" w:eastAsia="zh-CN"/>
                    </w:rPr>
                    <w:t>485.01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both"/>
                    <w:rPr>
                      <w:rFonts w:hint="default" w:eastAsia="宋体"/>
                      <w:kern w:val="0"/>
                      <w:sz w:val="20"/>
                      <w:lang w:val="en-US" w:eastAsia="zh-CN"/>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41.96</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41.96</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14.72</w:t>
                  </w: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14.72</w:t>
                  </w:r>
                  <w:r>
                    <w:rPr>
                      <w:rFonts w:eastAsia="宋体"/>
                      <w:kern w:val="0"/>
                      <w:sz w:val="20"/>
                    </w:rPr>
                    <w:t>　</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24.10</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24.10</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485.10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485.10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485.10</w:t>
                  </w: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485.10</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7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485.10</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485.10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485.10</w:t>
                  </w:r>
                  <w:r>
                    <w:rPr>
                      <w:rFonts w:eastAsia="宋体"/>
                      <w:kern w:val="0"/>
                      <w:sz w:val="20"/>
                    </w:rPr>
                    <w:t>　</w:t>
                  </w:r>
                </w:p>
              </w:tc>
              <w:tc>
                <w:tcPr>
                  <w:tcW w:w="81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485.10</w:t>
                  </w:r>
                </w:p>
              </w:tc>
              <w:tc>
                <w:tcPr>
                  <w:tcW w:w="67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8789" w:type="dxa"/>
              <w:tblInd w:w="871" w:type="dxa"/>
              <w:tblLayout w:type="fixed"/>
              <w:tblCellMar>
                <w:top w:w="15" w:type="dxa"/>
                <w:left w:w="15" w:type="dxa"/>
                <w:bottom w:w="15" w:type="dxa"/>
                <w:right w:w="15" w:type="dxa"/>
              </w:tblCellMar>
            </w:tblPr>
            <w:tblGrid>
              <w:gridCol w:w="2552"/>
              <w:gridCol w:w="1134"/>
              <w:gridCol w:w="1134"/>
              <w:gridCol w:w="1086"/>
              <w:gridCol w:w="1182"/>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312"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0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404.32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278.48</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234.68</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125.83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404.32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278.48</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234.68</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125.83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404.32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278.48</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234.68</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125.83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41.96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41.96</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41.96</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41.96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41.96</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41.96</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33.88</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33.88</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8.08</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8.08</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14.72</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14.72</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14.72</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14.72</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2"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14.51</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14.51</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42"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其他</w:t>
                  </w:r>
                  <w:r>
                    <w:rPr>
                      <w:rFonts w:hint="default" w:ascii="Arial" w:hAnsi="Arial" w:eastAsia="宋体" w:cs="Arial"/>
                      <w:i w:val="0"/>
                      <w:iCs w:val="0"/>
                      <w:color w:val="000000"/>
                      <w:kern w:val="0"/>
                      <w:sz w:val="20"/>
                      <w:szCs w:val="20"/>
                      <w:u w:val="none"/>
                      <w:lang w:val="en-US" w:eastAsia="zh-CN" w:bidi="ar"/>
                    </w:rPr>
                    <w:t>行政事业单位医疗</w:t>
                  </w:r>
                  <w:r>
                    <w:rPr>
                      <w:rFonts w:hint="eastAsia" w:ascii="Arial" w:hAnsi="Arial" w:eastAsia="宋体" w:cs="Arial"/>
                      <w:i w:val="0"/>
                      <w:iCs w:val="0"/>
                      <w:color w:val="000000"/>
                      <w:kern w:val="0"/>
                      <w:sz w:val="20"/>
                      <w:szCs w:val="20"/>
                      <w:u w:val="none"/>
                      <w:lang w:val="en-US" w:eastAsia="zh-CN" w:bidi="ar"/>
                    </w:rPr>
                    <w:t>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0.21</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0.21</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24.10</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24.10</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24.10</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24.10</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24.10</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24.10</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485.10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359.27</w:t>
                  </w: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315.47</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43.80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125.83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8931" w:type="dxa"/>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305.05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305.05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95.97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95.97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82.22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82.22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eastAsia" w:eastAsia="宋体"/>
                <w:color w:val="000000"/>
                <w:sz w:val="20"/>
                <w:lang w:val="en-US" w:eastAsia="zh-CN"/>
              </w:rPr>
            </w:pPr>
            <w:r>
              <w:rPr>
                <w:rFonts w:hint="default" w:eastAsia="宋体"/>
                <w:color w:val="000000"/>
                <w:sz w:val="20"/>
                <w:lang w:val="en-US" w:eastAsia="zh-CN"/>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33.88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33.88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sz w:val="20"/>
                <w:lang w:val="en-US" w:eastAsia="zh-CN"/>
              </w:rPr>
            </w:pPr>
            <w:r>
              <w:rPr>
                <w:rFonts w:hint="default" w:eastAsia="宋体"/>
                <w:color w:val="000000"/>
                <w:sz w:val="20"/>
                <w:lang w:val="en-US" w:eastAsia="zh-CN"/>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sz w:val="20"/>
                <w:lang w:val="en-US" w:eastAsia="zh-CN"/>
              </w:rPr>
            </w:pPr>
            <w:r>
              <w:rPr>
                <w:rFonts w:hint="default" w:eastAsia="宋体"/>
                <w:color w:val="000000"/>
                <w:sz w:val="20"/>
                <w:lang w:val="en-US" w:eastAsia="zh-CN"/>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sz w:val="20"/>
                <w:lang w:val="en-US" w:eastAsia="zh-CN"/>
              </w:rPr>
            </w:pPr>
            <w:r>
              <w:rPr>
                <w:rFonts w:hint="default" w:eastAsia="宋体"/>
                <w:color w:val="000000"/>
                <w:sz w:val="20"/>
                <w:lang w:val="en-US" w:eastAsia="zh-CN"/>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kern w:val="0"/>
                <w:sz w:val="16"/>
                <w:szCs w:val="16"/>
              </w:rPr>
            </w:pPr>
            <w:r>
              <w:rPr>
                <w:rFonts w:eastAsia="宋体"/>
                <w:color w:val="000000"/>
                <w:sz w:val="16"/>
                <w:szCs w:val="16"/>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3</w:t>
            </w:r>
          </w:p>
        </w:tc>
      </w:tr>
      <w:tr>
        <w:tblPrEx>
          <w:tblCellMar>
            <w:top w:w="0" w:type="dxa"/>
            <w:left w:w="108" w:type="dxa"/>
            <w:bottom w:w="0" w:type="dxa"/>
            <w:right w:w="108" w:type="dxa"/>
          </w:tblCellMar>
        </w:tblPrEx>
        <w:trPr>
          <w:trHeight w:val="481"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49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咨询费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50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0.1</w:t>
            </w:r>
          </w:p>
        </w:tc>
      </w:tr>
      <w:tr>
        <w:tblPrEx>
          <w:tblCellMar>
            <w:top w:w="0" w:type="dxa"/>
            <w:left w:w="108" w:type="dxa"/>
            <w:bottom w:w="0" w:type="dxa"/>
            <w:right w:w="108" w:type="dxa"/>
          </w:tblCellMar>
        </w:tblPrEx>
        <w:trPr>
          <w:trHeight w:val="46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物业管理费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培训费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劳务费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专用材料费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其他商品服务支出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eastAsia" w:ascii="Arial" w:hAnsi="Arial" w:eastAsia="宋体" w:cs="Arial"/>
                <w:i w:val="0"/>
                <w:iCs w:val="0"/>
                <w:color w:val="000000"/>
                <w:kern w:val="0"/>
                <w:sz w:val="16"/>
                <w:szCs w:val="16"/>
                <w:u w:val="none"/>
                <w:lang w:val="en-US" w:eastAsia="zh-CN" w:bidi="ar"/>
              </w:rPr>
              <w:t>三、</w:t>
            </w:r>
            <w:r>
              <w:rPr>
                <w:rFonts w:hint="default" w:ascii="Arial" w:hAnsi="Arial" w:eastAsia="宋体" w:cs="Arial"/>
                <w:i w:val="0"/>
                <w:iCs w:val="0"/>
                <w:color w:val="000000"/>
                <w:kern w:val="0"/>
                <w:sz w:val="16"/>
                <w:szCs w:val="16"/>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16"/>
                <w:szCs w:val="16"/>
                <w:u w:val="none"/>
                <w:lang w:val="en-US" w:eastAsia="zh-CN" w:bidi="ar-SA"/>
              </w:rPr>
            </w:pPr>
            <w:r>
              <w:rPr>
                <w:rFonts w:hint="eastAsia" w:ascii="Arial" w:hAnsi="Arial" w:eastAsia="宋体" w:cs="Arial"/>
                <w:i w:val="0"/>
                <w:iCs w:val="0"/>
                <w:color w:val="000000"/>
                <w:kern w:val="0"/>
                <w:sz w:val="16"/>
                <w:szCs w:val="16"/>
                <w:u w:val="none"/>
                <w:lang w:val="en-US" w:eastAsia="zh-CN" w:bidi="ar"/>
              </w:rPr>
              <w:t>四、</w:t>
            </w:r>
            <w:r>
              <w:rPr>
                <w:rFonts w:hint="default" w:ascii="Arial" w:hAnsi="Arial" w:eastAsia="宋体" w:cs="Arial"/>
                <w:i w:val="0"/>
                <w:iCs w:val="0"/>
                <w:color w:val="000000"/>
                <w:kern w:val="0"/>
                <w:sz w:val="16"/>
                <w:szCs w:val="16"/>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10.42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10.42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9.75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9.75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0.67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0.67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359.27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315.47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43.8</w:t>
            </w:r>
          </w:p>
        </w:tc>
      </w:tr>
    </w:tbl>
    <w:p>
      <w:pPr>
        <w:ind w:firstLine="420" w:firstLineChars="200"/>
        <w:jc w:val="center"/>
        <w:rPr>
          <w:rFonts w:hint="eastAsia" w:ascii="楷体" w:hAnsi="楷体" w:eastAsia="楷体" w:cs="楷体"/>
          <w:sz w:val="24"/>
          <w:szCs w:val="24"/>
        </w:rPr>
      </w:pPr>
      <w:r>
        <w:rPr>
          <w:rFonts w:hint="eastAsia" w:ascii="楷体" w:hAnsi="楷体" w:eastAsia="楷体" w:cs="楷体"/>
          <w:sz w:val="21"/>
          <w:szCs w:val="21"/>
        </w:rPr>
        <w:t>注：经济科目填列至款级。没有一般公共预算拨款的，公开空表，不</w:t>
      </w:r>
      <w:r>
        <w:rPr>
          <w:rFonts w:hint="eastAsia" w:ascii="楷体" w:hAnsi="楷体" w:eastAsia="楷体" w:cs="楷体"/>
          <w:sz w:val="24"/>
          <w:szCs w:val="24"/>
        </w:rPr>
        <w:t>得删除。</w:t>
      </w:r>
    </w:p>
    <w:p>
      <w:pPr>
        <w:ind w:leftChars="100" w:firstLine="636"/>
        <w:jc w:val="center"/>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10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center"/>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center"/>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center"/>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center"/>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10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highlight w:val="none"/>
              </w:rPr>
            </w:pPr>
            <w:r>
              <w:rPr>
                <w:rFonts w:eastAsia="宋体"/>
                <w:color w:val="000000"/>
                <w:kern w:val="0"/>
                <w:sz w:val="28"/>
                <w:szCs w:val="28"/>
              </w:rPr>
              <w:t xml:space="preserve">       </w:t>
            </w:r>
            <w:r>
              <w:rPr>
                <w:rFonts w:eastAsia="宋体"/>
                <w:color w:val="000000"/>
                <w:kern w:val="0"/>
                <w:sz w:val="28"/>
                <w:szCs w:val="28"/>
                <w:highlight w:val="none"/>
              </w:rPr>
              <w:t>2</w:t>
            </w:r>
            <w:r>
              <w:rPr>
                <w:color w:val="000000"/>
                <w:kern w:val="0"/>
                <w:sz w:val="28"/>
                <w:szCs w:val="28"/>
                <w:highlight w:val="none"/>
              </w:rPr>
              <w:t>、</w:t>
            </w:r>
            <w:r>
              <w:rPr>
                <w:rFonts w:eastAsia="宋体"/>
                <w:color w:val="000000"/>
                <w:kern w:val="0"/>
                <w:sz w:val="28"/>
                <w:szCs w:val="28"/>
                <w:highlight w:val="none"/>
              </w:rPr>
              <w:t>“</w:t>
            </w:r>
            <w:r>
              <w:rPr>
                <w:rFonts w:hint="eastAsia" w:eastAsia="宋体"/>
                <w:color w:val="000000"/>
                <w:kern w:val="0"/>
                <w:sz w:val="28"/>
                <w:szCs w:val="28"/>
                <w:highlight w:val="none"/>
                <w:lang w:eastAsia="zh-CN"/>
              </w:rPr>
              <w:t>2024</w:t>
            </w:r>
            <w:r>
              <w:rPr>
                <w:color w:val="000000"/>
                <w:kern w:val="0"/>
                <w:sz w:val="28"/>
                <w:szCs w:val="28"/>
                <w:highlight w:val="none"/>
              </w:rPr>
              <w:t>年预算数</w:t>
            </w:r>
            <w:r>
              <w:rPr>
                <w:rFonts w:eastAsia="宋体"/>
                <w:color w:val="000000"/>
                <w:kern w:val="0"/>
                <w:sz w:val="28"/>
                <w:szCs w:val="28"/>
                <w:highlight w:val="none"/>
              </w:rPr>
              <w:t>”</w:t>
            </w:r>
            <w:r>
              <w:rPr>
                <w:color w:val="000000"/>
                <w:kern w:val="0"/>
                <w:sz w:val="28"/>
                <w:szCs w:val="28"/>
                <w:highlight w:val="none"/>
              </w:rPr>
              <w:t>的实有人员</w:t>
            </w:r>
            <w:r>
              <w:rPr>
                <w:rFonts w:eastAsia="宋体"/>
                <w:color w:val="000000"/>
                <w:kern w:val="0"/>
                <w:sz w:val="28"/>
                <w:szCs w:val="28"/>
                <w:highlight w:val="none"/>
                <w:u w:val="single"/>
              </w:rPr>
              <w:t xml:space="preserve"> </w:t>
            </w:r>
            <w:r>
              <w:rPr>
                <w:rFonts w:hint="eastAsia" w:eastAsia="宋体"/>
                <w:color w:val="000000"/>
                <w:kern w:val="0"/>
                <w:sz w:val="28"/>
                <w:szCs w:val="28"/>
                <w:highlight w:val="none"/>
                <w:u w:val="single"/>
                <w:lang w:val="en-US" w:eastAsia="zh-CN"/>
              </w:rPr>
              <w:t>23</w:t>
            </w:r>
            <w:r>
              <w:rPr>
                <w:rFonts w:eastAsia="宋体"/>
                <w:color w:val="000000"/>
                <w:kern w:val="0"/>
                <w:sz w:val="28"/>
                <w:szCs w:val="28"/>
                <w:highlight w:val="none"/>
                <w:u w:val="single"/>
              </w:rPr>
              <w:t xml:space="preserve"> </w:t>
            </w:r>
            <w:r>
              <w:rPr>
                <w:color w:val="000000"/>
                <w:kern w:val="0"/>
                <w:sz w:val="28"/>
                <w:szCs w:val="28"/>
                <w:highlight w:val="none"/>
              </w:rPr>
              <w:t>人，其中：在职人员</w:t>
            </w:r>
            <w:r>
              <w:rPr>
                <w:rFonts w:eastAsia="宋体"/>
                <w:color w:val="000000"/>
                <w:kern w:val="0"/>
                <w:sz w:val="28"/>
                <w:szCs w:val="28"/>
                <w:highlight w:val="none"/>
                <w:u w:val="single"/>
              </w:rPr>
              <w:t xml:space="preserve"> </w:t>
            </w:r>
            <w:r>
              <w:rPr>
                <w:rFonts w:hint="eastAsia" w:eastAsia="宋体"/>
                <w:color w:val="000000"/>
                <w:kern w:val="0"/>
                <w:sz w:val="28"/>
                <w:szCs w:val="28"/>
                <w:highlight w:val="none"/>
                <w:u w:val="single"/>
                <w:lang w:val="en-US" w:eastAsia="zh-CN"/>
              </w:rPr>
              <w:t>23</w:t>
            </w:r>
            <w:r>
              <w:rPr>
                <w:rFonts w:eastAsia="宋体"/>
                <w:color w:val="000000"/>
                <w:kern w:val="0"/>
                <w:sz w:val="28"/>
                <w:szCs w:val="28"/>
                <w:highlight w:val="none"/>
                <w:u w:val="single"/>
              </w:rPr>
              <w:t xml:space="preserve"> </w:t>
            </w:r>
            <w:r>
              <w:rPr>
                <w:color w:val="000000"/>
                <w:kern w:val="0"/>
                <w:sz w:val="28"/>
                <w:szCs w:val="28"/>
                <w:highlight w:val="none"/>
              </w:rPr>
              <w:t>人，离退休人员</w:t>
            </w:r>
            <w:r>
              <w:rPr>
                <w:rFonts w:eastAsia="宋体"/>
                <w:color w:val="000000"/>
                <w:kern w:val="0"/>
                <w:sz w:val="28"/>
                <w:szCs w:val="28"/>
                <w:highlight w:val="none"/>
                <w:u w:val="single"/>
              </w:rPr>
              <w:t xml:space="preserve">  </w:t>
            </w:r>
            <w:r>
              <w:rPr>
                <w:rFonts w:hint="eastAsia" w:eastAsia="宋体"/>
                <w:color w:val="000000"/>
                <w:kern w:val="0"/>
                <w:sz w:val="28"/>
                <w:szCs w:val="28"/>
                <w:highlight w:val="none"/>
                <w:u w:val="single"/>
                <w:lang w:val="en-US" w:eastAsia="zh-CN"/>
              </w:rPr>
              <w:t>17</w:t>
            </w:r>
            <w:r>
              <w:rPr>
                <w:color w:val="000000"/>
                <w:kern w:val="0"/>
                <w:sz w:val="28"/>
                <w:szCs w:val="28"/>
                <w:highlight w:val="none"/>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212"/>
        <w:gridCol w:w="1107"/>
        <w:gridCol w:w="933"/>
        <w:gridCol w:w="690"/>
        <w:gridCol w:w="790"/>
        <w:gridCol w:w="554"/>
        <w:gridCol w:w="284"/>
        <w:gridCol w:w="237"/>
        <w:gridCol w:w="564"/>
        <w:gridCol w:w="532"/>
        <w:gridCol w:w="361"/>
        <w:gridCol w:w="237"/>
        <w:gridCol w:w="206"/>
        <w:gridCol w:w="164"/>
        <w:gridCol w:w="73"/>
        <w:gridCol w:w="188"/>
        <w:gridCol w:w="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498" w:type="dxa"/>
          <w:trHeight w:val="886" w:hRule="atLeast"/>
          <w:jc w:val="center"/>
        </w:trPr>
        <w:tc>
          <w:tcPr>
            <w:tcW w:w="8481" w:type="dxa"/>
            <w:gridSpan w:val="15"/>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7" w:type="dxa"/>
          <w:trHeight w:val="400" w:hRule="atLeast"/>
          <w:jc w:val="center"/>
        </w:trPr>
        <w:tc>
          <w:tcPr>
            <w:tcW w:w="61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1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3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9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9"/>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7" w:type="dxa"/>
          <w:trHeight w:val="598" w:hRule="atLeast"/>
          <w:jc w:val="center"/>
        </w:trPr>
        <w:tc>
          <w:tcPr>
            <w:tcW w:w="61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319"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933" w:type="dxa"/>
            <w:vMerge w:val="restart"/>
            <w:noWrap w:val="0"/>
            <w:vAlign w:val="center"/>
          </w:tcPr>
          <w:p>
            <w:pPr>
              <w:autoSpaceDN w:val="0"/>
              <w:jc w:val="center"/>
              <w:textAlignment w:val="center"/>
              <w:rPr>
                <w:rFonts w:hint="eastAsia" w:ascii="宋体" w:hAnsi="宋体" w:eastAsia="宋体" w:cs="宋体"/>
                <w:color w:val="000000"/>
                <w:sz w:val="15"/>
                <w:szCs w:val="15"/>
              </w:rPr>
            </w:pPr>
            <w:r>
              <w:rPr>
                <w:rFonts w:hint="eastAsia" w:ascii="宋体" w:hAnsi="宋体" w:eastAsia="宋体" w:cs="宋体"/>
                <w:color w:val="000000"/>
                <w:sz w:val="15"/>
                <w:szCs w:val="15"/>
              </w:rPr>
              <w:t>项目</w:t>
            </w:r>
          </w:p>
          <w:p>
            <w:pPr>
              <w:autoSpaceDN w:val="0"/>
              <w:jc w:val="center"/>
              <w:textAlignment w:val="center"/>
              <w:rPr>
                <w:rFonts w:hint="eastAsia" w:ascii="宋体" w:hAnsi="宋体" w:eastAsia="宋体" w:cs="宋体"/>
                <w:color w:val="000000"/>
                <w:sz w:val="15"/>
                <w:szCs w:val="15"/>
              </w:rPr>
            </w:pPr>
            <w:r>
              <w:rPr>
                <w:rFonts w:hint="eastAsia" w:ascii="宋体" w:hAnsi="宋体" w:eastAsia="宋体" w:cs="宋体"/>
                <w:color w:val="000000"/>
                <w:sz w:val="15"/>
                <w:szCs w:val="15"/>
              </w:rPr>
              <w:t>单位</w:t>
            </w:r>
          </w:p>
        </w:tc>
        <w:tc>
          <w:tcPr>
            <w:tcW w:w="69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4"/>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10" w:type="dxa"/>
            <w:vMerge w:val="continue"/>
            <w:noWrap w:val="0"/>
            <w:vAlign w:val="center"/>
          </w:tcPr>
          <w:p>
            <w:pPr>
              <w:autoSpaceDN w:val="0"/>
              <w:jc w:val="center"/>
              <w:textAlignment w:val="center"/>
              <w:rPr>
                <w:rFonts w:ascii="Calibri" w:hAnsi="Calibri" w:eastAsia="华文细黑"/>
                <w:color w:val="000000"/>
                <w:sz w:val="20"/>
                <w:szCs w:val="22"/>
              </w:rPr>
            </w:pPr>
          </w:p>
        </w:tc>
        <w:tc>
          <w:tcPr>
            <w:tcW w:w="1212"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933" w:type="dxa"/>
            <w:vMerge w:val="continue"/>
            <w:noWrap w:val="0"/>
            <w:vAlign w:val="center"/>
          </w:tcPr>
          <w:p>
            <w:pPr>
              <w:autoSpaceDN w:val="0"/>
              <w:jc w:val="center"/>
              <w:textAlignment w:val="center"/>
              <w:rPr>
                <w:rFonts w:ascii="Calibri" w:hAnsi="Calibri" w:eastAsia="华文细黑"/>
                <w:color w:val="000000"/>
                <w:sz w:val="15"/>
                <w:szCs w:val="15"/>
              </w:rPr>
            </w:pPr>
          </w:p>
        </w:tc>
        <w:tc>
          <w:tcPr>
            <w:tcW w:w="690" w:type="dxa"/>
            <w:vMerge w:val="continue"/>
            <w:noWrap w:val="0"/>
            <w:vAlign w:val="center"/>
          </w:tcPr>
          <w:p>
            <w:pPr>
              <w:autoSpaceDN w:val="0"/>
              <w:jc w:val="center"/>
              <w:textAlignment w:val="center"/>
              <w:rPr>
                <w:rFonts w:ascii="Calibri" w:hAnsi="Calibri" w:eastAsia="华文细黑"/>
                <w:color w:val="000000"/>
                <w:sz w:val="20"/>
                <w:szCs w:val="22"/>
              </w:rPr>
            </w:pPr>
          </w:p>
        </w:tc>
        <w:tc>
          <w:tcPr>
            <w:tcW w:w="79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gridSpan w:val="3"/>
            <w:noWrap w:val="0"/>
            <w:vAlign w:val="center"/>
          </w:tcPr>
          <w:p>
            <w:pPr>
              <w:autoSpaceDN w:val="0"/>
              <w:jc w:val="center"/>
              <w:textAlignment w:val="center"/>
              <w:rPr>
                <w:rFonts w:hint="eastAsia" w:ascii="宋体" w:hAnsi="宋体" w:eastAsia="宋体" w:cs="宋体"/>
                <w:color w:val="000000"/>
                <w:sz w:val="20"/>
                <w:szCs w:val="22"/>
              </w:rPr>
            </w:pPr>
          </w:p>
        </w:tc>
        <w:tc>
          <w:tcPr>
            <w:tcW w:w="425" w:type="dxa"/>
            <w:gridSpan w:val="2"/>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exact"/>
          <w:jc w:val="center"/>
        </w:trPr>
        <w:tc>
          <w:tcPr>
            <w:tcW w:w="610" w:type="dxa"/>
            <w:noWrap w:val="0"/>
            <w:vAlign w:val="center"/>
          </w:tcPr>
          <w:p>
            <w:pPr>
              <w:spacing w:line="700" w:lineRule="exact"/>
              <w:jc w:val="center"/>
              <w:rPr>
                <w:rFonts w:ascii="Calibri" w:hAnsi="Calibri" w:eastAsia="楷体"/>
                <w:kern w:val="0"/>
                <w:sz w:val="15"/>
                <w:szCs w:val="15"/>
              </w:rPr>
            </w:pPr>
          </w:p>
        </w:tc>
        <w:tc>
          <w:tcPr>
            <w:tcW w:w="1212" w:type="dxa"/>
            <w:noWrap w:val="0"/>
            <w:vAlign w:val="center"/>
          </w:tcPr>
          <w:p>
            <w:pPr>
              <w:keepNext w:val="0"/>
              <w:keepLines w:val="0"/>
              <w:widowControl/>
              <w:suppressLineNumbers w:val="0"/>
              <w:jc w:val="left"/>
              <w:textAlignment w:val="center"/>
              <w:rPr>
                <w:rFonts w:hint="default"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新华镇政府乡镇转移支付资金1.3（428108元）</w:t>
            </w:r>
          </w:p>
        </w:tc>
        <w:tc>
          <w:tcPr>
            <w:tcW w:w="1107" w:type="dxa"/>
            <w:noWrap w:val="0"/>
            <w:vAlign w:val="center"/>
          </w:tcPr>
          <w:p>
            <w:pPr>
              <w:keepNext w:val="0"/>
              <w:keepLines w:val="0"/>
              <w:widowControl/>
              <w:suppressLineNumbers w:val="0"/>
              <w:jc w:val="left"/>
              <w:textAlignment w:val="center"/>
              <w:rPr>
                <w:rFonts w:hint="eastAsia"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新华镇政府乡镇转移支付资金1.3（428108元）</w:t>
            </w:r>
          </w:p>
        </w:tc>
        <w:tc>
          <w:tcPr>
            <w:tcW w:w="933" w:type="dxa"/>
            <w:noWrap w:val="0"/>
            <w:vAlign w:val="center"/>
          </w:tcPr>
          <w:p>
            <w:pPr>
              <w:keepNext w:val="0"/>
              <w:keepLines w:val="0"/>
              <w:widowControl/>
              <w:suppressLineNumbers w:val="0"/>
              <w:jc w:val="left"/>
              <w:textAlignment w:val="center"/>
              <w:rPr>
                <w:rFonts w:hint="eastAsia" w:ascii="Verdana" w:hAnsi="Verdana" w:eastAsia="宋体"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w:t>
            </w:r>
            <w:r>
              <w:rPr>
                <w:rFonts w:hint="eastAsia" w:ascii="Verdana" w:hAnsi="Verdana" w:eastAsia="宋体" w:cs="Verdana"/>
                <w:i w:val="0"/>
                <w:iCs w:val="0"/>
                <w:color w:val="000000"/>
                <w:kern w:val="0"/>
                <w:sz w:val="15"/>
                <w:szCs w:val="15"/>
                <w:u w:val="none"/>
                <w:lang w:val="en-US" w:eastAsia="zh-CN" w:bidi="ar"/>
              </w:rPr>
              <w:t>人民政府</w:t>
            </w:r>
          </w:p>
        </w:tc>
        <w:tc>
          <w:tcPr>
            <w:tcW w:w="690" w:type="dxa"/>
            <w:noWrap w:val="0"/>
            <w:vAlign w:val="center"/>
          </w:tcPr>
          <w:p>
            <w:pPr>
              <w:spacing w:line="240" w:lineRule="auto"/>
              <w:jc w:val="distribute"/>
              <w:rPr>
                <w:rFonts w:hint="default" w:ascii="华文宋体" w:hAnsi="华文宋体" w:eastAsia="华文宋体" w:cs="华文宋体"/>
                <w:kern w:val="0"/>
                <w:sz w:val="15"/>
                <w:szCs w:val="15"/>
                <w:lang w:val="en-US" w:eastAsia="zh-CN"/>
              </w:rPr>
            </w:pPr>
            <w:r>
              <w:rPr>
                <w:rFonts w:hint="eastAsia" w:ascii="华文宋体" w:hAnsi="华文宋体" w:eastAsia="华文宋体" w:cs="华文宋体"/>
                <w:kern w:val="0"/>
                <w:sz w:val="15"/>
                <w:szCs w:val="15"/>
                <w:lang w:val="en-US" w:eastAsia="zh-CN"/>
              </w:rPr>
              <w:t>42.81</w:t>
            </w:r>
          </w:p>
        </w:tc>
        <w:tc>
          <w:tcPr>
            <w:tcW w:w="790" w:type="dxa"/>
            <w:noWrap w:val="0"/>
            <w:vAlign w:val="center"/>
          </w:tcPr>
          <w:p>
            <w:pPr>
              <w:spacing w:line="240" w:lineRule="auto"/>
              <w:ind w:left="0" w:leftChars="0"/>
              <w:jc w:val="distribute"/>
              <w:rPr>
                <w:rFonts w:hint="default" w:ascii="华文宋体" w:hAnsi="华文宋体" w:eastAsia="华文宋体" w:cs="华文宋体"/>
                <w:kern w:val="0"/>
                <w:sz w:val="15"/>
                <w:szCs w:val="15"/>
                <w:lang w:val="en-US" w:eastAsia="zh-CN"/>
              </w:rPr>
            </w:pPr>
            <w:r>
              <w:rPr>
                <w:rFonts w:hint="eastAsia" w:ascii="华文宋体" w:hAnsi="华文宋体" w:eastAsia="华文宋体" w:cs="华文宋体"/>
                <w:kern w:val="0"/>
                <w:sz w:val="15"/>
                <w:szCs w:val="15"/>
                <w:lang w:val="en-US" w:eastAsia="zh-CN"/>
              </w:rPr>
              <w:t>42.81</w:t>
            </w:r>
          </w:p>
        </w:tc>
        <w:tc>
          <w:tcPr>
            <w:tcW w:w="554"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21" w:type="dxa"/>
            <w:gridSpan w:val="2"/>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64"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32"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98" w:type="dxa"/>
            <w:gridSpan w:val="2"/>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443" w:type="dxa"/>
            <w:gridSpan w:val="3"/>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425" w:type="dxa"/>
            <w:gridSpan w:val="2"/>
            <w:noWrap w:val="0"/>
            <w:vAlign w:val="center"/>
          </w:tcPr>
          <w:p>
            <w:pPr>
              <w:spacing w:line="700" w:lineRule="exact"/>
              <w:jc w:val="center"/>
              <w:rPr>
                <w:rFonts w:ascii="Calibri" w:hAnsi="Calibri" w:eastAsia="楷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exact"/>
          <w:jc w:val="center"/>
        </w:trPr>
        <w:tc>
          <w:tcPr>
            <w:tcW w:w="610" w:type="dxa"/>
            <w:noWrap w:val="0"/>
            <w:vAlign w:val="center"/>
          </w:tcPr>
          <w:p>
            <w:pPr>
              <w:spacing w:line="700" w:lineRule="exact"/>
              <w:jc w:val="center"/>
              <w:rPr>
                <w:rFonts w:ascii="Calibri" w:hAnsi="Calibri" w:eastAsia="楷体"/>
                <w:kern w:val="0"/>
                <w:sz w:val="15"/>
                <w:szCs w:val="15"/>
              </w:rPr>
            </w:pPr>
          </w:p>
        </w:tc>
        <w:tc>
          <w:tcPr>
            <w:tcW w:w="1212" w:type="dxa"/>
            <w:noWrap w:val="0"/>
            <w:vAlign w:val="center"/>
          </w:tcPr>
          <w:p>
            <w:pPr>
              <w:keepNext w:val="0"/>
              <w:keepLines w:val="0"/>
              <w:widowControl/>
              <w:suppressLineNumbers w:val="0"/>
              <w:jc w:val="left"/>
              <w:textAlignment w:val="center"/>
              <w:rPr>
                <w:rFonts w:hint="eastAsia"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新华镇政府大学生村官工资1.3（377528元）</w:t>
            </w:r>
          </w:p>
        </w:tc>
        <w:tc>
          <w:tcPr>
            <w:tcW w:w="1107" w:type="dxa"/>
            <w:noWrap w:val="0"/>
            <w:vAlign w:val="center"/>
          </w:tcPr>
          <w:p>
            <w:pPr>
              <w:keepNext w:val="0"/>
              <w:keepLines w:val="0"/>
              <w:widowControl/>
              <w:suppressLineNumbers w:val="0"/>
              <w:jc w:val="left"/>
              <w:textAlignment w:val="center"/>
              <w:rPr>
                <w:rFonts w:hint="eastAsia"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新华镇政府大学生村官工资1.3（377528元）</w:t>
            </w:r>
          </w:p>
        </w:tc>
        <w:tc>
          <w:tcPr>
            <w:tcW w:w="933" w:type="dxa"/>
            <w:noWrap w:val="0"/>
            <w:vAlign w:val="center"/>
          </w:tcPr>
          <w:p>
            <w:pPr>
              <w:keepNext w:val="0"/>
              <w:keepLines w:val="0"/>
              <w:widowControl/>
              <w:suppressLineNumbers w:val="0"/>
              <w:jc w:val="left"/>
              <w:textAlignment w:val="center"/>
              <w:rPr>
                <w:rFonts w:hint="eastAsia"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w:t>
            </w:r>
            <w:r>
              <w:rPr>
                <w:rFonts w:hint="eastAsia" w:ascii="Verdana" w:hAnsi="Verdana" w:eastAsia="宋体" w:cs="Verdana"/>
                <w:i w:val="0"/>
                <w:iCs w:val="0"/>
                <w:color w:val="000000"/>
                <w:kern w:val="0"/>
                <w:sz w:val="15"/>
                <w:szCs w:val="15"/>
                <w:u w:val="none"/>
                <w:lang w:val="en-US" w:eastAsia="zh-CN" w:bidi="ar"/>
              </w:rPr>
              <w:t>人民政府</w:t>
            </w:r>
          </w:p>
        </w:tc>
        <w:tc>
          <w:tcPr>
            <w:tcW w:w="690" w:type="dxa"/>
            <w:noWrap w:val="0"/>
            <w:vAlign w:val="center"/>
          </w:tcPr>
          <w:p>
            <w:pPr>
              <w:spacing w:line="240" w:lineRule="auto"/>
              <w:ind w:left="0" w:leftChars="0"/>
              <w:jc w:val="distribute"/>
              <w:rPr>
                <w:rFonts w:hint="default" w:ascii="华文宋体" w:hAnsi="华文宋体" w:eastAsia="华文宋体" w:cs="华文宋体"/>
                <w:kern w:val="0"/>
                <w:sz w:val="15"/>
                <w:szCs w:val="15"/>
                <w:lang w:val="en-US" w:eastAsia="zh-CN"/>
              </w:rPr>
            </w:pPr>
            <w:r>
              <w:rPr>
                <w:rFonts w:hint="eastAsia" w:ascii="华文宋体" w:hAnsi="华文宋体" w:eastAsia="华文宋体" w:cs="华文宋体"/>
                <w:kern w:val="0"/>
                <w:sz w:val="15"/>
                <w:szCs w:val="15"/>
                <w:lang w:val="en-US" w:eastAsia="zh-CN"/>
              </w:rPr>
              <w:t>37.75</w:t>
            </w:r>
          </w:p>
        </w:tc>
        <w:tc>
          <w:tcPr>
            <w:tcW w:w="790" w:type="dxa"/>
            <w:noWrap w:val="0"/>
            <w:vAlign w:val="center"/>
          </w:tcPr>
          <w:p>
            <w:pPr>
              <w:spacing w:line="240" w:lineRule="auto"/>
              <w:ind w:left="0" w:leftChars="0"/>
              <w:jc w:val="distribute"/>
              <w:rPr>
                <w:rFonts w:hint="default" w:ascii="华文宋体" w:hAnsi="华文宋体" w:eastAsia="华文宋体" w:cs="华文宋体"/>
                <w:kern w:val="0"/>
                <w:sz w:val="15"/>
                <w:szCs w:val="15"/>
                <w:lang w:val="en-US" w:eastAsia="zh-CN"/>
              </w:rPr>
            </w:pPr>
            <w:r>
              <w:rPr>
                <w:rFonts w:hint="eastAsia" w:ascii="华文宋体" w:hAnsi="华文宋体" w:eastAsia="华文宋体" w:cs="华文宋体"/>
                <w:kern w:val="0"/>
                <w:sz w:val="15"/>
                <w:szCs w:val="15"/>
                <w:lang w:val="en-US" w:eastAsia="zh-CN"/>
              </w:rPr>
              <w:t>37.75</w:t>
            </w:r>
          </w:p>
        </w:tc>
        <w:tc>
          <w:tcPr>
            <w:tcW w:w="554"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21" w:type="dxa"/>
            <w:gridSpan w:val="2"/>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64"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32"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98" w:type="dxa"/>
            <w:gridSpan w:val="2"/>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443" w:type="dxa"/>
            <w:gridSpan w:val="3"/>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425" w:type="dxa"/>
            <w:gridSpan w:val="2"/>
            <w:noWrap w:val="0"/>
            <w:vAlign w:val="center"/>
          </w:tcPr>
          <w:p>
            <w:pPr>
              <w:spacing w:line="700" w:lineRule="exact"/>
              <w:jc w:val="center"/>
              <w:rPr>
                <w:rFonts w:ascii="Calibri" w:hAnsi="Calibri" w:eastAsia="楷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exact"/>
          <w:jc w:val="center"/>
        </w:trPr>
        <w:tc>
          <w:tcPr>
            <w:tcW w:w="610" w:type="dxa"/>
            <w:noWrap w:val="0"/>
            <w:vAlign w:val="center"/>
          </w:tcPr>
          <w:p>
            <w:pPr>
              <w:spacing w:line="700" w:lineRule="exact"/>
              <w:jc w:val="center"/>
              <w:rPr>
                <w:rFonts w:ascii="Calibri" w:hAnsi="Calibri" w:eastAsia="楷体"/>
                <w:kern w:val="0"/>
                <w:sz w:val="15"/>
                <w:szCs w:val="15"/>
              </w:rPr>
            </w:pPr>
          </w:p>
        </w:tc>
        <w:tc>
          <w:tcPr>
            <w:tcW w:w="1212" w:type="dxa"/>
            <w:noWrap w:val="0"/>
            <w:vAlign w:val="center"/>
          </w:tcPr>
          <w:p>
            <w:pPr>
              <w:keepNext w:val="0"/>
              <w:keepLines w:val="0"/>
              <w:widowControl/>
              <w:suppressLineNumbers w:val="0"/>
              <w:jc w:val="left"/>
              <w:textAlignment w:val="center"/>
              <w:rPr>
                <w:rFonts w:hint="eastAsia"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新华镇政府辅助岗位人员工资1.5（380713元）</w:t>
            </w:r>
          </w:p>
        </w:tc>
        <w:tc>
          <w:tcPr>
            <w:tcW w:w="1107" w:type="dxa"/>
            <w:noWrap w:val="0"/>
            <w:vAlign w:val="center"/>
          </w:tcPr>
          <w:p>
            <w:pPr>
              <w:keepNext w:val="0"/>
              <w:keepLines w:val="0"/>
              <w:widowControl/>
              <w:suppressLineNumbers w:val="0"/>
              <w:jc w:val="left"/>
              <w:textAlignment w:val="center"/>
              <w:rPr>
                <w:rFonts w:hint="eastAsia"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新华镇政府辅助岗位人员工资1.5（380713元）</w:t>
            </w:r>
          </w:p>
        </w:tc>
        <w:tc>
          <w:tcPr>
            <w:tcW w:w="933" w:type="dxa"/>
            <w:noWrap w:val="0"/>
            <w:vAlign w:val="center"/>
          </w:tcPr>
          <w:p>
            <w:pPr>
              <w:keepNext w:val="0"/>
              <w:keepLines w:val="0"/>
              <w:widowControl/>
              <w:suppressLineNumbers w:val="0"/>
              <w:jc w:val="left"/>
              <w:textAlignment w:val="center"/>
              <w:rPr>
                <w:rFonts w:hint="eastAsia"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w:t>
            </w:r>
            <w:r>
              <w:rPr>
                <w:rFonts w:hint="eastAsia" w:ascii="Verdana" w:hAnsi="Verdana" w:eastAsia="宋体" w:cs="Verdana"/>
                <w:i w:val="0"/>
                <w:iCs w:val="0"/>
                <w:color w:val="000000"/>
                <w:kern w:val="0"/>
                <w:sz w:val="15"/>
                <w:szCs w:val="15"/>
                <w:u w:val="none"/>
                <w:lang w:val="en-US" w:eastAsia="zh-CN" w:bidi="ar"/>
              </w:rPr>
              <w:t>人民政府</w:t>
            </w:r>
          </w:p>
        </w:tc>
        <w:tc>
          <w:tcPr>
            <w:tcW w:w="690" w:type="dxa"/>
            <w:noWrap w:val="0"/>
            <w:vAlign w:val="center"/>
          </w:tcPr>
          <w:p>
            <w:pPr>
              <w:spacing w:line="240" w:lineRule="auto"/>
              <w:ind w:left="0" w:leftChars="0"/>
              <w:jc w:val="distribute"/>
              <w:rPr>
                <w:rFonts w:hint="default" w:ascii="华文宋体" w:hAnsi="华文宋体" w:eastAsia="华文宋体" w:cs="华文宋体"/>
                <w:kern w:val="0"/>
                <w:sz w:val="15"/>
                <w:szCs w:val="15"/>
                <w:lang w:val="en-US" w:eastAsia="zh-CN"/>
              </w:rPr>
            </w:pPr>
            <w:r>
              <w:rPr>
                <w:rFonts w:hint="eastAsia" w:ascii="华文宋体" w:hAnsi="华文宋体" w:eastAsia="华文宋体" w:cs="华文宋体"/>
                <w:kern w:val="0"/>
                <w:sz w:val="15"/>
                <w:szCs w:val="15"/>
                <w:lang w:val="en-US" w:eastAsia="zh-CN"/>
              </w:rPr>
              <w:t>38.07</w:t>
            </w:r>
          </w:p>
        </w:tc>
        <w:tc>
          <w:tcPr>
            <w:tcW w:w="790" w:type="dxa"/>
            <w:noWrap w:val="0"/>
            <w:vAlign w:val="center"/>
          </w:tcPr>
          <w:p>
            <w:pPr>
              <w:spacing w:line="240" w:lineRule="auto"/>
              <w:ind w:left="0" w:leftChars="0"/>
              <w:jc w:val="distribute"/>
              <w:rPr>
                <w:rFonts w:hint="default" w:ascii="华文宋体" w:hAnsi="华文宋体" w:eastAsia="华文宋体" w:cs="华文宋体"/>
                <w:kern w:val="0"/>
                <w:sz w:val="15"/>
                <w:szCs w:val="15"/>
                <w:lang w:val="en-US" w:eastAsia="zh-CN"/>
              </w:rPr>
            </w:pPr>
            <w:r>
              <w:rPr>
                <w:rFonts w:hint="eastAsia" w:ascii="华文宋体" w:hAnsi="华文宋体" w:eastAsia="华文宋体" w:cs="华文宋体"/>
                <w:kern w:val="0"/>
                <w:sz w:val="15"/>
                <w:szCs w:val="15"/>
                <w:lang w:val="en-US" w:eastAsia="zh-CN"/>
              </w:rPr>
              <w:t>38.07</w:t>
            </w:r>
          </w:p>
        </w:tc>
        <w:tc>
          <w:tcPr>
            <w:tcW w:w="554"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21" w:type="dxa"/>
            <w:gridSpan w:val="2"/>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64"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32"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98" w:type="dxa"/>
            <w:gridSpan w:val="2"/>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443" w:type="dxa"/>
            <w:gridSpan w:val="3"/>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425" w:type="dxa"/>
            <w:gridSpan w:val="2"/>
            <w:noWrap w:val="0"/>
            <w:vAlign w:val="center"/>
          </w:tcPr>
          <w:p>
            <w:pPr>
              <w:spacing w:line="700" w:lineRule="exact"/>
              <w:jc w:val="center"/>
              <w:rPr>
                <w:rFonts w:ascii="Calibri" w:hAnsi="Calibri" w:eastAsia="楷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exact"/>
          <w:jc w:val="center"/>
        </w:trPr>
        <w:tc>
          <w:tcPr>
            <w:tcW w:w="610" w:type="dxa"/>
            <w:noWrap w:val="0"/>
            <w:vAlign w:val="center"/>
          </w:tcPr>
          <w:p>
            <w:pPr>
              <w:spacing w:line="700" w:lineRule="exact"/>
              <w:jc w:val="center"/>
              <w:rPr>
                <w:rFonts w:ascii="Calibri" w:hAnsi="Calibri" w:eastAsia="楷体"/>
                <w:kern w:val="0"/>
                <w:sz w:val="15"/>
                <w:szCs w:val="15"/>
              </w:rPr>
            </w:pPr>
          </w:p>
        </w:tc>
        <w:tc>
          <w:tcPr>
            <w:tcW w:w="1212" w:type="dxa"/>
            <w:noWrap w:val="0"/>
            <w:vAlign w:val="center"/>
          </w:tcPr>
          <w:p>
            <w:pPr>
              <w:keepNext w:val="0"/>
              <w:keepLines w:val="0"/>
              <w:widowControl/>
              <w:suppressLineNumbers w:val="0"/>
              <w:jc w:val="left"/>
              <w:textAlignment w:val="center"/>
              <w:rPr>
                <w:rFonts w:hint="default"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新华镇政府驻村工作队生活补贴1.3（72000元）</w:t>
            </w:r>
          </w:p>
        </w:tc>
        <w:tc>
          <w:tcPr>
            <w:tcW w:w="1107" w:type="dxa"/>
            <w:noWrap w:val="0"/>
            <w:vAlign w:val="center"/>
          </w:tcPr>
          <w:p>
            <w:pPr>
              <w:keepNext w:val="0"/>
              <w:keepLines w:val="0"/>
              <w:widowControl/>
              <w:suppressLineNumbers w:val="0"/>
              <w:jc w:val="left"/>
              <w:textAlignment w:val="center"/>
              <w:rPr>
                <w:rFonts w:hint="default"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新华镇政府驻村工作队生活补贴1.3（72000元）</w:t>
            </w:r>
          </w:p>
        </w:tc>
        <w:tc>
          <w:tcPr>
            <w:tcW w:w="933" w:type="dxa"/>
            <w:noWrap w:val="0"/>
            <w:vAlign w:val="center"/>
          </w:tcPr>
          <w:p>
            <w:pPr>
              <w:keepNext w:val="0"/>
              <w:keepLines w:val="0"/>
              <w:widowControl/>
              <w:suppressLineNumbers w:val="0"/>
              <w:jc w:val="left"/>
              <w:textAlignment w:val="center"/>
              <w:rPr>
                <w:rFonts w:hint="eastAsia" w:ascii="Verdana" w:hAnsi="Verdana" w:eastAsia="仿宋_GB2312" w:cs="Verdana"/>
                <w:i w:val="0"/>
                <w:iCs w:val="0"/>
                <w:color w:val="000000"/>
                <w:kern w:val="2"/>
                <w:sz w:val="15"/>
                <w:szCs w:val="15"/>
                <w:u w:val="none"/>
                <w:lang w:val="en-US" w:eastAsia="zh-CN" w:bidi="ar-SA"/>
              </w:rPr>
            </w:pPr>
            <w:r>
              <w:rPr>
                <w:rFonts w:hint="default" w:ascii="Verdana" w:hAnsi="Verdana" w:eastAsia="宋体" w:cs="Verdana"/>
                <w:i w:val="0"/>
                <w:iCs w:val="0"/>
                <w:color w:val="000000"/>
                <w:kern w:val="0"/>
                <w:sz w:val="15"/>
                <w:szCs w:val="15"/>
                <w:u w:val="none"/>
                <w:lang w:val="en-US" w:eastAsia="zh-CN" w:bidi="ar"/>
              </w:rPr>
              <w:t>新华镇</w:t>
            </w:r>
            <w:r>
              <w:rPr>
                <w:rFonts w:hint="eastAsia" w:ascii="Verdana" w:hAnsi="Verdana" w:eastAsia="宋体" w:cs="Verdana"/>
                <w:i w:val="0"/>
                <w:iCs w:val="0"/>
                <w:color w:val="000000"/>
                <w:kern w:val="0"/>
                <w:sz w:val="15"/>
                <w:szCs w:val="15"/>
                <w:u w:val="none"/>
                <w:lang w:val="en-US" w:eastAsia="zh-CN" w:bidi="ar"/>
              </w:rPr>
              <w:t>人民政府</w:t>
            </w:r>
          </w:p>
        </w:tc>
        <w:tc>
          <w:tcPr>
            <w:tcW w:w="690" w:type="dxa"/>
            <w:noWrap w:val="0"/>
            <w:vAlign w:val="center"/>
          </w:tcPr>
          <w:p>
            <w:pPr>
              <w:spacing w:line="240" w:lineRule="auto"/>
              <w:ind w:left="0" w:leftChars="0"/>
              <w:jc w:val="left"/>
              <w:rPr>
                <w:rFonts w:hint="default" w:ascii="华文宋体" w:hAnsi="华文宋体" w:eastAsia="华文宋体" w:cs="华文宋体"/>
                <w:kern w:val="0"/>
                <w:sz w:val="15"/>
                <w:szCs w:val="15"/>
                <w:lang w:val="en-US" w:eastAsia="zh-CN"/>
              </w:rPr>
            </w:pPr>
            <w:r>
              <w:rPr>
                <w:rFonts w:hint="eastAsia" w:ascii="华文宋体" w:hAnsi="华文宋体" w:eastAsia="华文宋体" w:cs="华文宋体"/>
                <w:kern w:val="0"/>
                <w:sz w:val="15"/>
                <w:szCs w:val="15"/>
                <w:lang w:val="en-US" w:eastAsia="zh-CN"/>
              </w:rPr>
              <w:t>7.2</w:t>
            </w:r>
          </w:p>
        </w:tc>
        <w:tc>
          <w:tcPr>
            <w:tcW w:w="790" w:type="dxa"/>
            <w:noWrap w:val="0"/>
            <w:vAlign w:val="center"/>
          </w:tcPr>
          <w:p>
            <w:pPr>
              <w:spacing w:line="240" w:lineRule="auto"/>
              <w:ind w:left="0" w:leftChars="0"/>
              <w:jc w:val="left"/>
              <w:rPr>
                <w:rFonts w:hint="default" w:ascii="华文宋体" w:hAnsi="华文宋体" w:eastAsia="华文宋体" w:cs="华文宋体"/>
                <w:kern w:val="0"/>
                <w:sz w:val="15"/>
                <w:szCs w:val="15"/>
                <w:lang w:val="en-US" w:eastAsia="zh-CN"/>
              </w:rPr>
            </w:pPr>
            <w:r>
              <w:rPr>
                <w:rFonts w:hint="eastAsia" w:ascii="华文宋体" w:hAnsi="华文宋体" w:eastAsia="华文宋体" w:cs="华文宋体"/>
                <w:kern w:val="0"/>
                <w:sz w:val="15"/>
                <w:szCs w:val="15"/>
                <w:lang w:val="en-US" w:eastAsia="zh-CN"/>
              </w:rPr>
              <w:t>7.2</w:t>
            </w:r>
          </w:p>
        </w:tc>
        <w:tc>
          <w:tcPr>
            <w:tcW w:w="554"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21" w:type="dxa"/>
            <w:gridSpan w:val="2"/>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64"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32"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98" w:type="dxa"/>
            <w:gridSpan w:val="2"/>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443" w:type="dxa"/>
            <w:gridSpan w:val="3"/>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425" w:type="dxa"/>
            <w:gridSpan w:val="2"/>
            <w:noWrap w:val="0"/>
            <w:vAlign w:val="center"/>
          </w:tcPr>
          <w:p>
            <w:pPr>
              <w:spacing w:line="700" w:lineRule="exact"/>
              <w:jc w:val="center"/>
              <w:rPr>
                <w:rFonts w:ascii="Calibri" w:hAnsi="Calibri" w:eastAsia="楷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0" w:type="dxa"/>
            <w:noWrap w:val="0"/>
            <w:vAlign w:val="center"/>
          </w:tcPr>
          <w:p>
            <w:pPr>
              <w:autoSpaceDN w:val="0"/>
              <w:jc w:val="center"/>
              <w:textAlignment w:val="center"/>
              <w:rPr>
                <w:rFonts w:hint="eastAsia" w:ascii="Calibri" w:hAnsi="Calibri" w:eastAsia="华文细黑"/>
                <w:color w:val="000000"/>
                <w:sz w:val="15"/>
                <w:szCs w:val="15"/>
              </w:rPr>
            </w:pPr>
            <w:r>
              <w:rPr>
                <w:rFonts w:hint="eastAsia" w:ascii="Calibri" w:hAnsi="Calibri" w:eastAsia="华文细黑"/>
                <w:color w:val="000000"/>
                <w:sz w:val="15"/>
                <w:szCs w:val="15"/>
              </w:rPr>
              <w:t>计</w:t>
            </w:r>
          </w:p>
        </w:tc>
        <w:tc>
          <w:tcPr>
            <w:tcW w:w="1212" w:type="dxa"/>
            <w:noWrap w:val="0"/>
            <w:vAlign w:val="center"/>
          </w:tcPr>
          <w:p>
            <w:pPr>
              <w:autoSpaceDN w:val="0"/>
              <w:jc w:val="center"/>
              <w:textAlignment w:val="center"/>
              <w:rPr>
                <w:rFonts w:ascii="Calibri" w:hAnsi="Calibri" w:eastAsia="华文细黑"/>
                <w:color w:val="000000"/>
                <w:sz w:val="15"/>
                <w:szCs w:val="15"/>
              </w:rPr>
            </w:pPr>
          </w:p>
        </w:tc>
        <w:tc>
          <w:tcPr>
            <w:tcW w:w="1107" w:type="dxa"/>
            <w:noWrap w:val="0"/>
            <w:vAlign w:val="center"/>
          </w:tcPr>
          <w:p>
            <w:pPr>
              <w:numPr>
                <w:ilvl w:val="0"/>
                <w:numId w:val="0"/>
              </w:numPr>
              <w:spacing w:line="700" w:lineRule="exact"/>
              <w:ind w:leftChars="0"/>
              <w:jc w:val="both"/>
              <w:rPr>
                <w:rFonts w:ascii="Calibri" w:hAnsi="Calibri" w:eastAsia="楷体"/>
                <w:kern w:val="0"/>
                <w:sz w:val="15"/>
                <w:szCs w:val="15"/>
              </w:rPr>
            </w:pPr>
          </w:p>
        </w:tc>
        <w:tc>
          <w:tcPr>
            <w:tcW w:w="933"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690" w:type="dxa"/>
            <w:noWrap w:val="0"/>
            <w:vAlign w:val="center"/>
          </w:tcPr>
          <w:p>
            <w:pPr>
              <w:spacing w:line="240" w:lineRule="auto"/>
              <w:ind w:left="0" w:leftChars="0"/>
              <w:jc w:val="distribute"/>
              <w:rPr>
                <w:rFonts w:hint="default" w:ascii="华文宋体" w:hAnsi="华文宋体" w:eastAsia="华文宋体" w:cs="华文宋体"/>
                <w:kern w:val="0"/>
                <w:sz w:val="15"/>
                <w:szCs w:val="15"/>
                <w:lang w:val="en-US" w:eastAsia="zh-CN"/>
              </w:rPr>
            </w:pPr>
            <w:r>
              <w:rPr>
                <w:rFonts w:hint="eastAsia" w:ascii="华文宋体" w:hAnsi="华文宋体" w:eastAsia="华文宋体" w:cs="华文宋体"/>
                <w:kern w:val="0"/>
                <w:sz w:val="15"/>
                <w:szCs w:val="15"/>
                <w:lang w:val="en-US" w:eastAsia="zh-CN"/>
              </w:rPr>
              <w:t>125.83</w:t>
            </w:r>
          </w:p>
        </w:tc>
        <w:tc>
          <w:tcPr>
            <w:tcW w:w="790" w:type="dxa"/>
            <w:noWrap w:val="0"/>
            <w:vAlign w:val="center"/>
          </w:tcPr>
          <w:p>
            <w:pPr>
              <w:spacing w:line="240" w:lineRule="auto"/>
              <w:ind w:left="0" w:leftChars="0"/>
              <w:jc w:val="distribute"/>
              <w:rPr>
                <w:rFonts w:hint="default" w:ascii="华文宋体" w:hAnsi="华文宋体" w:eastAsia="华文宋体" w:cs="华文宋体"/>
                <w:kern w:val="0"/>
                <w:sz w:val="15"/>
                <w:szCs w:val="15"/>
                <w:lang w:val="en-US" w:eastAsia="zh-CN"/>
              </w:rPr>
            </w:pPr>
            <w:r>
              <w:rPr>
                <w:rFonts w:hint="eastAsia" w:ascii="华文宋体" w:hAnsi="华文宋体" w:eastAsia="华文宋体" w:cs="华文宋体"/>
                <w:kern w:val="0"/>
                <w:sz w:val="15"/>
                <w:szCs w:val="15"/>
                <w:lang w:val="en-US" w:eastAsia="zh-CN"/>
              </w:rPr>
              <w:t>125.83</w:t>
            </w:r>
          </w:p>
        </w:tc>
        <w:tc>
          <w:tcPr>
            <w:tcW w:w="554"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21" w:type="dxa"/>
            <w:gridSpan w:val="2"/>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64"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32" w:type="dxa"/>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598" w:type="dxa"/>
            <w:gridSpan w:val="2"/>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443" w:type="dxa"/>
            <w:gridSpan w:val="3"/>
            <w:noWrap w:val="0"/>
            <w:vAlign w:val="center"/>
          </w:tcPr>
          <w:p>
            <w:pPr>
              <w:spacing w:line="240" w:lineRule="auto"/>
              <w:ind w:leftChars="100"/>
              <w:jc w:val="distribute"/>
              <w:rPr>
                <w:rFonts w:hint="eastAsia" w:ascii="华文宋体" w:hAnsi="华文宋体" w:eastAsia="华文宋体" w:cs="华文宋体"/>
                <w:kern w:val="0"/>
                <w:sz w:val="15"/>
                <w:szCs w:val="15"/>
              </w:rPr>
            </w:pPr>
          </w:p>
        </w:tc>
        <w:tc>
          <w:tcPr>
            <w:tcW w:w="425" w:type="dxa"/>
            <w:gridSpan w:val="2"/>
            <w:noWrap w:val="0"/>
            <w:vAlign w:val="center"/>
          </w:tcPr>
          <w:p>
            <w:pPr>
              <w:spacing w:line="700" w:lineRule="exact"/>
              <w:jc w:val="center"/>
              <w:rPr>
                <w:rFonts w:ascii="Calibri" w:hAnsi="Calibri" w:eastAsia="楷体"/>
                <w:kern w:val="0"/>
                <w:sz w:val="15"/>
                <w:szCs w:val="15"/>
              </w:rPr>
            </w:pPr>
          </w:p>
        </w:tc>
      </w:tr>
    </w:tbl>
    <w:p>
      <w:pPr>
        <w:spacing w:line="700" w:lineRule="exact"/>
        <w:rPr>
          <w:rFonts w:eastAsia="楷体"/>
          <w:kern w:val="0"/>
          <w:sz w:val="15"/>
          <w:szCs w:val="15"/>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4"/>
                <w:szCs w:val="24"/>
                <w:u w:val="none"/>
                <w:lang w:val="en-US" w:eastAsia="zh-CN" w:bidi="ar-SA"/>
              </w:rPr>
            </w:pPr>
            <w:r>
              <w:rPr>
                <w:rFonts w:hint="eastAsia" w:ascii="宋体" w:hAnsi="宋体" w:eastAsia="宋体" w:cs="宋体"/>
                <w:color w:val="000000"/>
                <w:sz w:val="20"/>
                <w:lang w:val="en-US" w:eastAsia="zh-CN"/>
              </w:rPr>
              <w:t>新华镇政府乡镇转移支付资金1.3</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42.81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42.81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ind w:firstLine="600" w:firstLineChars="3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为了保障新华镇政府2024年专项资金乡镇转移支付资金，正常运行、开展、提高工作效率，申请该项目。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宋体" w:hAnsi="宋体" w:eastAsia="宋体" w:cs="宋体"/>
                <w:color w:val="000000"/>
                <w:sz w:val="20"/>
                <w:lang w:val="en-US" w:eastAsia="zh-CN"/>
              </w:rPr>
              <w:t>该笔资金用于政府数量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宋体" w:hAnsi="宋体" w:eastAsia="宋体" w:cs="宋体"/>
                <w:color w:val="000000"/>
                <w:sz w:val="20"/>
                <w:lang w:val="en-US" w:eastAsia="zh-CN"/>
              </w:rPr>
              <w:t>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宋体" w:hAnsi="宋体" w:eastAsia="宋体" w:cs="宋体"/>
                <w:color w:val="000000"/>
                <w:sz w:val="20"/>
                <w:lang w:val="en-US" w:eastAsia="zh-CN"/>
              </w:rPr>
              <w:t>资金使用及时性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宋体" w:hAnsi="宋体" w:eastAsia="宋体" w:cs="宋体"/>
                <w:color w:val="000000"/>
                <w:sz w:val="20"/>
                <w:lang w:val="en-US" w:eastAsia="zh-CN"/>
              </w:rPr>
              <w:t>保障工作运行率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保障工作运行率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宋体" w:hAnsi="宋体" w:eastAsia="宋体" w:cs="宋体"/>
                <w:color w:val="000000"/>
                <w:sz w:val="20"/>
                <w:lang w:val="en-US"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4"/>
                <w:szCs w:val="24"/>
                <w:u w:val="none"/>
                <w:lang w:val="en-US" w:eastAsia="zh-CN" w:bidi="ar-SA"/>
              </w:rPr>
            </w:pPr>
            <w:r>
              <w:rPr>
                <w:rFonts w:hint="default" w:ascii="宋体" w:hAnsi="宋体" w:eastAsia="宋体" w:cs="宋体"/>
                <w:color w:val="000000"/>
                <w:sz w:val="20"/>
                <w:lang w:val="en-US" w:eastAsia="zh-CN"/>
              </w:rPr>
              <w:t>新华镇政府大学生村官工资1.3</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37.75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37.75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ind w:firstLine="600" w:firstLineChars="3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为保障通榆新华镇政府2024年度大学生村官工作能够顺利开展，保障相关科室正常开展业务，预算能够顺利执行，申请该项目。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宋体" w:hAnsi="宋体" w:eastAsia="宋体" w:cs="宋体"/>
                <w:color w:val="000000"/>
                <w:sz w:val="20"/>
                <w:lang w:val="en-US" w:eastAsia="zh-CN"/>
              </w:rPr>
              <w:t>村官人数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宋体" w:hAnsi="宋体" w:eastAsia="宋体" w:cs="宋体"/>
                <w:color w:val="000000"/>
                <w:sz w:val="20"/>
                <w:lang w:val="en-US" w:eastAsia="zh-CN"/>
              </w:rPr>
              <w:t>经费拨付程序规范性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人均工资发放标准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3932.6元/人/月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宋体" w:hAnsi="宋体" w:eastAsia="宋体" w:cs="宋体"/>
                <w:color w:val="000000"/>
                <w:sz w:val="20"/>
                <w:lang w:val="en-US"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宋体" w:hAnsi="宋体" w:eastAsia="宋体" w:cs="宋体"/>
                <w:color w:val="000000"/>
                <w:sz w:val="20"/>
                <w:lang w:val="en-US" w:eastAsia="zh-CN"/>
              </w:rPr>
              <w:t>发放工资对村官工作积极性提高率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宋体" w:hAnsi="宋体" w:eastAsia="宋体" w:cs="宋体"/>
                <w:color w:val="000000"/>
                <w:sz w:val="20"/>
                <w:lang w:val="en-US" w:eastAsia="zh-CN"/>
              </w:rPr>
              <w:t>村官人员满意度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4"/>
                <w:szCs w:val="24"/>
                <w:u w:val="none"/>
                <w:lang w:val="en-US" w:eastAsia="zh-CN" w:bidi="ar-SA"/>
              </w:rPr>
            </w:pPr>
            <w:r>
              <w:rPr>
                <w:rFonts w:hint="eastAsia" w:ascii="宋体" w:hAnsi="宋体" w:eastAsia="宋体" w:cs="宋体"/>
                <w:color w:val="000000"/>
                <w:sz w:val="20"/>
                <w:lang w:val="en-US" w:eastAsia="zh-CN"/>
              </w:rPr>
              <w:t>新华镇政府辅助岗位人员工资1.5</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38.07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38.07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ind w:firstLine="600" w:firstLineChars="3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为保障通榆新华镇政府2024年度辅助岗位人员工作能够顺利开展，保障相关科室正常开展业务，预算能够顺利执行，申请该项目。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辅岗人员数量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辅岗人员工资发放程序规范性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人均工资发放标准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3172.61元/人/月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发放工资对辅岗人员工作积极性提高率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4"/>
                <w:szCs w:val="24"/>
                <w:u w:val="none"/>
                <w:lang w:val="en-US" w:eastAsia="zh-CN" w:bidi="ar-SA"/>
              </w:rPr>
            </w:pPr>
            <w:r>
              <w:rPr>
                <w:rFonts w:hint="eastAsia" w:ascii="宋体" w:hAnsi="宋体" w:eastAsia="宋体" w:cs="宋体"/>
                <w:color w:val="000000"/>
                <w:sz w:val="20"/>
                <w:lang w:val="en-US" w:eastAsia="zh-CN"/>
              </w:rPr>
              <w:t>新华镇政府驻村工作队生活补贴1.3</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ind w:firstLine="600" w:firstLineChars="3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为保障通榆新华镇政府2024年度驻村工作队工作能够顺利开展，保障相关科室正常开展业务，预算能够顺利执行，申请该项目。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经费拨付程序规范性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对职工生活的可持续发展的提高率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485.10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485.10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年预算增加_____</w:t>
      </w:r>
      <w:r>
        <w:rPr>
          <w:rFonts w:hint="eastAsia" w:ascii="仿宋_GB2312" w:hAnsi="仿宋_GB2312" w:cs="仿宋_GB2312"/>
          <w:szCs w:val="32"/>
          <w:u w:val="single"/>
          <w:lang w:val="en-US" w:eastAsia="zh-CN"/>
        </w:rPr>
        <w:t>35.51</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_万元，主要原因是</w:t>
      </w:r>
      <w:r>
        <w:rPr>
          <w:rFonts w:hint="eastAsia" w:ascii="仿宋_GB2312" w:hAnsi="仿宋_GB2312" w:cs="仿宋_GB2312"/>
          <w:szCs w:val="32"/>
          <w:u w:val="single"/>
          <w:lang w:val="en-US" w:eastAsia="zh-CN"/>
        </w:rPr>
        <w:t>项目资金增加</w:t>
      </w:r>
      <w:r>
        <w:rPr>
          <w:rFonts w:hint="eastAsia" w:ascii="仿宋_GB2312" w:hAnsi="仿宋_GB2312" w:eastAsia="仿宋_GB2312" w:cs="仿宋_GB2312"/>
          <w:szCs w:val="32"/>
          <w:u w:val="single"/>
        </w:rPr>
        <w:t>___。</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485.10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485.10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485.10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485.10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359.27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74.06</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125.83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25.94</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485.10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485.10</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u w:val="single"/>
          <w:lang w:val="en-US" w:eastAsia="zh-CN"/>
        </w:rPr>
        <w:t>404.32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41.96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14.72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24.10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485.10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359.27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74.06</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125.83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25.94</w:t>
      </w:r>
      <w:r>
        <w:rPr>
          <w:rFonts w:hint="eastAsia" w:ascii="仿宋_GB2312" w:hAnsi="仿宋_GB2312" w:eastAsia="仿宋_GB2312" w:cs="仿宋_GB2312"/>
          <w:szCs w:val="32"/>
        </w:rPr>
        <w:t>%。基本支出中，人员经费_</w:t>
      </w:r>
      <w:r>
        <w:rPr>
          <w:rFonts w:hint="eastAsia" w:ascii="仿宋_GB2312" w:hAnsi="仿宋_GB2312" w:cs="仿宋_GB2312"/>
          <w:szCs w:val="32"/>
          <w:u w:val="single"/>
          <w:lang w:val="en-US" w:eastAsia="zh-CN"/>
        </w:rPr>
        <w:t>315.47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65.03</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43.8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9.03</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404.32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83.35</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人员工资和单位正常办公运转经费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eastAsia="楷体"/>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eastAsia="楷体"/>
          <w:szCs w:val="32"/>
          <w:u w:val="single"/>
        </w:rPr>
        <w:t>本部门无一般公共预算拨款</w:t>
      </w:r>
      <w:r>
        <w:rPr>
          <w:rFonts w:hint="eastAsia" w:ascii="仿宋_GB2312" w:hAnsi="仿宋_GB2312" w:eastAsia="仿宋_GB2312" w:cs="仿宋_GB2312"/>
          <w:szCs w:val="32"/>
        </w:rPr>
        <w:t>。</w:t>
      </w:r>
    </w:p>
    <w:p>
      <w:pPr>
        <w:spacing w:line="520" w:lineRule="exact"/>
        <w:ind w:firstLine="200"/>
        <w:jc w:val="left"/>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eastAsia="楷体"/>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eastAsia="楷体"/>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41.96</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8.65</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社保缴费和职业年金缴费支出</w:t>
      </w:r>
      <w:r>
        <w:rPr>
          <w:rFonts w:hint="eastAsia" w:ascii="仿宋_GB2312" w:hAnsi="仿宋_GB2312" w:eastAsia="仿宋_GB2312" w:cs="仿宋_GB2312"/>
          <w:szCs w:val="32"/>
        </w:rPr>
        <w:t>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eastAsia="楷体"/>
          <w:szCs w:val="32"/>
          <w:u w:val="single"/>
        </w:rPr>
        <w:t>本部门无一般公共预算拨款</w:t>
      </w:r>
      <w:r>
        <w:rPr>
          <w:rFonts w:hint="eastAsia" w:ascii="仿宋_GB2312" w:hAnsi="仿宋_GB2312" w:eastAsia="仿宋_GB2312" w:cs="仿宋_GB2312"/>
          <w:szCs w:val="32"/>
        </w:rPr>
        <w:t>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24.10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4.96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住房公积金缴费支出</w:t>
      </w:r>
      <w:r>
        <w:rPr>
          <w:rFonts w:hint="eastAsia" w:ascii="仿宋_GB2312" w:hAnsi="仿宋_GB2312" w:eastAsia="仿宋_GB2312" w:cs="仿宋_GB2312"/>
          <w:szCs w:val="32"/>
        </w:rPr>
        <w:t>_。</w:t>
      </w: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359.27</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315.47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43.8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咨询费、手续费、</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专用材料费、劳务费、委托业务费、</w:t>
      </w:r>
      <w:r>
        <w:rPr>
          <w:rFonts w:hint="eastAsia" w:ascii="仿宋_GB2312" w:hAnsi="仿宋_GB2312" w:eastAsia="仿宋_GB2312" w:cs="仿宋_GB2312"/>
          <w:kern w:val="0"/>
          <w:szCs w:val="32"/>
        </w:rPr>
        <w:t>工会经费、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、办公设备购置</w:t>
      </w:r>
      <w:r>
        <w:rPr>
          <w:rFonts w:hint="eastAsia" w:ascii="仿宋_GB2312" w:hAnsi="仿宋_GB2312" w:cs="仿宋_GB2312"/>
          <w:szCs w:val="32"/>
          <w:lang w:eastAsia="zh-CN"/>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eastAsia="仿宋_GB2312" w:cs="仿宋_GB2312"/>
          <w:szCs w:val="32"/>
          <w:u w:val="single"/>
        </w:rPr>
        <w:t>__</w:t>
      </w:r>
      <w:r>
        <w:rPr>
          <w:rFonts w:hint="eastAsia" w:ascii="仿宋_GB2312" w:hAnsi="仿宋_GB2312" w:cs="仿宋_GB2312"/>
          <w:szCs w:val="32"/>
          <w:u w:val="single"/>
          <w:lang w:val="en-US" w:eastAsia="zh-CN"/>
        </w:rPr>
        <w:t>10</w:t>
      </w:r>
      <w:r>
        <w:rPr>
          <w:rFonts w:hint="eastAsia" w:ascii="仿宋_GB2312" w:hAnsi="仿宋_GB2312" w:eastAsia="仿宋_GB2312" w:cs="仿宋_GB2312"/>
          <w:szCs w:val="32"/>
          <w:u w:val="single"/>
        </w:rPr>
        <w:t>____</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10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eastAsia="楷体"/>
          <w:szCs w:val="32"/>
          <w:u w:val="single"/>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eastAsia="楷体"/>
          <w:szCs w:val="32"/>
          <w:u w:val="single"/>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万元。公务用车运行维护费</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车辆10年之久老旧，油耗大、修理次数多</w:t>
      </w:r>
      <w:r>
        <w:rPr>
          <w:rFonts w:hint="eastAsia" w:ascii="仿宋_GB2312" w:hAnsi="仿宋_GB2312" w:eastAsia="仿宋_GB2312" w:cs="仿宋_GB2312"/>
          <w:szCs w:val="32"/>
        </w:rPr>
        <w:t>；公务用车购置费</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eastAsia="楷体"/>
          <w:szCs w:val="32"/>
          <w:u w:val="single"/>
        </w:rPr>
        <w:t>本部门无一般公共预算拨款</w:t>
      </w:r>
      <w:bookmarkStart w:id="0" w:name="_GoBack"/>
      <w:bookmarkEnd w:id="0"/>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eastAsia="楷体"/>
          <w:szCs w:val="32"/>
        </w:rPr>
        <w:t>本部门无政府性基金预算拨款</w:t>
      </w:r>
    </w:p>
    <w:p>
      <w:pPr>
        <w:ind w:firstLine="640"/>
        <w:rPr>
          <w:rFonts w:hint="eastAsia" w:ascii="仿宋_GB2312" w:hAnsi="仿宋_GB2312" w:eastAsia="仿宋_GB2312" w:cs="仿宋_GB2312"/>
          <w:szCs w:val="32"/>
          <w:highlight w:val="none"/>
        </w:rPr>
      </w:pPr>
    </w:p>
    <w:p>
      <w:pPr>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w:t>
      </w:r>
      <w:r>
        <w:rPr>
          <w:rFonts w:hint="eastAsia" w:ascii="仿宋_GB2312" w:hAnsi="仿宋_GB2312" w:cs="仿宋_GB2312"/>
          <w:szCs w:val="32"/>
          <w:highlight w:val="none"/>
          <w:lang w:val="en-US" w:eastAsia="zh-CN"/>
        </w:rPr>
        <w:t>本部门没有</w:t>
      </w:r>
      <w:r>
        <w:rPr>
          <w:rFonts w:hint="eastAsia" w:ascii="仿宋_GB2312" w:hAnsi="仿宋_GB2312" w:eastAsia="仿宋_GB2312" w:cs="仿宋_GB2312"/>
          <w:szCs w:val="32"/>
          <w:highlight w:val="none"/>
        </w:rPr>
        <w:t>国有资本经营预算支出</w:t>
      </w:r>
    </w:p>
    <w:p>
      <w:pPr>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w:t>
      </w:r>
      <w:r>
        <w:rPr>
          <w:rFonts w:hint="eastAsia" w:ascii="仿宋_GB2312" w:hAnsi="仿宋_GB2312" w:cs="仿宋_GB2312"/>
          <w:szCs w:val="32"/>
          <w:lang w:val="en-US" w:eastAsia="zh-CN"/>
        </w:rPr>
        <w:t>1</w:t>
      </w:r>
      <w:r>
        <w:rPr>
          <w:rFonts w:hint="eastAsia" w:ascii="仿宋_GB2312" w:hAnsi="仿宋_GB2312" w:eastAsia="仿宋_GB2312" w:cs="仿宋_GB2312"/>
          <w:szCs w:val="32"/>
        </w:rPr>
        <w:t>_家行政单位以及_______等_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___家参公管理事业单位的机关运行经费财政拨款预算</w:t>
      </w:r>
      <w:r>
        <w:rPr>
          <w:rFonts w:hint="eastAsia" w:ascii="仿宋_GB2312" w:hAnsi="仿宋_GB2312" w:cs="仿宋_GB2312"/>
          <w:szCs w:val="32"/>
          <w:u w:val="single"/>
          <w:lang w:val="en-US" w:eastAsia="zh-CN"/>
        </w:rPr>
        <w:t>485.10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35.51</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7.82</w:t>
      </w:r>
      <w:r>
        <w:rPr>
          <w:rFonts w:hint="eastAsia" w:ascii="仿宋_GB2312" w:hAnsi="仿宋_GB2312" w:eastAsia="仿宋_GB2312" w:cs="仿宋_GB2312"/>
          <w:szCs w:val="32"/>
        </w:rPr>
        <w:t>%，主要原因是_______</w:t>
      </w:r>
      <w:r>
        <w:rPr>
          <w:rFonts w:hint="eastAsia" w:ascii="仿宋_GB2312" w:hAnsi="仿宋_GB2312" w:cs="仿宋_GB2312"/>
          <w:szCs w:val="32"/>
          <w:u w:val="single"/>
          <w:lang w:val="en-US" w:eastAsia="zh-CN"/>
        </w:rPr>
        <w:t>项目资金增加</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万元，其中：政府采购货物预算</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万元、政府采购工程预算</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万元、政府采购服务预算</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w:t>
      </w:r>
      <w:r>
        <w:rPr>
          <w:rFonts w:hint="eastAsia" w:ascii="仿宋_GB2312" w:hAnsi="仿宋_GB2312" w:cs="仿宋_GB2312"/>
          <w:szCs w:val="32"/>
          <w:lang w:val="en-US" w:eastAsia="zh-CN"/>
        </w:rPr>
        <w:t>2</w:t>
      </w:r>
      <w:r>
        <w:rPr>
          <w:rFonts w:hint="eastAsia" w:ascii="仿宋_GB2312" w:hAnsi="仿宋_GB2312" w:eastAsia="仿宋_GB2312" w:cs="仿宋_GB2312"/>
          <w:szCs w:val="32"/>
        </w:rPr>
        <w:t>_辆，土地</w:t>
      </w:r>
      <w:r>
        <w:rPr>
          <w:rFonts w:hint="eastAsia" w:ascii="仿宋_GB2312" w:hAnsi="仿宋_GB2312" w:cs="仿宋_GB2312"/>
          <w:szCs w:val="32"/>
          <w:lang w:val="en-US" w:eastAsia="zh-CN"/>
        </w:rPr>
        <w:t>25000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5142.79</w:t>
      </w:r>
      <w:r>
        <w:rPr>
          <w:rFonts w:hint="eastAsia" w:ascii="仿宋_GB2312" w:hAnsi="仿宋_GB2312" w:eastAsia="仿宋_GB2312" w:cs="仿宋_GB2312"/>
          <w:szCs w:val="32"/>
        </w:rPr>
        <w:t>_平方米，单价50万元及以上的通用设备</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台/套，单价100万元及以上的专用设备实有数</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辆，安排购置土地</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平方米，安排购置房屋</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_平方米，计划新增单价50万元及以上的通用设备</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台/套，计划新增单价100万元及以上的专用设备实有数</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w:t>
      </w:r>
      <w:r>
        <w:rPr>
          <w:rFonts w:hint="eastAsia" w:ascii="仿宋_GB2312" w:hAnsi="仿宋_GB2312" w:cs="仿宋_GB2312"/>
          <w:szCs w:val="32"/>
          <w:highlight w:val="none"/>
          <w:u w:val="single"/>
          <w:lang w:val="en-US" w:eastAsia="zh-CN"/>
        </w:rPr>
        <w:t>125.83</w:t>
      </w:r>
      <w:r>
        <w:rPr>
          <w:rFonts w:hint="eastAsia" w:ascii="仿宋_GB2312" w:hAnsi="仿宋_GB2312" w:eastAsia="仿宋_GB2312" w:cs="仿宋_GB2312"/>
          <w:szCs w:val="32"/>
          <w:highlight w:val="none"/>
        </w:rPr>
        <w:t>__万元，其中：一级项目</w:t>
      </w:r>
      <w:r>
        <w:rPr>
          <w:rFonts w:hint="eastAsia" w:ascii="仿宋_GB2312" w:hAnsi="仿宋_GB2312" w:eastAsia="仿宋_GB2312" w:cs="仿宋_GB2312"/>
          <w:szCs w:val="32"/>
          <w:highlight w:val="none"/>
          <w:u w:val="single"/>
        </w:rPr>
        <w:t>_</w:t>
      </w:r>
      <w:r>
        <w:rPr>
          <w:rFonts w:hint="eastAsia" w:ascii="仿宋_GB2312" w:hAnsi="仿宋_GB2312" w:cs="仿宋_GB2312"/>
          <w:szCs w:val="32"/>
          <w:highlight w:val="none"/>
          <w:u w:val="single"/>
          <w:lang w:val="en-US" w:eastAsia="zh-CN"/>
        </w:rPr>
        <w:t>4</w:t>
      </w:r>
      <w:r>
        <w:rPr>
          <w:rFonts w:hint="eastAsia" w:ascii="仿宋_GB2312" w:hAnsi="仿宋_GB2312" w:eastAsia="仿宋_GB2312" w:cs="仿宋_GB2312"/>
          <w:szCs w:val="32"/>
          <w:highlight w:val="none"/>
          <w:u w:val="single"/>
        </w:rPr>
        <w:t>_</w:t>
      </w:r>
      <w:r>
        <w:rPr>
          <w:rFonts w:hint="eastAsia" w:ascii="仿宋_GB2312" w:hAnsi="仿宋_GB2312" w:eastAsia="仿宋_GB2312" w:cs="仿宋_GB2312"/>
          <w:szCs w:val="32"/>
          <w:highlight w:val="none"/>
        </w:rPr>
        <w:t>个，二级项目</w:t>
      </w:r>
      <w:r>
        <w:rPr>
          <w:rFonts w:hint="eastAsia" w:ascii="仿宋_GB2312" w:hAnsi="仿宋_GB2312" w:eastAsia="仿宋_GB2312" w:cs="仿宋_GB2312"/>
          <w:szCs w:val="32"/>
          <w:highlight w:val="none"/>
          <w:u w:val="single"/>
        </w:rPr>
        <w:t>_</w:t>
      </w:r>
      <w:r>
        <w:rPr>
          <w:rFonts w:hint="eastAsia" w:ascii="仿宋_GB2312" w:hAnsi="仿宋_GB2312" w:cs="仿宋_GB2312"/>
          <w:szCs w:val="32"/>
          <w:highlight w:val="none"/>
          <w:u w:val="single"/>
          <w:lang w:val="en-US" w:eastAsia="zh-CN"/>
        </w:rPr>
        <w:t>4</w:t>
      </w:r>
      <w:r>
        <w:rPr>
          <w:rFonts w:hint="eastAsia" w:ascii="仿宋_GB2312" w:hAnsi="仿宋_GB2312" w:eastAsia="仿宋_GB2312" w:cs="仿宋_GB2312"/>
          <w:szCs w:val="32"/>
          <w:highlight w:val="none"/>
          <w:u w:val="single"/>
        </w:rPr>
        <w:t>_</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125.83</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4</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w:t>
      </w:r>
      <w:r>
        <w:rPr>
          <w:rFonts w:hint="eastAsia" w:ascii="仿宋_GB2312" w:hAnsi="仿宋_GB2312" w:cs="仿宋_GB2312"/>
          <w:szCs w:val="32"/>
          <w:u w:val="single"/>
          <w:lang w:val="en-US" w:eastAsia="zh-CN"/>
        </w:rPr>
        <w:t>125.83</w:t>
      </w:r>
      <w:r>
        <w:rPr>
          <w:rFonts w:hint="eastAsia" w:ascii="仿宋_GB2312" w:hAnsi="仿宋_GB2312" w:eastAsia="仿宋_GB2312" w:cs="仿宋_GB2312"/>
          <w:szCs w:val="32"/>
          <w:u w:val="single"/>
        </w:rPr>
        <w:t>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华文宋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xZmZiYjFkMzRjOTRiNzY3YjFhZWUxOTQwM2UxMzM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B77BE"/>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1F2D03"/>
    <w:rsid w:val="01620FE6"/>
    <w:rsid w:val="019B69D8"/>
    <w:rsid w:val="020E6D2C"/>
    <w:rsid w:val="031D7D4B"/>
    <w:rsid w:val="04022755"/>
    <w:rsid w:val="0486486A"/>
    <w:rsid w:val="04954460"/>
    <w:rsid w:val="04BF2A9A"/>
    <w:rsid w:val="04F026C1"/>
    <w:rsid w:val="04F358F9"/>
    <w:rsid w:val="050D06DA"/>
    <w:rsid w:val="050F3BA7"/>
    <w:rsid w:val="05513E94"/>
    <w:rsid w:val="056F5A6D"/>
    <w:rsid w:val="059B3770"/>
    <w:rsid w:val="063949A0"/>
    <w:rsid w:val="067960C1"/>
    <w:rsid w:val="06BD5BC7"/>
    <w:rsid w:val="07D21289"/>
    <w:rsid w:val="07E35D35"/>
    <w:rsid w:val="07F544B0"/>
    <w:rsid w:val="09A0082A"/>
    <w:rsid w:val="0A334D52"/>
    <w:rsid w:val="0A573A02"/>
    <w:rsid w:val="0ABA06FE"/>
    <w:rsid w:val="0B5F5ADA"/>
    <w:rsid w:val="0B710869"/>
    <w:rsid w:val="0C2A5C84"/>
    <w:rsid w:val="0C6A44A1"/>
    <w:rsid w:val="0DA001B0"/>
    <w:rsid w:val="0DB6446C"/>
    <w:rsid w:val="0DEB170B"/>
    <w:rsid w:val="0E4C7841"/>
    <w:rsid w:val="0ECC5158"/>
    <w:rsid w:val="0F3E0406"/>
    <w:rsid w:val="0F8B592F"/>
    <w:rsid w:val="0FD62F63"/>
    <w:rsid w:val="107728C7"/>
    <w:rsid w:val="10AE7F82"/>
    <w:rsid w:val="10C93B35"/>
    <w:rsid w:val="11177619"/>
    <w:rsid w:val="112605C8"/>
    <w:rsid w:val="12812FB7"/>
    <w:rsid w:val="12E711B7"/>
    <w:rsid w:val="13651CF4"/>
    <w:rsid w:val="136D62BD"/>
    <w:rsid w:val="13C43F06"/>
    <w:rsid w:val="13EE6B89"/>
    <w:rsid w:val="13F21722"/>
    <w:rsid w:val="1441443C"/>
    <w:rsid w:val="14C12787"/>
    <w:rsid w:val="14C81C67"/>
    <w:rsid w:val="15593E10"/>
    <w:rsid w:val="159F7E25"/>
    <w:rsid w:val="15F848D0"/>
    <w:rsid w:val="160E1FA5"/>
    <w:rsid w:val="160F2600"/>
    <w:rsid w:val="176D1128"/>
    <w:rsid w:val="17765BCA"/>
    <w:rsid w:val="17A027D8"/>
    <w:rsid w:val="1A817DF8"/>
    <w:rsid w:val="1ADC594E"/>
    <w:rsid w:val="1AEB5252"/>
    <w:rsid w:val="1C852172"/>
    <w:rsid w:val="1CA40C0C"/>
    <w:rsid w:val="1CFF4A32"/>
    <w:rsid w:val="1D833200"/>
    <w:rsid w:val="1E2D59A2"/>
    <w:rsid w:val="1E3A3FD0"/>
    <w:rsid w:val="1E864866"/>
    <w:rsid w:val="1EB55C07"/>
    <w:rsid w:val="1F351A10"/>
    <w:rsid w:val="1FED47E9"/>
    <w:rsid w:val="203521EF"/>
    <w:rsid w:val="206816AC"/>
    <w:rsid w:val="22670D9E"/>
    <w:rsid w:val="22A4003E"/>
    <w:rsid w:val="22AB70CE"/>
    <w:rsid w:val="232866AB"/>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0F0BD8"/>
    <w:rsid w:val="291E3BE5"/>
    <w:rsid w:val="29C45F24"/>
    <w:rsid w:val="2B6A5CA2"/>
    <w:rsid w:val="2DE0080A"/>
    <w:rsid w:val="2DF8796C"/>
    <w:rsid w:val="2EB22F18"/>
    <w:rsid w:val="2EE12108"/>
    <w:rsid w:val="2EED35E3"/>
    <w:rsid w:val="2F250383"/>
    <w:rsid w:val="2F63610B"/>
    <w:rsid w:val="2F641036"/>
    <w:rsid w:val="300965A3"/>
    <w:rsid w:val="30730D6E"/>
    <w:rsid w:val="30B91A70"/>
    <w:rsid w:val="314F64A3"/>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9F347F1"/>
    <w:rsid w:val="3A657F9A"/>
    <w:rsid w:val="3A9113D4"/>
    <w:rsid w:val="3AC54F32"/>
    <w:rsid w:val="3B144A0A"/>
    <w:rsid w:val="3B1B2A0D"/>
    <w:rsid w:val="3B7C071F"/>
    <w:rsid w:val="3BC92948"/>
    <w:rsid w:val="3BE370D4"/>
    <w:rsid w:val="3C29381E"/>
    <w:rsid w:val="3C711E1D"/>
    <w:rsid w:val="3C7F463D"/>
    <w:rsid w:val="3CA1291A"/>
    <w:rsid w:val="3CAE3960"/>
    <w:rsid w:val="3D365BF6"/>
    <w:rsid w:val="3DB74696"/>
    <w:rsid w:val="3DF23324"/>
    <w:rsid w:val="3EA14040"/>
    <w:rsid w:val="3EE8108D"/>
    <w:rsid w:val="405745EF"/>
    <w:rsid w:val="40B80EFF"/>
    <w:rsid w:val="419330CA"/>
    <w:rsid w:val="41A35364"/>
    <w:rsid w:val="41B07B0D"/>
    <w:rsid w:val="41C31686"/>
    <w:rsid w:val="42982B4E"/>
    <w:rsid w:val="436B1E42"/>
    <w:rsid w:val="43993170"/>
    <w:rsid w:val="44054362"/>
    <w:rsid w:val="449C5E6A"/>
    <w:rsid w:val="44A93FCD"/>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A20623"/>
    <w:rsid w:val="4DBA56C2"/>
    <w:rsid w:val="4DC93207"/>
    <w:rsid w:val="4E0F5275"/>
    <w:rsid w:val="4E2A22FD"/>
    <w:rsid w:val="4E5A52AA"/>
    <w:rsid w:val="4E8D5761"/>
    <w:rsid w:val="4EF54A85"/>
    <w:rsid w:val="4F6F75D9"/>
    <w:rsid w:val="501B3C66"/>
    <w:rsid w:val="504B40C5"/>
    <w:rsid w:val="50987DC2"/>
    <w:rsid w:val="50A4703E"/>
    <w:rsid w:val="5100038B"/>
    <w:rsid w:val="5136104F"/>
    <w:rsid w:val="51E55C99"/>
    <w:rsid w:val="52071113"/>
    <w:rsid w:val="52447C09"/>
    <w:rsid w:val="525A440D"/>
    <w:rsid w:val="536928A2"/>
    <w:rsid w:val="54741940"/>
    <w:rsid w:val="54810E66"/>
    <w:rsid w:val="54C2556E"/>
    <w:rsid w:val="55480EEF"/>
    <w:rsid w:val="56570E30"/>
    <w:rsid w:val="579E791F"/>
    <w:rsid w:val="57AE5C26"/>
    <w:rsid w:val="57C32D51"/>
    <w:rsid w:val="57DD75A9"/>
    <w:rsid w:val="58256ABD"/>
    <w:rsid w:val="59472AC7"/>
    <w:rsid w:val="59BD150F"/>
    <w:rsid w:val="59DD570D"/>
    <w:rsid w:val="59FF38D6"/>
    <w:rsid w:val="59FF5EDC"/>
    <w:rsid w:val="5A084708"/>
    <w:rsid w:val="5A1214D4"/>
    <w:rsid w:val="5A9A1850"/>
    <w:rsid w:val="5AB343F7"/>
    <w:rsid w:val="5ABF50F2"/>
    <w:rsid w:val="5AD01174"/>
    <w:rsid w:val="5AF76904"/>
    <w:rsid w:val="5B052E7A"/>
    <w:rsid w:val="5B3D7F7E"/>
    <w:rsid w:val="5B7C7777"/>
    <w:rsid w:val="5B9462A0"/>
    <w:rsid w:val="5BEC6771"/>
    <w:rsid w:val="5CA506B9"/>
    <w:rsid w:val="5CFD5FB2"/>
    <w:rsid w:val="5D2B52D8"/>
    <w:rsid w:val="5D5A7C63"/>
    <w:rsid w:val="5E256F6F"/>
    <w:rsid w:val="5E4C2E61"/>
    <w:rsid w:val="5F6235A9"/>
    <w:rsid w:val="614125C2"/>
    <w:rsid w:val="624C5C52"/>
    <w:rsid w:val="63952BB5"/>
    <w:rsid w:val="639F20DC"/>
    <w:rsid w:val="63DF08E4"/>
    <w:rsid w:val="64127E15"/>
    <w:rsid w:val="64C04AFD"/>
    <w:rsid w:val="661A7B69"/>
    <w:rsid w:val="664909C1"/>
    <w:rsid w:val="66C63EB5"/>
    <w:rsid w:val="677772D0"/>
    <w:rsid w:val="679461D3"/>
    <w:rsid w:val="6858287E"/>
    <w:rsid w:val="685C6397"/>
    <w:rsid w:val="69157114"/>
    <w:rsid w:val="691A443E"/>
    <w:rsid w:val="6A80735F"/>
    <w:rsid w:val="6ACC5E47"/>
    <w:rsid w:val="6AD43ED1"/>
    <w:rsid w:val="6B11024D"/>
    <w:rsid w:val="6B7D5B36"/>
    <w:rsid w:val="6C2660DD"/>
    <w:rsid w:val="6CF120A8"/>
    <w:rsid w:val="6D520AA4"/>
    <w:rsid w:val="714213DD"/>
    <w:rsid w:val="717F272E"/>
    <w:rsid w:val="728027C6"/>
    <w:rsid w:val="72D54D7C"/>
    <w:rsid w:val="737664E0"/>
    <w:rsid w:val="73FE7ACC"/>
    <w:rsid w:val="74053F35"/>
    <w:rsid w:val="74556746"/>
    <w:rsid w:val="74AB7A24"/>
    <w:rsid w:val="76BB79B1"/>
    <w:rsid w:val="76C17E06"/>
    <w:rsid w:val="76CA67BD"/>
    <w:rsid w:val="77180AFB"/>
    <w:rsid w:val="774E6400"/>
    <w:rsid w:val="775B0046"/>
    <w:rsid w:val="778F40C6"/>
    <w:rsid w:val="78796248"/>
    <w:rsid w:val="79700BEF"/>
    <w:rsid w:val="79F85634"/>
    <w:rsid w:val="7A090695"/>
    <w:rsid w:val="7AE175F4"/>
    <w:rsid w:val="7B417685"/>
    <w:rsid w:val="7B5220F0"/>
    <w:rsid w:val="7BA169C0"/>
    <w:rsid w:val="7BB21980"/>
    <w:rsid w:val="7BE95D3C"/>
    <w:rsid w:val="7CAD595B"/>
    <w:rsid w:val="7CC717DA"/>
    <w:rsid w:val="7CF65D07"/>
    <w:rsid w:val="7D2975D1"/>
    <w:rsid w:val="7DCC0CD6"/>
    <w:rsid w:val="7FF317D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52"/>
    <w:autoRedefine/>
    <w:qFormat/>
    <w:uiPriority w:val="0"/>
    <w:pPr>
      <w:widowControl/>
    </w:pPr>
    <w:rPr>
      <w:rFonts w:eastAsia="宋体"/>
      <w:kern w:val="0"/>
      <w:szCs w:val="32"/>
    </w:rPr>
  </w:style>
  <w:style w:type="paragraph" w:customStyle="1" w:styleId="52">
    <w:name w:val="正文 New New New New"/>
    <w:autoRedefine/>
    <w:qFormat/>
    <w:uiPriority w:val="0"/>
    <w:pPr>
      <w:widowControl w:val="0"/>
      <w:jc w:val="both"/>
    </w:pPr>
    <w:rPr>
      <w:rFonts w:ascii="Times New Roman" w:hAnsi="Times New Roman" w:eastAsia="仿宋_GB2312" w:cs="Times New Roman"/>
      <w:kern w:val="2"/>
      <w:sz w:val="32"/>
      <w:lang w:val="en-US" w:eastAsia="zh-CN" w:bidi="ar-SA"/>
    </w:rPr>
  </w:style>
  <w:style w:type="paragraph" w:customStyle="1" w:styleId="53">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7">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3">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7">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1">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32</Pages>
  <Words>8292</Words>
  <Characters>10403</Characters>
  <Lines>71</Lines>
  <Paragraphs>20</Paragraphs>
  <TotalTime>47</TotalTime>
  <ScaleCrop>false</ScaleCrop>
  <LinksUpToDate>false</LinksUpToDate>
  <CharactersWithSpaces>10938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2024-01-26T10:27:00Z</cp:lastPrinted>
  <dcterms:modified xsi:type="dcterms:W3CDTF">2024-01-30T10:15:05Z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AF6927815C0E484DA9B442DDF82DBC6E_13</vt:lpwstr>
  </property>
</Properties>
</file>