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u w:val="single"/>
          <w:lang w:val="en-US" w:eastAsia="zh-CN"/>
        </w:rPr>
      </w:pPr>
      <w:r>
        <w:rPr>
          <w:rFonts w:hint="eastAsia" w:eastAsia="方正小标宋简体"/>
          <w:sz w:val="44"/>
          <w:szCs w:val="44"/>
          <w:u w:val="single"/>
          <w:lang w:val="en-US" w:eastAsia="zh-CN"/>
        </w:rPr>
        <w:t>通榆县新兴乡综合服务中心</w:t>
      </w:r>
    </w:p>
    <w:p>
      <w:pPr>
        <w:spacing w:line="700" w:lineRule="exact"/>
        <w:ind w:firstLine="2640" w:firstLineChars="600"/>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eastAsia="楷体_GB2312"/>
        </w:rPr>
      </w:pPr>
      <w:r>
        <w:rPr>
          <w:rFonts w:hint="eastAsia" w:eastAsia="楷体_GB2312"/>
        </w:rPr>
        <w:t>通榆县</w:t>
      </w:r>
      <w:r>
        <w:rPr>
          <w:rFonts w:hint="eastAsia" w:eastAsia="楷体_GB2312"/>
          <w:lang w:val="en-US" w:eastAsia="zh-CN"/>
        </w:rPr>
        <w:t>新兴乡</w:t>
      </w:r>
      <w:r>
        <w:rPr>
          <w:rFonts w:hint="eastAsia" w:eastAsia="楷体_GB2312"/>
        </w:rPr>
        <w:t>综合服务中心的主要职能是：承担农业（畜牧业）、自然资源、林业（草原）、水利、文化、体育、劳动和社会保障、卫生健康、退役军人保障等服务工作：负责行政审批服务窗口具体事务性工作；完成党委、政府交办的其他任务</w:t>
      </w:r>
    </w:p>
    <w:p>
      <w:pPr>
        <w:ind w:firstLine="640" w:firstLineChars="200"/>
        <w:rPr>
          <w:rFonts w:eastAsia="楷体_GB2312"/>
        </w:rPr>
      </w:pPr>
      <w:r>
        <w:rPr>
          <w:rFonts w:eastAsia="楷体_GB2312"/>
        </w:rPr>
        <w:t>二、机构设置</w:t>
      </w:r>
    </w:p>
    <w:p>
      <w:pPr>
        <w:ind w:firstLine="640" w:firstLineChars="200"/>
        <w:rPr>
          <w:rFonts w:hint="eastAsia" w:eastAsia="楷体_GB2312"/>
          <w:lang w:eastAsia="zh-CN"/>
        </w:rPr>
      </w:pPr>
      <w:r>
        <w:rPr>
          <w:rFonts w:eastAsia="楷体_GB2312"/>
        </w:rPr>
        <w:t>根据上述职责，</w:t>
      </w:r>
      <w:r>
        <w:rPr>
          <w:rFonts w:hint="eastAsia" w:eastAsia="楷体_GB2312"/>
        </w:rPr>
        <w:t>通榆县</w:t>
      </w:r>
      <w:r>
        <w:rPr>
          <w:rFonts w:hint="eastAsia" w:eastAsia="楷体_GB2312"/>
          <w:lang w:val="en-US" w:eastAsia="zh-CN"/>
        </w:rPr>
        <w:t>新兴乡</w:t>
      </w:r>
      <w:r>
        <w:rPr>
          <w:rFonts w:hint="eastAsia" w:eastAsia="楷体_GB2312"/>
        </w:rPr>
        <w:t>综合服务中心</w:t>
      </w:r>
      <w:r>
        <w:rPr>
          <w:rFonts w:eastAsia="楷体_GB2312"/>
        </w:rPr>
        <w:t xml:space="preserve">内设  </w:t>
      </w:r>
      <w:r>
        <w:rPr>
          <w:rFonts w:hint="eastAsia" w:eastAsia="楷体_GB2312"/>
          <w:lang w:val="en-US" w:eastAsia="zh-CN"/>
        </w:rPr>
        <w:t>12</w:t>
      </w:r>
      <w:r>
        <w:rPr>
          <w:rFonts w:eastAsia="楷体_GB2312"/>
        </w:rPr>
        <w:t>个机构，分别为</w:t>
      </w:r>
      <w:r>
        <w:rPr>
          <w:rFonts w:hint="eastAsia" w:eastAsia="楷体_GB2312"/>
        </w:rPr>
        <w:t>农业(畜牧业)、自然资源、林业(草原)、水利、文化、体育、劳动和社会保障、卫生健康、退役军人保障等</w:t>
      </w:r>
      <w:r>
        <w:rPr>
          <w:rFonts w:hint="eastAsia" w:eastAsia="楷体_GB2312"/>
          <w:lang w:eastAsia="zh-CN"/>
        </w:rPr>
        <w:t>。</w:t>
      </w:r>
    </w:p>
    <w:p>
      <w:pPr>
        <w:ind w:firstLine="640" w:firstLineChars="200"/>
        <w:rPr>
          <w:rFonts w:eastAsia="楷体_GB2312"/>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2520" w:firstLineChars="700"/>
        <w:jc w:val="both"/>
        <w:rPr>
          <w:rFonts w:eastAsia="黑体"/>
          <w:sz w:val="36"/>
          <w:szCs w:val="36"/>
        </w:rPr>
      </w:pPr>
    </w:p>
    <w:p>
      <w:pPr>
        <w:ind w:firstLine="2520" w:firstLineChars="700"/>
        <w:jc w:val="both"/>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670.47</w:t>
            </w:r>
          </w:p>
          <w:p>
            <w:pPr>
              <w:widowControl/>
              <w:jc w:val="center"/>
              <w:rPr>
                <w:rFonts w:hint="default" w:eastAsia="宋体"/>
                <w:kern w:val="0"/>
                <w:sz w:val="20"/>
                <w:lang w:val="en-US" w:eastAsia="zh-CN"/>
              </w:rPr>
            </w:pP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670.47</w:t>
            </w:r>
          </w:p>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428.59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color w:val="000000"/>
                <w:kern w:val="0"/>
                <w:sz w:val="20"/>
                <w:lang w:val="en-US" w:eastAsia="zh-CN"/>
              </w:rPr>
              <w:t>428.59</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670.47</w:t>
            </w:r>
          </w:p>
          <w:p>
            <w:pPr>
              <w:widowControl/>
              <w:jc w:val="center"/>
              <w:rPr>
                <w:rFonts w:hint="default" w:ascii="Times New Roman" w:hAnsi="Times New Roman" w:eastAsia="宋体" w:cs="Times New Roman"/>
                <w:kern w:val="0"/>
                <w:sz w:val="20"/>
                <w:lang w:val="en-US" w:eastAsia="zh-CN" w:bidi="ar-SA"/>
              </w:rPr>
            </w:pP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670.47</w:t>
            </w:r>
          </w:p>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78.17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78.17</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96.42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96.42</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42.26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42.26</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25.03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25.03</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670.47</w:t>
            </w:r>
          </w:p>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670.47</w:t>
            </w:r>
          </w:p>
          <w:p>
            <w:pPr>
              <w:widowControl/>
              <w:jc w:val="center"/>
              <w:rPr>
                <w:rFonts w:hint="eastAsia" w:eastAsia="宋体"/>
                <w:kern w:val="0"/>
                <w:sz w:val="20"/>
                <w:lang w:val="en-US" w:eastAsia="zh-CN"/>
              </w:rPr>
            </w:pPr>
            <w:r>
              <w:rPr>
                <w:rFonts w:hint="eastAsia" w:eastAsia="宋体"/>
                <w:kern w:val="0"/>
                <w:sz w:val="20"/>
                <w:lang w:val="en-US" w:eastAsia="zh-CN"/>
              </w:rPr>
              <w:t xml:space="preserve"> </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670.47</w:t>
            </w:r>
          </w:p>
          <w:p>
            <w:pPr>
              <w:widowControl/>
              <w:jc w:val="center"/>
              <w:rPr>
                <w:rFonts w:eastAsia="宋体"/>
                <w:b/>
                <w:bCs/>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670.47</w:t>
            </w:r>
          </w:p>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670.47</w:t>
            </w:r>
          </w:p>
          <w:p>
            <w:pPr>
              <w:widowControl/>
              <w:jc w:val="center"/>
              <w:rPr>
                <w:rFonts w:ascii="Times New Roman" w:hAnsi="Times New Roman" w:eastAsia="宋体" w:cs="Times New Roman"/>
                <w:kern w:val="0"/>
                <w:sz w:val="20"/>
                <w:lang w:val="en-US" w:eastAsia="zh-CN" w:bidi="ar-SA"/>
              </w:rPr>
            </w:pP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670.47</w:t>
            </w:r>
          </w:p>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 xml:space="preserve"> </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670.47</w:t>
            </w:r>
          </w:p>
          <w:p>
            <w:pPr>
              <w:widowControl/>
              <w:jc w:val="center"/>
              <w:rPr>
                <w:rFonts w:ascii="Times New Roman" w:hAnsi="Times New Roman" w:eastAsia="宋体" w:cs="Times New Roman"/>
                <w:b/>
                <w:bCs/>
                <w:kern w:val="0"/>
                <w:sz w:val="20"/>
                <w:lang w:val="en-US" w:eastAsia="zh-CN" w:bidi="ar-SA"/>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670.47</w:t>
            </w:r>
          </w:p>
          <w:p>
            <w:pPr>
              <w:widowControl/>
              <w:jc w:val="center"/>
              <w:rPr>
                <w:rFonts w:ascii="Times New Roman" w:hAnsi="Times New Roman" w:eastAsia="宋体" w:cs="Times New Roman"/>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947"/>
        <w:gridCol w:w="469"/>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375"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69"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3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69"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375" w:type="dxa"/>
            <w:gridSpan w:val="2"/>
            <w:tcBorders>
              <w:left w:val="single" w:color="000000" w:sz="4" w:space="0"/>
              <w:right w:val="single" w:color="000000" w:sz="4" w:space="0"/>
            </w:tcBorders>
            <w:noWrap w:val="0"/>
            <w:vAlign w:val="center"/>
          </w:tcPr>
          <w:p>
            <w:pPr>
              <w:widowControl/>
              <w:jc w:val="left"/>
              <w:rPr>
                <w:rFonts w:eastAsia="宋体"/>
                <w:color w:val="000000"/>
                <w:sz w:val="20"/>
              </w:rPr>
            </w:pPr>
            <w:r>
              <w:rPr>
                <w:rFonts w:hint="eastAsia" w:eastAsia="楷体_GB2312"/>
              </w:rPr>
              <w:t>通榆县</w:t>
            </w:r>
            <w:r>
              <w:rPr>
                <w:rFonts w:hint="eastAsia" w:eastAsia="楷体_GB2312"/>
                <w:lang w:val="en-US" w:eastAsia="zh-CN"/>
              </w:rPr>
              <w:t>新兴乡</w:t>
            </w:r>
            <w:r>
              <w:rPr>
                <w:rFonts w:hint="eastAsia" w:eastAsia="楷体_GB2312"/>
              </w:rPr>
              <w:t>综合服务中心</w:t>
            </w:r>
          </w:p>
        </w:tc>
        <w:tc>
          <w:tcPr>
            <w:tcW w:w="469" w:type="dxa"/>
            <w:tcBorders>
              <w:top w:val="single" w:color="000000" w:sz="4" w:space="0"/>
              <w:left w:val="single" w:color="000000" w:sz="4" w:space="0"/>
              <w:right w:val="single" w:color="000000"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670.47</w:t>
            </w:r>
          </w:p>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670.47</w:t>
            </w:r>
          </w:p>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670.47</w:t>
            </w:r>
          </w:p>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37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6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37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6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37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6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37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6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37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6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37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6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375"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6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375"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6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670.47</w:t>
            </w:r>
          </w:p>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670.47</w:t>
            </w:r>
          </w:p>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670.47</w:t>
            </w:r>
          </w:p>
          <w:p>
            <w:pPr>
              <w:shd w:val="solid" w:color="FFFFFF" w:fill="auto"/>
              <w:autoSpaceDN w:val="0"/>
              <w:jc w:val="right"/>
              <w:textAlignment w:val="center"/>
              <w:rPr>
                <w:b/>
                <w:bCs/>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428.59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428.59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lang w:val="en-US" w:eastAsia="zh-CN"/>
                    </w:rPr>
                    <w:t>政府办公厅(室)及相关机关事务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428.59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428.59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val="en-US" w:eastAsia="zh-CN"/>
                    </w:rPr>
                    <w:t>事业</w:t>
                  </w:r>
                  <w:r>
                    <w:rPr>
                      <w:rFonts w:eastAsia="宋体"/>
                      <w:color w:val="000000"/>
                      <w:kern w:val="0"/>
                      <w:sz w:val="20"/>
                    </w:rPr>
                    <w:t>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428.59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428.59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eastAsia="宋体"/>
                      <w:color w:val="000000"/>
                      <w:kern w:val="0"/>
                      <w:sz w:val="20"/>
                    </w:rPr>
                    <w:t xml:space="preserve"> </w:t>
                  </w:r>
                  <w:r>
                    <w:rPr>
                      <w:rFonts w:hint="eastAsia" w:eastAsia="宋体"/>
                      <w:color w:val="000000"/>
                      <w:kern w:val="0"/>
                      <w:sz w:val="20"/>
                      <w:lang w:val="en-US" w:eastAsia="zh-CN"/>
                    </w:rPr>
                    <w:t>二、社会保障和就业支出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78.17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78.17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78.17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78.17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机关事业单位基本养老保险缴费</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60.68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60.68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机关事业单位职业年金缴费</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14.82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14.82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其他行政事业单位养老保险缴费</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2.65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2.65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25.03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25.03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行政事业单位医疗</w:t>
                  </w:r>
                  <w:r>
                    <w:rPr>
                      <w:rFonts w:hint="eastAsia" w:eastAsia="宋体"/>
                      <w:color w:val="000000"/>
                      <w:kern w:val="0"/>
                      <w:sz w:val="20"/>
                      <w:lang w:val="en-US" w:eastAsia="zh-CN"/>
                    </w:rPr>
                    <w:t xml:space="preserve"> </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25.03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25.03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事业单位医疗</w:t>
                  </w:r>
                  <w:r>
                    <w:rPr>
                      <w:rFonts w:hint="eastAsia" w:eastAsia="宋体"/>
                      <w:color w:val="000000"/>
                      <w:kern w:val="0"/>
                      <w:sz w:val="20"/>
                      <w:lang w:val="en-US" w:eastAsia="zh-CN"/>
                    </w:rPr>
                    <w:t xml:space="preserve"> </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24.27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0.76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0.76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四、农林水支出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96.42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96.42</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农村综合改革</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96.42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96.42</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对村民委员会和村党支部的补助</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96.42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96.42</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五.住房保障支出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42.26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42.26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42.26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42.26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42.26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42.26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670.47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574.05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96.42</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0" w:type="auto"/>
                  <w:vAlign w:val="center"/>
                </w:tcPr>
                <w:p>
                  <w:pPr>
                    <w:widowControl/>
                    <w:jc w:val="left"/>
                    <w:rPr>
                      <w:rFonts w:hint="eastAsia" w:ascii="Times New Roman" w:hAnsi="Times New Roman" w:eastAsia="宋体" w:cs="Times New Roman"/>
                      <w:color w:val="000000"/>
                      <w:kern w:val="0"/>
                      <w:sz w:val="20"/>
                      <w:lang w:val="en-US" w:eastAsia="zh-CN" w:bidi="ar-SA"/>
                    </w:rPr>
                  </w:pPr>
                </w:p>
              </w:tc>
              <w:tc>
                <w:tcPr>
                  <w:tcW w:w="0" w:type="auto"/>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306" w:type="dxa"/>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090" w:type="dxa"/>
                  <w:vAlign w:val="center"/>
                </w:tcPr>
                <w:p>
                  <w:pPr>
                    <w:widowControl/>
                    <w:jc w:val="center"/>
                    <w:rPr>
                      <w:rFonts w:hint="eastAsia" w:ascii="Times New Roman" w:hAnsi="Times New Roman" w:eastAsia="宋体" w:cs="Times New Roman"/>
                      <w:color w:val="000000"/>
                      <w:kern w:val="0"/>
                      <w:sz w:val="20"/>
                      <w:lang w:val="en-US" w:eastAsia="zh-CN" w:bidi="ar-SA"/>
                    </w:rPr>
                  </w:pPr>
                </w:p>
              </w:tc>
              <w:tc>
                <w:tcPr>
                  <w:tcW w:w="0" w:type="auto"/>
                </w:tcPr>
                <w:p>
                  <w:pPr>
                    <w:widowControl/>
                    <w:jc w:val="right"/>
                    <w:rPr>
                      <w:rFonts w:eastAsia="宋体"/>
                      <w:color w:val="000000"/>
                      <w:kern w:val="0"/>
                      <w:sz w:val="20"/>
                    </w:rPr>
                  </w:pPr>
                </w:p>
              </w:tc>
              <w:tc>
                <w:tcPr>
                  <w:tcW w:w="0" w:type="auto"/>
                </w:tcPr>
                <w:p>
                  <w:pPr>
                    <w:widowControl/>
                    <w:jc w:val="right"/>
                    <w:rPr>
                      <w:rFonts w:eastAsia="宋体"/>
                      <w:color w:val="000000"/>
                      <w:kern w:val="0"/>
                      <w:sz w:val="20"/>
                    </w:rPr>
                  </w:pPr>
                </w:p>
              </w:tc>
              <w:tc>
                <w:tcPr>
                  <w:tcW w:w="0" w:type="auto"/>
                  <w:gridSpan w:val="3"/>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0" w:type="auto"/>
                  <w:vAlign w:val="center"/>
                </w:tcPr>
                <w:p>
                  <w:pPr>
                    <w:widowControl/>
                    <w:jc w:val="center"/>
                    <w:rPr>
                      <w:rFonts w:ascii="Times New Roman" w:hAnsi="Times New Roman" w:eastAsia="宋体" w:cs="Times New Roman"/>
                      <w:color w:val="000000"/>
                      <w:kern w:val="0"/>
                      <w:sz w:val="20"/>
                      <w:lang w:val="en-US" w:eastAsia="zh-CN" w:bidi="ar-SA"/>
                    </w:rPr>
                  </w:pPr>
                </w:p>
              </w:tc>
              <w:tc>
                <w:tcPr>
                  <w:tcW w:w="0" w:type="auto"/>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306" w:type="dxa"/>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090" w:type="dxa"/>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0" w:type="auto"/>
                </w:tcPr>
                <w:p>
                  <w:pPr>
                    <w:widowControl/>
                    <w:jc w:val="right"/>
                    <w:rPr>
                      <w:rFonts w:eastAsia="宋体"/>
                      <w:color w:val="000000"/>
                      <w:kern w:val="0"/>
                      <w:sz w:val="20"/>
                    </w:rPr>
                  </w:pPr>
                </w:p>
              </w:tc>
              <w:tc>
                <w:tcPr>
                  <w:tcW w:w="0" w:type="auto"/>
                </w:tcPr>
                <w:p>
                  <w:pPr>
                    <w:widowControl/>
                    <w:jc w:val="right"/>
                    <w:rPr>
                      <w:rFonts w:eastAsia="宋体"/>
                      <w:color w:val="000000"/>
                      <w:kern w:val="0"/>
                      <w:sz w:val="20"/>
                    </w:rPr>
                  </w:pPr>
                </w:p>
              </w:tc>
              <w:tc>
                <w:tcPr>
                  <w:tcW w:w="0" w:type="auto"/>
                  <w:gridSpan w:val="3"/>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color w:val="000000"/>
                      <w:kern w:val="0"/>
                      <w:sz w:val="20"/>
                      <w:lang w:val="en-US" w:eastAsia="zh-CN"/>
                    </w:rPr>
                    <w:t>670.47</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color w:val="000000"/>
                      <w:kern w:val="0"/>
                      <w:sz w:val="20"/>
                      <w:lang w:val="en-US" w:eastAsia="zh-CN"/>
                    </w:rPr>
                    <w:t>670.47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428.59</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428.59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color w:val="000000"/>
                      <w:kern w:val="0"/>
                      <w:sz w:val="20"/>
                      <w:lang w:val="en-US" w:eastAsia="zh-CN"/>
                    </w:rPr>
                    <w:t>670.47</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eastAsia="宋体"/>
                      <w:color w:val="000000"/>
                      <w:kern w:val="0"/>
                      <w:sz w:val="20"/>
                      <w:lang w:val="en-US" w:eastAsia="zh-CN"/>
                    </w:rPr>
                    <w:t>670.47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78.17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78.17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25.03</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25.03</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96.42</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96.42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42.26</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42.26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color w:val="000000"/>
                      <w:kern w:val="0"/>
                      <w:sz w:val="20"/>
                      <w:lang w:val="en-US" w:eastAsia="zh-CN"/>
                    </w:rPr>
                    <w:t>670.47</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eastAsia="宋体"/>
                      <w:color w:val="000000"/>
                      <w:kern w:val="0"/>
                      <w:sz w:val="20"/>
                      <w:lang w:val="en-US" w:eastAsia="zh-CN"/>
                    </w:rPr>
                    <w:t>670.47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color w:val="000000"/>
                      <w:kern w:val="0"/>
                      <w:sz w:val="20"/>
                      <w:lang w:val="en-US" w:eastAsia="zh-CN"/>
                    </w:rPr>
                    <w:t>670.47</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color w:val="000000"/>
                      <w:kern w:val="0"/>
                      <w:sz w:val="20"/>
                      <w:lang w:val="en-US" w:eastAsia="zh-CN"/>
                    </w:rPr>
                    <w:t>670.47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color w:val="000000"/>
                      <w:kern w:val="0"/>
                      <w:sz w:val="20"/>
                      <w:lang w:val="en-US" w:eastAsia="zh-CN"/>
                    </w:rPr>
                    <w:t>670.47</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color w:val="000000"/>
                      <w:kern w:val="0"/>
                      <w:sz w:val="20"/>
                      <w:lang w:val="en-US" w:eastAsia="zh-CN"/>
                    </w:rPr>
                    <w:t>670.47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color w:val="000000"/>
                      <w:kern w:val="0"/>
                      <w:sz w:val="20"/>
                      <w:lang w:val="en-US" w:eastAsia="zh-CN"/>
                    </w:rPr>
                    <w:t>670.47</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color w:val="000000"/>
                      <w:kern w:val="0"/>
                      <w:sz w:val="20"/>
                      <w:lang w:val="en-US" w:eastAsia="zh-CN"/>
                    </w:rPr>
                    <w:t>670.47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428.59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428.59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389.23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39.36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lang w:val="en-US" w:eastAsia="zh-CN"/>
                    </w:rPr>
                    <w:t>政府办公厅(室)及相关机关事务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428.59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428.59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389.23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39.36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val="en-US" w:eastAsia="zh-CN"/>
                    </w:rPr>
                    <w:t>事业</w:t>
                  </w:r>
                  <w:r>
                    <w:rPr>
                      <w:rFonts w:eastAsia="宋体"/>
                      <w:color w:val="000000"/>
                      <w:kern w:val="0"/>
                      <w:sz w:val="20"/>
                    </w:rPr>
                    <w:t>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428.59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428.59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389.23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469"/>
                    </w:tabs>
                    <w:jc w:val="center"/>
                    <w:rPr>
                      <w:rFonts w:hint="eastAsia" w:eastAsia="宋体"/>
                      <w:color w:val="000000"/>
                      <w:kern w:val="0"/>
                      <w:sz w:val="20"/>
                      <w:lang w:eastAsia="zh-CN"/>
                    </w:rPr>
                  </w:pPr>
                  <w:r>
                    <w:rPr>
                      <w:rFonts w:hint="eastAsia" w:eastAsia="宋体"/>
                      <w:color w:val="000000"/>
                      <w:kern w:val="0"/>
                      <w:sz w:val="20"/>
                      <w:lang w:val="en-US" w:eastAsia="zh-CN"/>
                    </w:rPr>
                    <w:t>39.36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val="en-US" w:eastAsia="zh-CN"/>
                    </w:rPr>
                    <w:t>二、社会保障和就业支出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78.17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78.17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78.17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78.17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78.17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78.17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机关事业单位基本养老保险缴费</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60.68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60.68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机关事业单位职业年金缴费</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其他行政事业单位养老保险缴费</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行政事业单位医疗</w:t>
                  </w:r>
                  <w:r>
                    <w:rPr>
                      <w:rFonts w:hint="eastAsia" w:eastAsia="宋体"/>
                      <w:color w:val="000000"/>
                      <w:kern w:val="0"/>
                      <w:sz w:val="20"/>
                      <w:lang w:val="en-US" w:eastAsia="zh-CN"/>
                    </w:rPr>
                    <w:t xml:space="preserve">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事业单位医疗</w:t>
                  </w:r>
                  <w:r>
                    <w:rPr>
                      <w:rFonts w:hint="eastAsia" w:eastAsia="宋体"/>
                      <w:color w:val="000000"/>
                      <w:kern w:val="0"/>
                      <w:sz w:val="20"/>
                      <w:lang w:val="en-US" w:eastAsia="zh-CN"/>
                    </w:rPr>
                    <w:t xml:space="preserve">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四、农林水支出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96.42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96.42</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val="en-US" w:eastAsia="zh-CN"/>
                    </w:rPr>
                  </w:pPr>
                  <w:r>
                    <w:rPr>
                      <w:rFonts w:hint="eastAsia" w:eastAsia="宋体"/>
                      <w:color w:val="000000"/>
                      <w:kern w:val="0"/>
                      <w:sz w:val="20"/>
                      <w:lang w:val="en-US" w:eastAsia="zh-CN"/>
                    </w:rPr>
                    <w:t>农村综合改革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96.42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96.42</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val="en-US" w:eastAsia="zh-CN"/>
                    </w:rPr>
                  </w:pPr>
                  <w:r>
                    <w:rPr>
                      <w:rFonts w:hint="eastAsia" w:eastAsia="宋体"/>
                      <w:color w:val="000000"/>
                      <w:kern w:val="0"/>
                      <w:sz w:val="20"/>
                      <w:lang w:val="en-US" w:eastAsia="zh-CN"/>
                    </w:rPr>
                    <w:t>对村民委员会和村党支部的补助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96.42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96.42</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五.住房保障支出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42.26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670.47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574.05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534.69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right" w:pos="1671"/>
                    </w:tabs>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96.42</w:t>
                  </w:r>
                </w:p>
              </w:tc>
            </w:tr>
            <w:tr>
              <w:tblPrEx>
                <w:tblCellMar>
                  <w:top w:w="15" w:type="dxa"/>
                  <w:left w:w="15" w:type="dxa"/>
                  <w:bottom w:w="15" w:type="dxa"/>
                  <w:right w:w="15" w:type="dxa"/>
                </w:tblCellMar>
              </w:tblPrEx>
              <w:trPr>
                <w:trHeight w:val="330" w:hRule="atLeast"/>
              </w:trPr>
              <w:tc>
                <w:tcPr>
                  <w:tcW w:w="0" w:type="auto"/>
                </w:tcPr>
                <w:p>
                  <w:pPr>
                    <w:widowControl/>
                    <w:jc w:val="center"/>
                    <w:rPr>
                      <w:rFonts w:eastAsia="宋体"/>
                      <w:color w:val="000000"/>
                      <w:kern w:val="0"/>
                      <w:sz w:val="20"/>
                    </w:rPr>
                  </w:pPr>
                </w:p>
              </w:tc>
              <w:tc>
                <w:tcPr>
                  <w:tcW w:w="0" w:type="auto"/>
                </w:tcPr>
                <w:p>
                  <w:pPr>
                    <w:widowControl/>
                    <w:jc w:val="right"/>
                    <w:rPr>
                      <w:rFonts w:eastAsia="宋体"/>
                      <w:color w:val="000000"/>
                      <w:kern w:val="0"/>
                      <w:sz w:val="20"/>
                    </w:rPr>
                  </w:pPr>
                </w:p>
              </w:tc>
              <w:tc>
                <w:tcPr>
                  <w:tcW w:w="0" w:type="auto"/>
                </w:tcPr>
                <w:p>
                  <w:pPr>
                    <w:widowControl/>
                    <w:jc w:val="right"/>
                    <w:rPr>
                      <w:rFonts w:eastAsia="宋体"/>
                      <w:color w:val="000000"/>
                      <w:kern w:val="0"/>
                      <w:sz w:val="20"/>
                    </w:rPr>
                  </w:pPr>
                </w:p>
              </w:tc>
              <w:tc>
                <w:tcPr>
                  <w:tcW w:w="0" w:type="auto"/>
                </w:tcPr>
                <w:p>
                  <w:pPr>
                    <w:widowControl/>
                    <w:jc w:val="right"/>
                    <w:rPr>
                      <w:rFonts w:eastAsia="宋体"/>
                      <w:color w:val="000000"/>
                      <w:kern w:val="0"/>
                      <w:sz w:val="20"/>
                    </w:rPr>
                  </w:pPr>
                </w:p>
              </w:tc>
              <w:tc>
                <w:tcPr>
                  <w:tcW w:w="1134" w:type="dxa"/>
                </w:tcPr>
                <w:p>
                  <w:pPr>
                    <w:widowControl/>
                    <w:jc w:val="right"/>
                    <w:rPr>
                      <w:rFonts w:eastAsia="宋体"/>
                      <w:color w:val="000000"/>
                      <w:kern w:val="0"/>
                      <w:sz w:val="20"/>
                    </w:rPr>
                  </w:pPr>
                </w:p>
              </w:tc>
              <w:tc>
                <w:tcPr>
                  <w:tcW w:w="1701" w:type="dxa"/>
                  <w:vAlign w:val="center"/>
                </w:tcPr>
                <w:p>
                  <w:pPr>
                    <w:widowControl/>
                    <w:jc w:val="both"/>
                    <w:rPr>
                      <w:rFonts w:hint="default" w:ascii="Times New Roman" w:hAnsi="Times New Roman" w:eastAsia="宋体" w:cs="Times New Roman"/>
                      <w:color w:val="000000"/>
                      <w:kern w:val="0"/>
                      <w:sz w:val="20"/>
                      <w:lang w:val="en-US" w:eastAsia="zh-CN" w:bidi="ar-SA"/>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529.57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529.57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191.11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191.11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39.91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39.91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60.69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60.69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val="en-US" w:eastAsia="zh-CN"/>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14.83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14.83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val="en-US"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24.28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24.28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hint="eastAsia" w:eastAsia="宋体"/>
                <w:color w:val="000000"/>
                <w:sz w:val="20"/>
                <w:lang w:val="en-US" w:eastAsia="zh-CN"/>
              </w:rPr>
            </w:pPr>
            <w:r>
              <w:rPr>
                <w:rFonts w:hint="eastAsia" w:eastAsia="宋体"/>
                <w:color w:val="000000"/>
                <w:sz w:val="20"/>
                <w:lang w:val="en-US" w:eastAsia="zh-CN"/>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3.42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3.42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2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val="en-US" w:eastAsia="zh-CN"/>
              </w:rPr>
              <w:t>住房公积金</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42.26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highlight w:val="none"/>
                <w:lang w:val="en-US" w:eastAsia="zh-CN"/>
              </w:rPr>
              <w:t>42.26</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4.84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4.84</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绩效工资</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108.23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108.23</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39.36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pPr>
            <w:r>
              <w:rPr>
                <w:rFonts w:hint="eastAsia" w:eastAsia="宋体"/>
                <w:kern w:val="0"/>
                <w:sz w:val="20"/>
                <w:lang w:val="en-US" w:eastAsia="zh-CN"/>
              </w:rPr>
              <w:t>39.36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7.2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7.2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lang w:val="en-US" w:eastAsia="zh-CN"/>
              </w:rPr>
              <w:t>印刷费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4.6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劳务费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r>
              <w:rPr>
                <w:rFonts w:hint="eastAsia" w:eastAsia="宋体"/>
                <w:kern w:val="0"/>
                <w:sz w:val="20"/>
                <w:lang w:val="en-US" w:eastAsia="zh-CN"/>
              </w:rPr>
              <w:t>9</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imes New Roman" w:hAnsi="Times New Roman" w:eastAsia="宋体" w:cs="Times New Roman"/>
                <w:kern w:val="0"/>
                <w:sz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9</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取暖费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维修（护）费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4.36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4.36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委托业务费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2.2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三、</w:t>
            </w:r>
            <w:r>
              <w:rPr>
                <w:rFonts w:hint="eastAsia" w:eastAsia="宋体"/>
                <w:b w:val="0"/>
                <w:bCs w:val="0"/>
                <w:kern w:val="0"/>
                <w:sz w:val="20"/>
                <w:lang w:val="en-US" w:eastAsia="zh-CN"/>
              </w:rPr>
              <w:t>对个人和家庭补助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r>
              <w:rPr>
                <w:rFonts w:hint="eastAsia" w:eastAsia="宋体"/>
                <w:kern w:val="0"/>
                <w:sz w:val="20"/>
                <w:lang w:val="en-US" w:eastAsia="zh-CN"/>
              </w:rPr>
              <w:t>5.12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lang w:val="en-US"/>
              </w:rPr>
            </w:pPr>
            <w:r>
              <w:rPr>
                <w:rFonts w:hint="eastAsia" w:eastAsia="宋体"/>
                <w:kern w:val="0"/>
                <w:sz w:val="20"/>
                <w:lang w:val="en-US" w:eastAsia="zh-CN"/>
              </w:rPr>
              <w:t>5.12</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eastAsia="宋体"/>
                <w:color w:val="000000"/>
                <w:sz w:val="20"/>
              </w:rPr>
            </w:pPr>
          </w:p>
          <w:p>
            <w:pPr>
              <w:bidi w:val="0"/>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4.27</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4.27</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bidi w:val="0"/>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生活补助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0.85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0.85</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bidi w:val="0"/>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四、资本性支出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r>
              <w:rPr>
                <w:rFonts w:hint="eastAsia" w:eastAsia="宋体"/>
                <w:kern w:val="0"/>
                <w:sz w:val="20"/>
                <w:lang w:val="en-US" w:eastAsia="zh-CN"/>
              </w:rPr>
              <w:t>0.85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pPr>
            <w:r>
              <w:rPr>
                <w:rFonts w:hint="eastAsia" w:eastAsia="宋体"/>
                <w:kern w:val="0"/>
                <w:sz w:val="20"/>
                <w:lang w:val="en-US" w:eastAsia="zh-CN"/>
              </w:rPr>
              <w:t>0.85</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9114" w:type="dxa"/>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color w:val="000000"/>
                <w:kern w:val="0"/>
                <w:sz w:val="20"/>
                <w:lang w:val="en-US" w:eastAsia="zh-CN" w:bidi="ar-SA"/>
              </w:rPr>
            </w:pPr>
            <w:r>
              <w:rPr>
                <w:rFonts w:eastAsia="宋体"/>
                <w:color w:val="000000"/>
                <w:kern w:val="0"/>
                <w:sz w:val="20"/>
              </w:rPr>
              <w:t>　</w:t>
            </w:r>
            <w:r>
              <w:rPr>
                <w:rFonts w:hint="eastAsia" w:eastAsia="宋体"/>
                <w:color w:val="000000"/>
                <w:kern w:val="0"/>
                <w:sz w:val="20"/>
                <w:lang w:val="en-US" w:eastAsia="zh-CN"/>
              </w:rPr>
              <w:t>0</w:t>
            </w:r>
          </w:p>
        </w:tc>
        <w:tc>
          <w:tcPr>
            <w:tcW w:w="1307"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0</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54</w:t>
            </w:r>
            <w:r>
              <w:rPr>
                <w:rFonts w:eastAsia="宋体"/>
                <w:color w:val="000000"/>
                <w:kern w:val="0"/>
                <w:sz w:val="28"/>
                <w:szCs w:val="28"/>
                <w:u w:val="single"/>
              </w:rPr>
              <w:t xml:space="preserve"> </w:t>
            </w:r>
            <w:r>
              <w:rPr>
                <w:color w:val="000000"/>
                <w:kern w:val="0"/>
                <w:sz w:val="28"/>
                <w:szCs w:val="28"/>
              </w:rPr>
              <w:t>人，其中：在职人员</w:t>
            </w:r>
            <w:r>
              <w:rPr>
                <w:rFonts w:hint="eastAsia"/>
                <w:i w:val="0"/>
                <w:iCs w:val="0"/>
                <w:color w:val="000000"/>
                <w:kern w:val="0"/>
                <w:sz w:val="28"/>
                <w:szCs w:val="28"/>
                <w:u w:val="single"/>
                <w:lang w:val="en-US" w:eastAsia="zh-CN"/>
              </w:rPr>
              <w:t>41</w:t>
            </w:r>
            <w:r>
              <w:rPr>
                <w:rFonts w:eastAsia="宋体"/>
                <w:i w:val="0"/>
                <w:iCs w:val="0"/>
                <w:color w:val="000000"/>
                <w:kern w:val="0"/>
                <w:sz w:val="28"/>
                <w:szCs w:val="28"/>
                <w:u w:val="single"/>
              </w:rPr>
              <w:t xml:space="preserve"> </w:t>
            </w:r>
            <w:r>
              <w:rPr>
                <w:rFonts w:eastAsia="宋体"/>
                <w:color w:val="000000"/>
                <w:kern w:val="0"/>
                <w:sz w:val="28"/>
                <w:szCs w:val="28"/>
                <w:u w:val="single"/>
              </w:rPr>
              <w:t xml:space="preserve"> </w:t>
            </w:r>
            <w:r>
              <w:rPr>
                <w:color w:val="000000"/>
                <w:kern w:val="0"/>
                <w:sz w:val="28"/>
                <w:szCs w:val="28"/>
              </w:rPr>
              <w:t>人，离退休人员</w:t>
            </w:r>
            <w:r>
              <w:rPr>
                <w:rFonts w:hint="eastAsia"/>
                <w:color w:val="000000"/>
                <w:kern w:val="0"/>
                <w:sz w:val="28"/>
                <w:szCs w:val="28"/>
                <w:u w:val="single"/>
                <w:lang w:val="en-US" w:eastAsia="zh-CN"/>
              </w:rPr>
              <w:t>13</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790"/>
        <w:gridCol w:w="824"/>
        <w:gridCol w:w="324"/>
        <w:gridCol w:w="676"/>
        <w:gridCol w:w="236"/>
        <w:gridCol w:w="532"/>
        <w:gridCol w:w="438"/>
        <w:gridCol w:w="160"/>
        <w:gridCol w:w="283"/>
        <w:gridCol w:w="160"/>
        <w:gridCol w:w="265"/>
        <w:gridCol w:w="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0" w:type="dxa"/>
          <w:trHeight w:val="886" w:hRule="atLeast"/>
          <w:jc w:val="center"/>
        </w:trPr>
        <w:tc>
          <w:tcPr>
            <w:tcW w:w="8481" w:type="dxa"/>
            <w:gridSpan w:val="15"/>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0" w:type="dxa"/>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790"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824"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074" w:type="dxa"/>
            <w:gridSpan w:val="7"/>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0" w:type="dxa"/>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790"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82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206"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gridSpan w:val="2"/>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790" w:type="dxa"/>
            <w:vMerge w:val="continue"/>
            <w:noWrap w:val="0"/>
            <w:vAlign w:val="center"/>
          </w:tcPr>
          <w:p>
            <w:pPr>
              <w:autoSpaceDN w:val="0"/>
              <w:jc w:val="center"/>
              <w:textAlignment w:val="center"/>
              <w:rPr>
                <w:rFonts w:ascii="Calibri" w:hAnsi="Calibri" w:eastAsia="华文细黑"/>
                <w:color w:val="000000"/>
                <w:sz w:val="20"/>
                <w:szCs w:val="22"/>
              </w:rPr>
            </w:pPr>
          </w:p>
        </w:tc>
        <w:tc>
          <w:tcPr>
            <w:tcW w:w="82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32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676"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236"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gridSpan w:val="2"/>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gridSpan w:val="2"/>
            <w:noWrap w:val="0"/>
            <w:vAlign w:val="center"/>
          </w:tcPr>
          <w:p>
            <w:pPr>
              <w:autoSpaceDN w:val="0"/>
              <w:jc w:val="center"/>
              <w:textAlignment w:val="center"/>
              <w:rPr>
                <w:rFonts w:hint="eastAsia" w:ascii="宋体" w:hAnsi="宋体" w:eastAsia="宋体" w:cs="宋体"/>
                <w:color w:val="000000"/>
                <w:sz w:val="20"/>
                <w:szCs w:val="22"/>
              </w:rPr>
            </w:pPr>
          </w:p>
        </w:tc>
        <w:tc>
          <w:tcPr>
            <w:tcW w:w="425" w:type="dxa"/>
            <w:gridSpan w:val="2"/>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1" w:hRule="exact"/>
          <w:jc w:val="center"/>
        </w:trPr>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Calibri" w:hAnsi="Calibri" w:eastAsia="楷体" w:cs="Times New Roman"/>
                <w:kern w:val="0"/>
                <w:sz w:val="18"/>
                <w:szCs w:val="18"/>
                <w:lang w:val="en-US" w:eastAsia="zh-CN" w:bidi="ar-SA"/>
              </w:rPr>
            </w:pPr>
            <w:r>
              <w:rPr>
                <w:rFonts w:hint="eastAsia" w:ascii="宋体" w:hAnsi="宋体" w:eastAsia="宋体" w:cs="宋体"/>
                <w:kern w:val="0"/>
                <w:sz w:val="18"/>
                <w:szCs w:val="18"/>
                <w:lang w:val="en-US" w:eastAsia="zh-CN"/>
              </w:rPr>
              <w:t>专项业务支出</w:t>
            </w:r>
          </w:p>
        </w:tc>
        <w:tc>
          <w:tcPr>
            <w:tcW w:w="106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Calibri" w:hAnsi="Calibri" w:eastAsia="楷体" w:cs="Times New Roman"/>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rPr>
              <w:t>新兴乡2023年全年村级组织运转经费资金</w:t>
            </w:r>
          </w:p>
        </w:tc>
        <w:tc>
          <w:tcPr>
            <w:tcW w:w="110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Calibri" w:hAnsi="Calibri" w:eastAsia="楷体" w:cs="Times New Roman"/>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rPr>
              <w:t>新兴乡2023年全年村级组织运转经费资金</w:t>
            </w:r>
          </w:p>
        </w:tc>
        <w:tc>
          <w:tcPr>
            <w:tcW w:w="86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Calibri" w:hAnsi="Calibri" w:eastAsia="楷体" w:cs="Times New Roman"/>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rPr>
              <w:t>通榆县新兴乡综合服务中心</w:t>
            </w:r>
          </w:p>
        </w:tc>
        <w:tc>
          <w:tcPr>
            <w:tcW w:w="790" w:type="dxa"/>
            <w:noWrap w:val="0"/>
            <w:vAlign w:val="center"/>
          </w:tcPr>
          <w:p>
            <w:pPr>
              <w:spacing w:line="700" w:lineRule="exact"/>
              <w:jc w:val="both"/>
              <w:rPr>
                <w:rFonts w:hint="default" w:ascii="Calibri" w:hAnsi="Calibri" w:eastAsia="楷体"/>
                <w:kern w:val="0"/>
                <w:sz w:val="18"/>
                <w:szCs w:val="18"/>
                <w:lang w:val="en-US" w:eastAsia="zh-CN"/>
              </w:rPr>
            </w:pPr>
            <w:r>
              <w:rPr>
                <w:rFonts w:hint="eastAsia" w:ascii="Calibri" w:hAnsi="Calibri" w:eastAsia="楷体"/>
                <w:kern w:val="0"/>
                <w:sz w:val="18"/>
                <w:szCs w:val="18"/>
                <w:lang w:val="en-US" w:eastAsia="zh-CN"/>
              </w:rPr>
              <w:t>96.42</w:t>
            </w:r>
          </w:p>
        </w:tc>
        <w:tc>
          <w:tcPr>
            <w:tcW w:w="824" w:type="dxa"/>
            <w:noWrap w:val="0"/>
            <w:vAlign w:val="center"/>
          </w:tcPr>
          <w:p>
            <w:pPr>
              <w:spacing w:line="700" w:lineRule="exact"/>
              <w:jc w:val="both"/>
              <w:rPr>
                <w:rFonts w:hint="default" w:ascii="Calibri" w:hAnsi="Calibri" w:eastAsia="楷体" w:cs="Times New Roman"/>
                <w:kern w:val="0"/>
                <w:sz w:val="18"/>
                <w:szCs w:val="18"/>
                <w:lang w:val="en-US" w:eastAsia="zh-CN" w:bidi="ar-SA"/>
              </w:rPr>
            </w:pPr>
            <w:r>
              <w:rPr>
                <w:rFonts w:hint="eastAsia" w:ascii="Calibri" w:hAnsi="Calibri" w:eastAsia="楷体"/>
                <w:kern w:val="0"/>
                <w:sz w:val="18"/>
                <w:szCs w:val="18"/>
                <w:lang w:val="en-US" w:eastAsia="zh-CN"/>
              </w:rPr>
              <w:t>96.42</w:t>
            </w:r>
          </w:p>
        </w:tc>
        <w:tc>
          <w:tcPr>
            <w:tcW w:w="324" w:type="dxa"/>
            <w:noWrap w:val="0"/>
            <w:vAlign w:val="center"/>
          </w:tcPr>
          <w:p>
            <w:pPr>
              <w:spacing w:line="700" w:lineRule="exact"/>
              <w:jc w:val="center"/>
              <w:rPr>
                <w:rFonts w:ascii="Calibri" w:hAnsi="Calibri" w:eastAsia="楷体"/>
                <w:kern w:val="0"/>
                <w:szCs w:val="32"/>
              </w:rPr>
            </w:pPr>
          </w:p>
        </w:tc>
        <w:tc>
          <w:tcPr>
            <w:tcW w:w="676" w:type="dxa"/>
            <w:noWrap w:val="0"/>
            <w:vAlign w:val="center"/>
          </w:tcPr>
          <w:p>
            <w:pPr>
              <w:spacing w:line="700" w:lineRule="exact"/>
              <w:jc w:val="center"/>
              <w:rPr>
                <w:rFonts w:ascii="Calibri" w:hAnsi="Calibri" w:eastAsia="楷体"/>
                <w:kern w:val="0"/>
                <w:szCs w:val="32"/>
              </w:rPr>
            </w:pPr>
          </w:p>
        </w:tc>
        <w:tc>
          <w:tcPr>
            <w:tcW w:w="236"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gridSpan w:val="2"/>
            <w:noWrap w:val="0"/>
            <w:vAlign w:val="center"/>
          </w:tcPr>
          <w:p>
            <w:pPr>
              <w:spacing w:line="700" w:lineRule="exact"/>
              <w:jc w:val="center"/>
              <w:rPr>
                <w:rFonts w:ascii="Calibri" w:hAnsi="Calibri" w:eastAsia="楷体"/>
                <w:kern w:val="0"/>
                <w:szCs w:val="32"/>
              </w:rPr>
            </w:pPr>
          </w:p>
        </w:tc>
        <w:tc>
          <w:tcPr>
            <w:tcW w:w="443" w:type="dxa"/>
            <w:gridSpan w:val="2"/>
            <w:noWrap w:val="0"/>
            <w:vAlign w:val="center"/>
          </w:tcPr>
          <w:p>
            <w:pPr>
              <w:spacing w:line="700" w:lineRule="exact"/>
              <w:jc w:val="center"/>
              <w:rPr>
                <w:rFonts w:ascii="Calibri" w:hAnsi="Calibri" w:eastAsia="楷体"/>
                <w:kern w:val="0"/>
                <w:szCs w:val="32"/>
              </w:rPr>
            </w:pPr>
          </w:p>
        </w:tc>
        <w:tc>
          <w:tcPr>
            <w:tcW w:w="425" w:type="dxa"/>
            <w:gridSpan w:val="2"/>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 w:val="18"/>
                <w:szCs w:val="18"/>
              </w:rPr>
            </w:pPr>
          </w:p>
        </w:tc>
        <w:tc>
          <w:tcPr>
            <w:tcW w:w="1063" w:type="dxa"/>
            <w:noWrap w:val="0"/>
            <w:vAlign w:val="center"/>
          </w:tcPr>
          <w:p>
            <w:pPr>
              <w:spacing w:line="700" w:lineRule="exact"/>
              <w:jc w:val="center"/>
              <w:rPr>
                <w:rFonts w:ascii="Calibri" w:hAnsi="Calibri" w:eastAsia="楷体"/>
                <w:kern w:val="0"/>
                <w:sz w:val="18"/>
                <w:szCs w:val="18"/>
              </w:rPr>
            </w:pPr>
          </w:p>
        </w:tc>
        <w:tc>
          <w:tcPr>
            <w:tcW w:w="1107" w:type="dxa"/>
            <w:noWrap w:val="0"/>
            <w:vAlign w:val="center"/>
          </w:tcPr>
          <w:p>
            <w:pPr>
              <w:spacing w:line="700" w:lineRule="exact"/>
              <w:jc w:val="center"/>
              <w:rPr>
                <w:rFonts w:ascii="Calibri" w:hAnsi="Calibri" w:eastAsia="楷体"/>
                <w:kern w:val="0"/>
                <w:sz w:val="18"/>
                <w:szCs w:val="18"/>
              </w:rPr>
            </w:pPr>
          </w:p>
        </w:tc>
        <w:tc>
          <w:tcPr>
            <w:tcW w:w="864" w:type="dxa"/>
            <w:noWrap w:val="0"/>
            <w:vAlign w:val="center"/>
          </w:tcPr>
          <w:p>
            <w:pPr>
              <w:spacing w:line="700" w:lineRule="exact"/>
              <w:jc w:val="center"/>
              <w:rPr>
                <w:rFonts w:ascii="Calibri" w:hAnsi="Calibri" w:eastAsia="楷体"/>
                <w:kern w:val="0"/>
                <w:sz w:val="18"/>
                <w:szCs w:val="18"/>
              </w:rPr>
            </w:pPr>
          </w:p>
        </w:tc>
        <w:tc>
          <w:tcPr>
            <w:tcW w:w="790" w:type="dxa"/>
            <w:noWrap w:val="0"/>
            <w:vAlign w:val="center"/>
          </w:tcPr>
          <w:p>
            <w:pPr>
              <w:spacing w:line="700" w:lineRule="exact"/>
              <w:jc w:val="center"/>
              <w:rPr>
                <w:rFonts w:ascii="Calibri" w:hAnsi="Calibri" w:eastAsia="楷体"/>
                <w:kern w:val="0"/>
                <w:sz w:val="18"/>
                <w:szCs w:val="18"/>
              </w:rPr>
            </w:pPr>
          </w:p>
        </w:tc>
        <w:tc>
          <w:tcPr>
            <w:tcW w:w="824" w:type="dxa"/>
            <w:noWrap w:val="0"/>
            <w:vAlign w:val="center"/>
          </w:tcPr>
          <w:p>
            <w:pPr>
              <w:spacing w:line="700" w:lineRule="exact"/>
              <w:jc w:val="center"/>
              <w:rPr>
                <w:rFonts w:ascii="Calibri" w:hAnsi="Calibri" w:eastAsia="楷体"/>
                <w:kern w:val="0"/>
                <w:sz w:val="18"/>
                <w:szCs w:val="18"/>
              </w:rPr>
            </w:pPr>
          </w:p>
        </w:tc>
        <w:tc>
          <w:tcPr>
            <w:tcW w:w="324" w:type="dxa"/>
            <w:noWrap w:val="0"/>
            <w:vAlign w:val="center"/>
          </w:tcPr>
          <w:p>
            <w:pPr>
              <w:spacing w:line="700" w:lineRule="exact"/>
              <w:jc w:val="center"/>
              <w:rPr>
                <w:rFonts w:ascii="Calibri" w:hAnsi="Calibri" w:eastAsia="楷体"/>
                <w:kern w:val="0"/>
                <w:szCs w:val="32"/>
              </w:rPr>
            </w:pPr>
          </w:p>
        </w:tc>
        <w:tc>
          <w:tcPr>
            <w:tcW w:w="676" w:type="dxa"/>
            <w:noWrap w:val="0"/>
            <w:vAlign w:val="center"/>
          </w:tcPr>
          <w:p>
            <w:pPr>
              <w:spacing w:line="700" w:lineRule="exact"/>
              <w:jc w:val="center"/>
              <w:rPr>
                <w:rFonts w:ascii="Calibri" w:hAnsi="Calibri" w:eastAsia="楷体"/>
                <w:kern w:val="0"/>
                <w:szCs w:val="32"/>
              </w:rPr>
            </w:pPr>
          </w:p>
        </w:tc>
        <w:tc>
          <w:tcPr>
            <w:tcW w:w="236"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gridSpan w:val="2"/>
            <w:noWrap w:val="0"/>
            <w:vAlign w:val="center"/>
          </w:tcPr>
          <w:p>
            <w:pPr>
              <w:spacing w:line="700" w:lineRule="exact"/>
              <w:jc w:val="center"/>
              <w:rPr>
                <w:rFonts w:ascii="Calibri" w:hAnsi="Calibri" w:eastAsia="楷体"/>
                <w:kern w:val="0"/>
                <w:szCs w:val="32"/>
              </w:rPr>
            </w:pPr>
          </w:p>
        </w:tc>
        <w:tc>
          <w:tcPr>
            <w:tcW w:w="443" w:type="dxa"/>
            <w:gridSpan w:val="2"/>
            <w:noWrap w:val="0"/>
            <w:vAlign w:val="center"/>
          </w:tcPr>
          <w:p>
            <w:pPr>
              <w:spacing w:line="700" w:lineRule="exact"/>
              <w:jc w:val="center"/>
              <w:rPr>
                <w:rFonts w:ascii="Calibri" w:hAnsi="Calibri" w:eastAsia="楷体"/>
                <w:kern w:val="0"/>
                <w:szCs w:val="32"/>
              </w:rPr>
            </w:pPr>
          </w:p>
        </w:tc>
        <w:tc>
          <w:tcPr>
            <w:tcW w:w="425" w:type="dxa"/>
            <w:gridSpan w:val="2"/>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 w:val="18"/>
                <w:szCs w:val="18"/>
              </w:rPr>
            </w:pPr>
          </w:p>
        </w:tc>
        <w:tc>
          <w:tcPr>
            <w:tcW w:w="1063" w:type="dxa"/>
            <w:noWrap w:val="0"/>
            <w:vAlign w:val="center"/>
          </w:tcPr>
          <w:p>
            <w:pPr>
              <w:spacing w:line="700" w:lineRule="exact"/>
              <w:jc w:val="center"/>
              <w:rPr>
                <w:rFonts w:ascii="Calibri" w:hAnsi="Calibri" w:eastAsia="楷体"/>
                <w:kern w:val="0"/>
                <w:sz w:val="18"/>
                <w:szCs w:val="18"/>
              </w:rPr>
            </w:pPr>
          </w:p>
        </w:tc>
        <w:tc>
          <w:tcPr>
            <w:tcW w:w="1107" w:type="dxa"/>
            <w:noWrap w:val="0"/>
            <w:vAlign w:val="center"/>
          </w:tcPr>
          <w:p>
            <w:pPr>
              <w:spacing w:line="700" w:lineRule="exact"/>
              <w:jc w:val="center"/>
              <w:rPr>
                <w:rFonts w:ascii="Calibri" w:hAnsi="Calibri" w:eastAsia="楷体"/>
                <w:kern w:val="0"/>
                <w:sz w:val="18"/>
                <w:szCs w:val="18"/>
              </w:rPr>
            </w:pPr>
          </w:p>
        </w:tc>
        <w:tc>
          <w:tcPr>
            <w:tcW w:w="864" w:type="dxa"/>
            <w:noWrap w:val="0"/>
            <w:vAlign w:val="center"/>
          </w:tcPr>
          <w:p>
            <w:pPr>
              <w:spacing w:line="700" w:lineRule="exact"/>
              <w:jc w:val="center"/>
              <w:rPr>
                <w:rFonts w:ascii="Calibri" w:hAnsi="Calibri" w:eastAsia="楷体"/>
                <w:kern w:val="0"/>
                <w:sz w:val="18"/>
                <w:szCs w:val="18"/>
              </w:rPr>
            </w:pPr>
          </w:p>
        </w:tc>
        <w:tc>
          <w:tcPr>
            <w:tcW w:w="790" w:type="dxa"/>
            <w:noWrap w:val="0"/>
            <w:vAlign w:val="center"/>
          </w:tcPr>
          <w:p>
            <w:pPr>
              <w:spacing w:line="700" w:lineRule="exact"/>
              <w:jc w:val="center"/>
              <w:rPr>
                <w:rFonts w:ascii="Calibri" w:hAnsi="Calibri" w:eastAsia="楷体"/>
                <w:kern w:val="0"/>
                <w:sz w:val="18"/>
                <w:szCs w:val="18"/>
              </w:rPr>
            </w:pPr>
          </w:p>
        </w:tc>
        <w:tc>
          <w:tcPr>
            <w:tcW w:w="824" w:type="dxa"/>
            <w:noWrap w:val="0"/>
            <w:vAlign w:val="center"/>
          </w:tcPr>
          <w:p>
            <w:pPr>
              <w:spacing w:line="700" w:lineRule="exact"/>
              <w:jc w:val="center"/>
              <w:rPr>
                <w:rFonts w:ascii="Calibri" w:hAnsi="Calibri" w:eastAsia="楷体"/>
                <w:kern w:val="0"/>
                <w:sz w:val="18"/>
                <w:szCs w:val="18"/>
              </w:rPr>
            </w:pPr>
          </w:p>
        </w:tc>
        <w:tc>
          <w:tcPr>
            <w:tcW w:w="324" w:type="dxa"/>
            <w:noWrap w:val="0"/>
            <w:vAlign w:val="center"/>
          </w:tcPr>
          <w:p>
            <w:pPr>
              <w:spacing w:line="700" w:lineRule="exact"/>
              <w:jc w:val="center"/>
              <w:rPr>
                <w:rFonts w:ascii="Calibri" w:hAnsi="Calibri" w:eastAsia="楷体"/>
                <w:kern w:val="0"/>
                <w:szCs w:val="32"/>
              </w:rPr>
            </w:pPr>
          </w:p>
        </w:tc>
        <w:tc>
          <w:tcPr>
            <w:tcW w:w="676" w:type="dxa"/>
            <w:noWrap w:val="0"/>
            <w:vAlign w:val="center"/>
          </w:tcPr>
          <w:p>
            <w:pPr>
              <w:spacing w:line="700" w:lineRule="exact"/>
              <w:jc w:val="center"/>
              <w:rPr>
                <w:rFonts w:ascii="Calibri" w:hAnsi="Calibri" w:eastAsia="楷体"/>
                <w:kern w:val="0"/>
                <w:szCs w:val="32"/>
              </w:rPr>
            </w:pPr>
          </w:p>
        </w:tc>
        <w:tc>
          <w:tcPr>
            <w:tcW w:w="236"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gridSpan w:val="2"/>
            <w:noWrap w:val="0"/>
            <w:vAlign w:val="center"/>
          </w:tcPr>
          <w:p>
            <w:pPr>
              <w:spacing w:line="700" w:lineRule="exact"/>
              <w:jc w:val="center"/>
              <w:rPr>
                <w:rFonts w:ascii="Calibri" w:hAnsi="Calibri" w:eastAsia="楷体"/>
                <w:kern w:val="0"/>
                <w:szCs w:val="32"/>
              </w:rPr>
            </w:pPr>
          </w:p>
        </w:tc>
        <w:tc>
          <w:tcPr>
            <w:tcW w:w="443" w:type="dxa"/>
            <w:gridSpan w:val="2"/>
            <w:noWrap w:val="0"/>
            <w:vAlign w:val="center"/>
          </w:tcPr>
          <w:p>
            <w:pPr>
              <w:spacing w:line="700" w:lineRule="exact"/>
              <w:jc w:val="center"/>
              <w:rPr>
                <w:rFonts w:ascii="Calibri" w:hAnsi="Calibri" w:eastAsia="楷体"/>
                <w:kern w:val="0"/>
                <w:szCs w:val="32"/>
              </w:rPr>
            </w:pPr>
          </w:p>
        </w:tc>
        <w:tc>
          <w:tcPr>
            <w:tcW w:w="425" w:type="dxa"/>
            <w:gridSpan w:val="2"/>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 w:val="18"/>
                <w:szCs w:val="18"/>
              </w:rPr>
            </w:pPr>
          </w:p>
        </w:tc>
        <w:tc>
          <w:tcPr>
            <w:tcW w:w="1063" w:type="dxa"/>
            <w:noWrap w:val="0"/>
            <w:vAlign w:val="center"/>
          </w:tcPr>
          <w:p>
            <w:pPr>
              <w:spacing w:line="700" w:lineRule="exact"/>
              <w:jc w:val="center"/>
              <w:rPr>
                <w:rFonts w:ascii="Calibri" w:hAnsi="Calibri" w:eastAsia="楷体"/>
                <w:kern w:val="0"/>
                <w:sz w:val="18"/>
                <w:szCs w:val="18"/>
              </w:rPr>
            </w:pPr>
          </w:p>
        </w:tc>
        <w:tc>
          <w:tcPr>
            <w:tcW w:w="1107" w:type="dxa"/>
            <w:noWrap w:val="0"/>
            <w:vAlign w:val="center"/>
          </w:tcPr>
          <w:p>
            <w:pPr>
              <w:spacing w:line="700" w:lineRule="exact"/>
              <w:jc w:val="center"/>
              <w:rPr>
                <w:rFonts w:ascii="Calibri" w:hAnsi="Calibri" w:eastAsia="楷体"/>
                <w:kern w:val="0"/>
                <w:sz w:val="18"/>
                <w:szCs w:val="18"/>
              </w:rPr>
            </w:pPr>
          </w:p>
        </w:tc>
        <w:tc>
          <w:tcPr>
            <w:tcW w:w="864" w:type="dxa"/>
            <w:noWrap w:val="0"/>
            <w:vAlign w:val="center"/>
          </w:tcPr>
          <w:p>
            <w:pPr>
              <w:spacing w:line="700" w:lineRule="exact"/>
              <w:jc w:val="center"/>
              <w:rPr>
                <w:rFonts w:ascii="Calibri" w:hAnsi="Calibri" w:eastAsia="楷体"/>
                <w:kern w:val="0"/>
                <w:sz w:val="18"/>
                <w:szCs w:val="18"/>
              </w:rPr>
            </w:pPr>
          </w:p>
        </w:tc>
        <w:tc>
          <w:tcPr>
            <w:tcW w:w="790" w:type="dxa"/>
            <w:noWrap w:val="0"/>
            <w:vAlign w:val="center"/>
          </w:tcPr>
          <w:p>
            <w:pPr>
              <w:spacing w:line="700" w:lineRule="exact"/>
              <w:jc w:val="center"/>
              <w:rPr>
                <w:rFonts w:ascii="Calibri" w:hAnsi="Calibri" w:eastAsia="楷体"/>
                <w:kern w:val="0"/>
                <w:sz w:val="18"/>
                <w:szCs w:val="18"/>
              </w:rPr>
            </w:pPr>
          </w:p>
        </w:tc>
        <w:tc>
          <w:tcPr>
            <w:tcW w:w="824" w:type="dxa"/>
            <w:noWrap w:val="0"/>
            <w:vAlign w:val="center"/>
          </w:tcPr>
          <w:p>
            <w:pPr>
              <w:spacing w:line="700" w:lineRule="exact"/>
              <w:jc w:val="center"/>
              <w:rPr>
                <w:rFonts w:ascii="Calibri" w:hAnsi="Calibri" w:eastAsia="楷体"/>
                <w:kern w:val="0"/>
                <w:sz w:val="18"/>
                <w:szCs w:val="18"/>
              </w:rPr>
            </w:pPr>
          </w:p>
        </w:tc>
        <w:tc>
          <w:tcPr>
            <w:tcW w:w="324" w:type="dxa"/>
            <w:noWrap w:val="0"/>
            <w:vAlign w:val="center"/>
          </w:tcPr>
          <w:p>
            <w:pPr>
              <w:spacing w:line="700" w:lineRule="exact"/>
              <w:jc w:val="center"/>
              <w:rPr>
                <w:rFonts w:ascii="Calibri" w:hAnsi="Calibri" w:eastAsia="楷体"/>
                <w:kern w:val="0"/>
                <w:szCs w:val="32"/>
              </w:rPr>
            </w:pPr>
          </w:p>
        </w:tc>
        <w:tc>
          <w:tcPr>
            <w:tcW w:w="676" w:type="dxa"/>
            <w:noWrap w:val="0"/>
            <w:vAlign w:val="center"/>
          </w:tcPr>
          <w:p>
            <w:pPr>
              <w:spacing w:line="700" w:lineRule="exact"/>
              <w:jc w:val="center"/>
              <w:rPr>
                <w:rFonts w:ascii="Calibri" w:hAnsi="Calibri" w:eastAsia="楷体"/>
                <w:kern w:val="0"/>
                <w:szCs w:val="32"/>
              </w:rPr>
            </w:pPr>
          </w:p>
        </w:tc>
        <w:tc>
          <w:tcPr>
            <w:tcW w:w="236"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gridSpan w:val="2"/>
            <w:noWrap w:val="0"/>
            <w:vAlign w:val="center"/>
          </w:tcPr>
          <w:p>
            <w:pPr>
              <w:spacing w:line="700" w:lineRule="exact"/>
              <w:jc w:val="center"/>
              <w:rPr>
                <w:rFonts w:ascii="Calibri" w:hAnsi="Calibri" w:eastAsia="楷体"/>
                <w:kern w:val="0"/>
                <w:szCs w:val="32"/>
              </w:rPr>
            </w:pPr>
          </w:p>
        </w:tc>
        <w:tc>
          <w:tcPr>
            <w:tcW w:w="443" w:type="dxa"/>
            <w:gridSpan w:val="2"/>
            <w:noWrap w:val="0"/>
            <w:vAlign w:val="center"/>
          </w:tcPr>
          <w:p>
            <w:pPr>
              <w:spacing w:line="700" w:lineRule="exact"/>
              <w:jc w:val="center"/>
              <w:rPr>
                <w:rFonts w:ascii="Calibri" w:hAnsi="Calibri" w:eastAsia="楷体"/>
                <w:kern w:val="0"/>
                <w:szCs w:val="32"/>
              </w:rPr>
            </w:pPr>
          </w:p>
        </w:tc>
        <w:tc>
          <w:tcPr>
            <w:tcW w:w="425" w:type="dxa"/>
            <w:gridSpan w:val="2"/>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9" w:hRule="exact"/>
          <w:jc w:val="center"/>
        </w:trPr>
        <w:tc>
          <w:tcPr>
            <w:tcW w:w="759" w:type="dxa"/>
            <w:noWrap w:val="0"/>
            <w:vAlign w:val="center"/>
          </w:tcPr>
          <w:p>
            <w:pPr>
              <w:autoSpaceDN w:val="0"/>
              <w:jc w:val="center"/>
              <w:textAlignment w:val="center"/>
              <w:rPr>
                <w:rFonts w:hint="eastAsia" w:ascii="Calibri" w:hAnsi="Calibri" w:eastAsia="华文细黑"/>
                <w:color w:val="000000"/>
                <w:sz w:val="18"/>
                <w:szCs w:val="18"/>
              </w:rPr>
            </w:pPr>
            <w:r>
              <w:rPr>
                <w:rFonts w:hint="eastAsia" w:ascii="Calibri" w:hAnsi="Calibri" w:eastAsia="华文细黑"/>
                <w:color w:val="000000"/>
                <w:sz w:val="18"/>
                <w:szCs w:val="18"/>
              </w:rPr>
              <w:t>合计</w:t>
            </w:r>
          </w:p>
        </w:tc>
        <w:tc>
          <w:tcPr>
            <w:tcW w:w="1063" w:type="dxa"/>
            <w:noWrap w:val="0"/>
            <w:vAlign w:val="center"/>
          </w:tcPr>
          <w:p>
            <w:pPr>
              <w:autoSpaceDN w:val="0"/>
              <w:jc w:val="center"/>
              <w:textAlignment w:val="center"/>
              <w:rPr>
                <w:rFonts w:ascii="Calibri" w:hAnsi="Calibri" w:eastAsia="华文细黑"/>
                <w:color w:val="000000"/>
                <w:sz w:val="18"/>
                <w:szCs w:val="18"/>
              </w:rPr>
            </w:pPr>
          </w:p>
        </w:tc>
        <w:tc>
          <w:tcPr>
            <w:tcW w:w="1107" w:type="dxa"/>
            <w:noWrap w:val="0"/>
            <w:vAlign w:val="center"/>
          </w:tcPr>
          <w:p>
            <w:pPr>
              <w:spacing w:line="700" w:lineRule="exact"/>
              <w:jc w:val="center"/>
              <w:rPr>
                <w:rFonts w:ascii="Calibri" w:hAnsi="Calibri" w:eastAsia="楷体"/>
                <w:kern w:val="0"/>
                <w:sz w:val="18"/>
                <w:szCs w:val="18"/>
              </w:rPr>
            </w:pPr>
          </w:p>
        </w:tc>
        <w:tc>
          <w:tcPr>
            <w:tcW w:w="864" w:type="dxa"/>
            <w:noWrap w:val="0"/>
            <w:vAlign w:val="center"/>
          </w:tcPr>
          <w:p>
            <w:pPr>
              <w:spacing w:line="700" w:lineRule="exact"/>
              <w:jc w:val="center"/>
              <w:rPr>
                <w:rFonts w:ascii="Calibri" w:hAnsi="Calibri" w:eastAsia="楷体"/>
                <w:kern w:val="0"/>
                <w:sz w:val="18"/>
                <w:szCs w:val="18"/>
              </w:rPr>
            </w:pPr>
          </w:p>
        </w:tc>
        <w:tc>
          <w:tcPr>
            <w:tcW w:w="790" w:type="dxa"/>
            <w:noWrap w:val="0"/>
            <w:vAlign w:val="center"/>
          </w:tcPr>
          <w:p>
            <w:pPr>
              <w:spacing w:line="700" w:lineRule="exact"/>
              <w:jc w:val="both"/>
              <w:rPr>
                <w:rFonts w:hint="default" w:ascii="Calibri" w:hAnsi="Calibri" w:eastAsia="楷体" w:cs="Times New Roman"/>
                <w:kern w:val="0"/>
                <w:sz w:val="18"/>
                <w:szCs w:val="18"/>
                <w:lang w:val="en-US" w:eastAsia="zh-CN" w:bidi="ar-SA"/>
              </w:rPr>
            </w:pPr>
            <w:r>
              <w:rPr>
                <w:rFonts w:hint="eastAsia" w:ascii="Calibri" w:hAnsi="Calibri" w:eastAsia="楷体"/>
                <w:kern w:val="0"/>
                <w:sz w:val="18"/>
                <w:szCs w:val="18"/>
                <w:lang w:val="en-US" w:eastAsia="zh-CN"/>
              </w:rPr>
              <w:t>96.42</w:t>
            </w:r>
          </w:p>
        </w:tc>
        <w:tc>
          <w:tcPr>
            <w:tcW w:w="824" w:type="dxa"/>
            <w:noWrap w:val="0"/>
            <w:vAlign w:val="center"/>
          </w:tcPr>
          <w:p>
            <w:pPr>
              <w:spacing w:line="700" w:lineRule="exact"/>
              <w:jc w:val="both"/>
              <w:rPr>
                <w:rFonts w:hint="default" w:ascii="Calibri" w:hAnsi="Calibri" w:eastAsia="楷体" w:cs="Times New Roman"/>
                <w:kern w:val="0"/>
                <w:sz w:val="18"/>
                <w:szCs w:val="18"/>
                <w:lang w:val="en-US" w:eastAsia="zh-CN" w:bidi="ar-SA"/>
              </w:rPr>
            </w:pPr>
            <w:r>
              <w:rPr>
                <w:rFonts w:hint="eastAsia" w:ascii="Calibri" w:hAnsi="Calibri" w:eastAsia="楷体"/>
                <w:kern w:val="0"/>
                <w:sz w:val="18"/>
                <w:szCs w:val="18"/>
                <w:lang w:val="en-US" w:eastAsia="zh-CN"/>
              </w:rPr>
              <w:t>96.42</w:t>
            </w:r>
          </w:p>
        </w:tc>
        <w:tc>
          <w:tcPr>
            <w:tcW w:w="324" w:type="dxa"/>
            <w:noWrap w:val="0"/>
            <w:vAlign w:val="center"/>
          </w:tcPr>
          <w:p>
            <w:pPr>
              <w:spacing w:line="700" w:lineRule="exact"/>
              <w:jc w:val="center"/>
              <w:rPr>
                <w:rFonts w:ascii="Calibri" w:hAnsi="Calibri" w:eastAsia="楷体"/>
                <w:kern w:val="0"/>
                <w:szCs w:val="32"/>
              </w:rPr>
            </w:pPr>
          </w:p>
        </w:tc>
        <w:tc>
          <w:tcPr>
            <w:tcW w:w="676" w:type="dxa"/>
            <w:noWrap w:val="0"/>
            <w:vAlign w:val="center"/>
          </w:tcPr>
          <w:p>
            <w:pPr>
              <w:spacing w:line="700" w:lineRule="exact"/>
              <w:jc w:val="center"/>
              <w:rPr>
                <w:rFonts w:ascii="Calibri" w:hAnsi="Calibri" w:eastAsia="楷体"/>
                <w:kern w:val="0"/>
                <w:szCs w:val="32"/>
              </w:rPr>
            </w:pPr>
          </w:p>
        </w:tc>
        <w:tc>
          <w:tcPr>
            <w:tcW w:w="236"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gridSpan w:val="2"/>
            <w:noWrap w:val="0"/>
            <w:vAlign w:val="center"/>
          </w:tcPr>
          <w:p>
            <w:pPr>
              <w:spacing w:line="700" w:lineRule="exact"/>
              <w:jc w:val="center"/>
              <w:rPr>
                <w:rFonts w:ascii="Calibri" w:hAnsi="Calibri" w:eastAsia="楷体"/>
                <w:kern w:val="0"/>
                <w:szCs w:val="32"/>
              </w:rPr>
            </w:pPr>
          </w:p>
        </w:tc>
        <w:tc>
          <w:tcPr>
            <w:tcW w:w="443" w:type="dxa"/>
            <w:gridSpan w:val="2"/>
            <w:noWrap w:val="0"/>
            <w:vAlign w:val="center"/>
          </w:tcPr>
          <w:p>
            <w:pPr>
              <w:spacing w:line="700" w:lineRule="exact"/>
              <w:jc w:val="center"/>
              <w:rPr>
                <w:rFonts w:ascii="Calibri" w:hAnsi="Calibri" w:eastAsia="楷体"/>
                <w:kern w:val="0"/>
                <w:szCs w:val="32"/>
              </w:rPr>
            </w:pPr>
          </w:p>
        </w:tc>
        <w:tc>
          <w:tcPr>
            <w:tcW w:w="425" w:type="dxa"/>
            <w:gridSpan w:val="2"/>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Calibri" w:hAnsi="Calibri" w:eastAsia="华文细黑"/>
                <w:color w:val="000000"/>
                <w:sz w:val="20"/>
                <w:szCs w:val="22"/>
              </w:rPr>
              <w:t>村级组织运转经费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96.42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96.42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新兴乡2024年村级组织运转经费用于保障村集体正常运转所需要的经费资金，对于提升村集体行政运行效力具有十分重要的意义。新兴乡共6个行政村，新兴乡本次申请资金总额为96.42万元。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经费保障村数量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村级组织运转率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村均每月经费金额</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&lt;=1.34万元/村/月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经费拨付及时率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提升基层党组织等情况，组织等情况</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村干部满意度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&gt;=99%</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default" w:ascii="仿宋_GB2312" w:hAnsi="仿宋_GB2312" w:eastAsia="仿宋_GB2312" w:cs="仿宋_GB2312"/>
          <w:szCs w:val="32"/>
          <w:u w:val="none"/>
          <w:lang w:val="en-US" w:eastAsia="zh-CN"/>
        </w:rPr>
      </w:pPr>
      <w:r>
        <w:rPr>
          <w:rFonts w:hint="eastAsia" w:ascii="仿宋_GB2312" w:hAnsi="仿宋_GB2312" w:eastAsia="仿宋_GB2312" w:cs="仿宋_GB2312"/>
          <w:szCs w:val="32"/>
          <w:u w:val="none"/>
        </w:rPr>
        <w:t>按照综合预算的原则，所有收入和支出全部纳入部门预算管理。收入包括：一般公共预算拨款收入</w:t>
      </w:r>
      <w:r>
        <w:rPr>
          <w:rFonts w:hint="eastAsia" w:ascii="仿宋_GB2312" w:hAnsi="仿宋_GB2312" w:cs="仿宋_GB2312"/>
          <w:szCs w:val="32"/>
          <w:u w:val="none"/>
          <w:lang w:val="en-US" w:eastAsia="zh-CN"/>
        </w:rPr>
        <w:t>670.47万元</w:t>
      </w:r>
      <w:r>
        <w:rPr>
          <w:rFonts w:hint="eastAsia" w:ascii="仿宋_GB2312" w:hAnsi="仿宋_GB2312" w:eastAsia="仿宋_GB2312" w:cs="仿宋_GB2312"/>
          <w:szCs w:val="32"/>
          <w:u w:val="none"/>
        </w:rPr>
        <w:t>；支出包括：一般公共服务支出</w:t>
      </w:r>
      <w:r>
        <w:rPr>
          <w:rFonts w:hint="eastAsia" w:ascii="仿宋_GB2312" w:hAnsi="仿宋_GB2312" w:cs="仿宋_GB2312"/>
          <w:szCs w:val="32"/>
          <w:u w:val="none"/>
          <w:lang w:val="en-US" w:eastAsia="zh-CN"/>
        </w:rPr>
        <w:t>428.59万元</w:t>
      </w:r>
      <w:r>
        <w:rPr>
          <w:rFonts w:hint="eastAsia" w:ascii="仿宋_GB2312" w:hAnsi="仿宋_GB2312" w:eastAsia="仿宋_GB2312" w:cs="仿宋_GB2312"/>
          <w:szCs w:val="32"/>
          <w:u w:val="none"/>
        </w:rPr>
        <w:t>、社会保障和就业支出</w:t>
      </w:r>
      <w:r>
        <w:rPr>
          <w:rFonts w:hint="eastAsia" w:ascii="仿宋_GB2312" w:hAnsi="仿宋_GB2312" w:cs="仿宋_GB2312"/>
          <w:szCs w:val="32"/>
          <w:u w:val="none"/>
          <w:lang w:val="en-US" w:eastAsia="zh-CN"/>
        </w:rPr>
        <w:t>78.17万元</w:t>
      </w:r>
      <w:r>
        <w:rPr>
          <w:rFonts w:hint="eastAsia" w:ascii="仿宋_GB2312" w:hAnsi="仿宋_GB2312" w:eastAsia="仿宋_GB2312" w:cs="仿宋_GB2312"/>
          <w:szCs w:val="32"/>
          <w:u w:val="none"/>
        </w:rPr>
        <w:t>、农林水支出</w:t>
      </w:r>
      <w:r>
        <w:rPr>
          <w:rFonts w:hint="eastAsia" w:ascii="仿宋_GB2312" w:hAnsi="仿宋_GB2312" w:cs="仿宋_GB2312"/>
          <w:szCs w:val="32"/>
          <w:u w:val="none"/>
          <w:lang w:val="en-US" w:eastAsia="zh-CN"/>
        </w:rPr>
        <w:t>96.42万元</w:t>
      </w:r>
      <w:r>
        <w:rPr>
          <w:rFonts w:hint="eastAsia" w:ascii="仿宋_GB2312" w:hAnsi="仿宋_GB2312" w:eastAsia="仿宋_GB2312" w:cs="仿宋_GB2312"/>
          <w:szCs w:val="32"/>
          <w:u w:val="none"/>
        </w:rPr>
        <w:t>、住房保障支出</w:t>
      </w:r>
      <w:r>
        <w:rPr>
          <w:rFonts w:hint="eastAsia" w:ascii="仿宋_GB2312" w:hAnsi="仿宋_GB2312" w:cs="仿宋_GB2312"/>
          <w:szCs w:val="32"/>
          <w:u w:val="none"/>
          <w:lang w:val="en-US" w:eastAsia="zh-CN"/>
        </w:rPr>
        <w:t>42.26万元，卫生健康支出25.03万元</w:t>
      </w:r>
      <w:r>
        <w:rPr>
          <w:rFonts w:hint="eastAsia" w:ascii="仿宋_GB2312" w:hAnsi="仿宋_GB2312" w:eastAsia="仿宋_GB2312" w:cs="仿宋_GB2312"/>
          <w:szCs w:val="32"/>
          <w:u w:val="none"/>
        </w:rPr>
        <w:t>。</w:t>
      </w: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年收支总预算</w:t>
      </w:r>
      <w:r>
        <w:rPr>
          <w:rFonts w:hint="eastAsia" w:ascii="仿宋_GB2312" w:hAnsi="仿宋_GB2312" w:cs="仿宋_GB2312"/>
          <w:szCs w:val="32"/>
          <w:u w:val="none"/>
          <w:lang w:val="en-US" w:eastAsia="zh-CN"/>
        </w:rPr>
        <w:t>670.47</w:t>
      </w:r>
      <w:r>
        <w:rPr>
          <w:rFonts w:hint="eastAsia" w:ascii="仿宋_GB2312" w:hAnsi="仿宋_GB2312" w:eastAsia="仿宋_GB2312" w:cs="仿宋_GB2312"/>
          <w:szCs w:val="32"/>
          <w:u w:val="none"/>
        </w:rPr>
        <w:t>_万元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val="en-US" w:eastAsia="zh-CN"/>
        </w:rPr>
        <w:t>670.47</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w:t>
      </w:r>
      <w:r>
        <w:rPr>
          <w:rFonts w:hint="eastAsia" w:ascii="仿宋_GB2312" w:hAnsi="仿宋_GB2312" w:eastAsia="仿宋_GB2312" w:cs="仿宋_GB2312"/>
          <w:szCs w:val="32"/>
          <w:u w:val="none"/>
          <w:lang w:val="en-US" w:eastAsia="zh-CN"/>
        </w:rPr>
        <w:t>年当年预算</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w:t>
      </w:r>
      <w:r>
        <w:rPr>
          <w:rFonts w:hint="eastAsia" w:ascii="仿宋_GB2312" w:hAnsi="仿宋_GB2312" w:cs="仿宋_GB2312"/>
          <w:szCs w:val="32"/>
          <w:u w:val="none"/>
          <w:lang w:val="en-US" w:eastAsia="zh-CN"/>
        </w:rPr>
        <w:t>3</w:t>
      </w:r>
      <w:r>
        <w:rPr>
          <w:rFonts w:hint="eastAsia" w:ascii="仿宋_GB2312" w:hAnsi="仿宋_GB2312" w:eastAsia="仿宋_GB2312" w:cs="仿宋_GB2312"/>
          <w:szCs w:val="32"/>
          <w:u w:val="none"/>
        </w:rPr>
        <w:t>年预算</w:t>
      </w:r>
      <w:r>
        <w:rPr>
          <w:rFonts w:hint="eastAsia" w:ascii="仿宋_GB2312" w:hAnsi="仿宋_GB2312" w:cs="仿宋_GB2312"/>
          <w:szCs w:val="32"/>
          <w:u w:val="none"/>
          <w:lang w:eastAsia="zh-CN"/>
        </w:rPr>
        <w:t>减少</w:t>
      </w:r>
      <w:r>
        <w:rPr>
          <w:rFonts w:hint="eastAsia" w:ascii="仿宋_GB2312" w:hAnsi="仿宋_GB2312" w:cs="仿宋_GB2312"/>
          <w:szCs w:val="32"/>
          <w:u w:val="none"/>
          <w:lang w:val="en-US" w:eastAsia="zh-CN"/>
        </w:rPr>
        <w:t>23.73</w:t>
      </w:r>
      <w:r>
        <w:rPr>
          <w:rFonts w:hint="eastAsia" w:ascii="仿宋_GB2312" w:hAnsi="仿宋_GB2312" w:eastAsia="仿宋_GB2312" w:cs="仿宋_GB2312"/>
          <w:szCs w:val="32"/>
          <w:u w:val="none"/>
        </w:rPr>
        <w:t>万元，主要原因是</w:t>
      </w:r>
      <w:r>
        <w:rPr>
          <w:rFonts w:hint="eastAsia" w:ascii="仿宋_GB2312" w:hAnsi="仿宋_GB2312" w:cs="仿宋_GB2312"/>
          <w:szCs w:val="32"/>
          <w:u w:val="none"/>
          <w:lang w:val="en-US" w:eastAsia="zh-CN"/>
        </w:rPr>
        <w:t>2024年综合服务中心项目资金减少</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年收入预算</w:t>
      </w:r>
      <w:r>
        <w:rPr>
          <w:rFonts w:hint="eastAsia" w:ascii="仿宋_GB2312" w:hAnsi="仿宋_GB2312" w:cs="仿宋_GB2312"/>
          <w:szCs w:val="32"/>
          <w:u w:val="none"/>
          <w:lang w:val="en-US" w:eastAsia="zh-CN"/>
        </w:rPr>
        <w:t>670.47</w:t>
      </w:r>
      <w:r>
        <w:rPr>
          <w:rFonts w:hint="eastAsia" w:ascii="仿宋_GB2312" w:hAnsi="仿宋_GB2312" w:eastAsia="仿宋_GB2312" w:cs="仿宋_GB2312"/>
          <w:szCs w:val="32"/>
          <w:u w:val="none"/>
        </w:rPr>
        <w:t>万元，其中：本年收入</w:t>
      </w:r>
      <w:r>
        <w:rPr>
          <w:rFonts w:hint="eastAsia" w:ascii="仿宋_GB2312" w:hAnsi="仿宋_GB2312" w:cs="仿宋_GB2312"/>
          <w:szCs w:val="32"/>
          <w:u w:val="none"/>
          <w:lang w:val="en-US" w:eastAsia="zh-CN"/>
        </w:rPr>
        <w:t>670.47</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100</w:t>
      </w:r>
      <w:r>
        <w:rPr>
          <w:rFonts w:hint="eastAsia" w:ascii="仿宋_GB2312" w:hAnsi="仿宋_GB2312" w:eastAsia="仿宋_GB2312" w:cs="仿宋_GB2312"/>
          <w:szCs w:val="32"/>
          <w:u w:val="none"/>
        </w:rPr>
        <w:t>%；上年结转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%。本年收入中，一般公共预算拨款收入</w:t>
      </w:r>
      <w:r>
        <w:rPr>
          <w:rFonts w:hint="eastAsia" w:ascii="仿宋_GB2312" w:hAnsi="仿宋_GB2312" w:cs="仿宋_GB2312"/>
          <w:szCs w:val="32"/>
          <w:u w:val="none"/>
          <w:lang w:val="en-US" w:eastAsia="zh-CN"/>
        </w:rPr>
        <w:t>670.47</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100</w:t>
      </w:r>
      <w:r>
        <w:rPr>
          <w:rFonts w:hint="eastAsia" w:ascii="仿宋_GB2312" w:hAnsi="仿宋_GB2312" w:eastAsia="仿宋_GB2312" w:cs="仿宋_GB2312"/>
          <w:szCs w:val="32"/>
          <w:u w:val="none"/>
        </w:rPr>
        <w:t>%；政府性基金预算拨款收入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%；国有资本经营预算拨款收入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%；财政专户管理资金收入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%；事业收入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%；上级补助收入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%；附属单位上缴收入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%；事业单位经营收入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%；其他收入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%。上年结转中，一般公共预算拨款结转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%；政府性基金预算拨款结转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%；国有资本经营预算拨款结转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%；财政专户管理资金结转结余</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%；单位资金结转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%；用事业基金弥补收支差额</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w:t>
      </w:r>
    </w:p>
    <w:p>
      <w:pPr>
        <w:ind w:firstLine="640" w:firstLineChars="200"/>
        <w:rPr>
          <w:rFonts w:eastAsia="楷体"/>
          <w:szCs w:val="30"/>
          <w:u w:val="none"/>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年支出预算</w:t>
      </w:r>
      <w:r>
        <w:rPr>
          <w:rFonts w:hint="eastAsia" w:ascii="仿宋_GB2312" w:hAnsi="仿宋_GB2312" w:cs="仿宋_GB2312"/>
          <w:szCs w:val="32"/>
          <w:u w:val="none"/>
          <w:lang w:val="en-US" w:eastAsia="zh-CN"/>
        </w:rPr>
        <w:t>670.47</w:t>
      </w:r>
      <w:r>
        <w:rPr>
          <w:rFonts w:hint="eastAsia" w:ascii="仿宋_GB2312" w:hAnsi="仿宋_GB2312" w:eastAsia="仿宋_GB2312" w:cs="仿宋_GB2312"/>
          <w:szCs w:val="32"/>
          <w:u w:val="none"/>
        </w:rPr>
        <w:t>万元，其中：基本支出</w:t>
      </w:r>
      <w:r>
        <w:rPr>
          <w:rFonts w:hint="eastAsia" w:ascii="仿宋_GB2312" w:hAnsi="仿宋_GB2312" w:cs="仿宋_GB2312"/>
          <w:szCs w:val="32"/>
          <w:u w:val="none"/>
          <w:lang w:val="en-US" w:eastAsia="zh-CN"/>
        </w:rPr>
        <w:t>574.05</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85.62</w:t>
      </w:r>
      <w:r>
        <w:rPr>
          <w:rFonts w:hint="eastAsia" w:ascii="仿宋_GB2312" w:hAnsi="仿宋_GB2312" w:eastAsia="仿宋_GB2312" w:cs="仿宋_GB2312"/>
          <w:szCs w:val="32"/>
          <w:u w:val="none"/>
        </w:rPr>
        <w:t>%；项目支出</w:t>
      </w:r>
      <w:r>
        <w:rPr>
          <w:rFonts w:hint="eastAsia" w:ascii="仿宋_GB2312" w:hAnsi="仿宋_GB2312" w:cs="仿宋_GB2312"/>
          <w:szCs w:val="32"/>
          <w:u w:val="none"/>
          <w:lang w:val="en-US" w:eastAsia="zh-CN"/>
        </w:rPr>
        <w:t>96.42</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14.38</w:t>
      </w:r>
      <w:r>
        <w:rPr>
          <w:rFonts w:hint="eastAsia" w:ascii="仿宋_GB2312" w:hAnsi="仿宋_GB2312" w:eastAsia="仿宋_GB2312" w:cs="仿宋_GB2312"/>
          <w:szCs w:val="32"/>
          <w:u w:val="none"/>
        </w:rPr>
        <w:t>%；事业单位经营支出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%；上缴上级支出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%；对附属单位补助支出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w:t>
      </w:r>
    </w:p>
    <w:p>
      <w:pPr>
        <w:ind w:firstLine="600"/>
        <w:rPr>
          <w:szCs w:val="32"/>
        </w:rPr>
      </w:pPr>
    </w:p>
    <w:p>
      <w:pPr>
        <w:ind w:firstLine="640" w:firstLineChars="200"/>
        <w:rPr>
          <w:rFonts w:hint="eastAsia" w:ascii="仿宋_GB2312" w:hAnsi="仿宋_GB2312" w:eastAsia="仿宋_GB2312" w:cs="仿宋_GB2312"/>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u w:val="none"/>
        </w:rPr>
      </w:pP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年财政拨款收支总预算</w:t>
      </w:r>
      <w:r>
        <w:rPr>
          <w:rFonts w:hint="eastAsia" w:ascii="仿宋_GB2312" w:hAnsi="仿宋_GB2312" w:cs="仿宋_GB2312"/>
          <w:szCs w:val="32"/>
          <w:u w:val="none"/>
          <w:lang w:val="en-US" w:eastAsia="zh-CN"/>
        </w:rPr>
        <w:t>670.47</w:t>
      </w:r>
      <w:r>
        <w:rPr>
          <w:rFonts w:hint="eastAsia" w:ascii="仿宋_GB2312" w:hAnsi="仿宋_GB2312" w:eastAsia="仿宋_GB2312" w:cs="仿宋_GB2312"/>
          <w:szCs w:val="32"/>
          <w:u w:val="none"/>
        </w:rPr>
        <w:t>万元，其中：本年收入</w:t>
      </w:r>
      <w:r>
        <w:rPr>
          <w:rFonts w:hint="eastAsia" w:ascii="仿宋_GB2312" w:hAnsi="仿宋_GB2312" w:cs="仿宋_GB2312"/>
          <w:szCs w:val="32"/>
          <w:u w:val="none"/>
          <w:lang w:val="en-US" w:eastAsia="zh-CN"/>
        </w:rPr>
        <w:t>670.47</w:t>
      </w:r>
      <w:r>
        <w:rPr>
          <w:rFonts w:hint="eastAsia" w:ascii="仿宋_GB2312" w:hAnsi="仿宋_GB2312" w:eastAsia="仿宋_GB2312" w:cs="仿宋_GB2312"/>
          <w:szCs w:val="32"/>
          <w:u w:val="none"/>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万元。支出包括：</w:t>
      </w:r>
      <w:r>
        <w:rPr>
          <w:rFonts w:hint="eastAsia" w:ascii="仿宋_GB2312" w:hAnsi="仿宋_GB2312" w:eastAsia="仿宋_GB2312" w:cs="仿宋_GB2312"/>
          <w:kern w:val="0"/>
          <w:szCs w:val="32"/>
          <w:u w:val="none"/>
        </w:rPr>
        <w:t>一般公共服务支出</w:t>
      </w:r>
      <w:r>
        <w:rPr>
          <w:rFonts w:hint="eastAsia" w:ascii="仿宋_GB2312" w:hAnsi="仿宋_GB2312" w:cs="仿宋_GB2312"/>
          <w:kern w:val="0"/>
          <w:szCs w:val="32"/>
          <w:u w:val="none"/>
          <w:lang w:val="en-US" w:eastAsia="zh-CN"/>
        </w:rPr>
        <w:t>428.59</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国防支出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公共安全支出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教育支出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科学技术支出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文化旅游体育与传媒支出</w:t>
      </w:r>
      <w:r>
        <w:rPr>
          <w:rFonts w:hint="eastAsia" w:ascii="仿宋_GB2312" w:hAnsi="仿宋_GB2312" w:cs="仿宋_GB2312"/>
          <w:szCs w:val="32"/>
          <w:u w:val="none"/>
          <w:lang w:val="en-US" w:eastAsia="zh-CN"/>
        </w:rPr>
        <w:t>0万元。</w:t>
      </w:r>
      <w:r>
        <w:rPr>
          <w:rFonts w:hint="eastAsia" w:ascii="仿宋_GB2312" w:hAnsi="仿宋_GB2312" w:eastAsia="仿宋_GB2312" w:cs="仿宋_GB2312"/>
          <w:kern w:val="0"/>
          <w:szCs w:val="32"/>
          <w:u w:val="none"/>
        </w:rPr>
        <w:t>社会保障和就业支出</w:t>
      </w:r>
      <w:r>
        <w:rPr>
          <w:rFonts w:hint="eastAsia" w:ascii="仿宋_GB2312" w:hAnsi="仿宋_GB2312" w:cs="仿宋_GB2312"/>
          <w:kern w:val="0"/>
          <w:szCs w:val="32"/>
          <w:u w:val="none"/>
          <w:lang w:val="en-US" w:eastAsia="zh-CN"/>
        </w:rPr>
        <w:t>78.17</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社会保险基金支出</w:t>
      </w:r>
      <w:r>
        <w:rPr>
          <w:rFonts w:hint="eastAsia" w:ascii="仿宋_GB2312" w:hAnsi="仿宋_GB2312" w:cs="仿宋_GB2312"/>
          <w:kern w:val="0"/>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卫生健康支出</w:t>
      </w:r>
      <w:r>
        <w:rPr>
          <w:rFonts w:hint="eastAsia" w:ascii="仿宋_GB2312" w:hAnsi="仿宋_GB2312" w:cs="仿宋_GB2312"/>
          <w:kern w:val="0"/>
          <w:szCs w:val="32"/>
          <w:u w:val="none"/>
          <w:lang w:val="en-US" w:eastAsia="zh-CN"/>
        </w:rPr>
        <w:t>25.03</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节能环保支出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城乡社区支出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农林水支出</w:t>
      </w:r>
      <w:r>
        <w:rPr>
          <w:rFonts w:hint="eastAsia" w:ascii="仿宋_GB2312" w:hAnsi="仿宋_GB2312" w:cs="仿宋_GB2312"/>
          <w:szCs w:val="32"/>
          <w:u w:val="none"/>
          <w:lang w:val="en-US" w:eastAsia="zh-CN"/>
        </w:rPr>
        <w:t>96.42</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交通运输支出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资源勘探信息等支出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商业服务业等支出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金融支出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援助其他地区支出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自然资源海洋气象等支出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住房保障支</w:t>
      </w:r>
      <w:r>
        <w:rPr>
          <w:rFonts w:hint="eastAsia" w:ascii="仿宋_GB2312" w:hAnsi="仿宋_GB2312" w:cs="仿宋_GB2312"/>
          <w:kern w:val="0"/>
          <w:szCs w:val="32"/>
          <w:u w:val="none"/>
          <w:lang w:val="en-US" w:eastAsia="zh-CN"/>
        </w:rPr>
        <w:t>出42.26</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粮油物资储备支出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万元，灾害防治及应急管理支出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其他支出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结转下年支出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rPr>
          <w:rFonts w:hint="eastAsia" w:ascii="黑体" w:hAnsi="黑体" w:eastAsia="黑体" w:cs="黑体"/>
          <w:szCs w:val="30"/>
        </w:rPr>
      </w:pPr>
    </w:p>
    <w:p>
      <w:pPr>
        <w:rPr>
          <w:rFonts w:hint="eastAsia" w:ascii="黑体" w:hAnsi="黑体" w:eastAsia="黑体" w:cs="黑体"/>
          <w:szCs w:val="30"/>
        </w:rPr>
      </w:pPr>
    </w:p>
    <w:p>
      <w:pPr>
        <w:rPr>
          <w:rFonts w:hint="eastAsia" w:ascii="黑体" w:hAnsi="黑体" w:eastAsia="黑体" w:cs="黑体"/>
          <w:szCs w:val="30"/>
        </w:rPr>
      </w:pPr>
    </w:p>
    <w:p>
      <w:pPr>
        <w:rPr>
          <w:rFonts w:hint="eastAsia" w:ascii="黑体" w:hAnsi="黑体" w:eastAsia="黑体" w:cs="黑体"/>
          <w:szCs w:val="30"/>
        </w:rPr>
      </w:pPr>
    </w:p>
    <w:p>
      <w:pPr>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年支出预算</w:t>
      </w:r>
      <w:r>
        <w:rPr>
          <w:rFonts w:hint="eastAsia" w:ascii="仿宋_GB2312" w:hAnsi="仿宋_GB2312" w:cs="仿宋_GB2312"/>
          <w:szCs w:val="32"/>
          <w:u w:val="none"/>
          <w:lang w:val="en-US" w:eastAsia="zh-CN"/>
        </w:rPr>
        <w:t>670.47</w:t>
      </w:r>
      <w:r>
        <w:rPr>
          <w:rFonts w:hint="eastAsia" w:ascii="仿宋_GB2312" w:hAnsi="仿宋_GB2312" w:eastAsia="仿宋_GB2312" w:cs="仿宋_GB2312"/>
          <w:szCs w:val="32"/>
          <w:u w:val="none"/>
        </w:rPr>
        <w:t>万元，其中：基本支出</w:t>
      </w:r>
      <w:r>
        <w:rPr>
          <w:rFonts w:hint="eastAsia" w:ascii="仿宋_GB2312" w:hAnsi="仿宋_GB2312" w:cs="仿宋_GB2312"/>
          <w:szCs w:val="32"/>
          <w:u w:val="none"/>
          <w:lang w:val="en-US" w:eastAsia="zh-CN"/>
        </w:rPr>
        <w:t>574.05</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85.62</w:t>
      </w:r>
      <w:r>
        <w:rPr>
          <w:rFonts w:hint="eastAsia" w:ascii="仿宋_GB2312" w:hAnsi="仿宋_GB2312" w:eastAsia="仿宋_GB2312" w:cs="仿宋_GB2312"/>
          <w:szCs w:val="32"/>
          <w:u w:val="none"/>
        </w:rPr>
        <w:t>%；项目支出</w:t>
      </w:r>
      <w:r>
        <w:rPr>
          <w:rFonts w:hint="eastAsia" w:ascii="仿宋_GB2312" w:hAnsi="仿宋_GB2312" w:cs="仿宋_GB2312"/>
          <w:szCs w:val="32"/>
          <w:u w:val="none"/>
          <w:lang w:val="en-US" w:eastAsia="zh-CN"/>
        </w:rPr>
        <w:t>96.42</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14.38</w:t>
      </w:r>
      <w:r>
        <w:rPr>
          <w:rFonts w:hint="eastAsia" w:ascii="仿宋_GB2312" w:hAnsi="仿宋_GB2312" w:eastAsia="仿宋_GB2312" w:cs="仿宋_GB2312"/>
          <w:szCs w:val="32"/>
          <w:u w:val="none"/>
        </w:rPr>
        <w:t>%；基本支出中，人员经费</w:t>
      </w:r>
      <w:r>
        <w:rPr>
          <w:rFonts w:hint="eastAsia" w:ascii="仿宋_GB2312" w:hAnsi="仿宋_GB2312" w:cs="仿宋_GB2312"/>
          <w:szCs w:val="32"/>
          <w:u w:val="none"/>
          <w:lang w:val="en-US" w:eastAsia="zh-CN"/>
        </w:rPr>
        <w:t>534.69</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93.15</w:t>
      </w:r>
      <w:r>
        <w:rPr>
          <w:rFonts w:hint="eastAsia" w:ascii="仿宋_GB2312" w:hAnsi="仿宋_GB2312" w:eastAsia="仿宋_GB2312" w:cs="仿宋_GB2312"/>
          <w:szCs w:val="32"/>
          <w:u w:val="none"/>
        </w:rPr>
        <w:t>%；公用经费</w:t>
      </w:r>
      <w:r>
        <w:rPr>
          <w:rFonts w:hint="eastAsia" w:ascii="仿宋_GB2312" w:hAnsi="仿宋_GB2312" w:cs="仿宋_GB2312"/>
          <w:szCs w:val="32"/>
          <w:u w:val="none"/>
          <w:lang w:val="en-US" w:eastAsia="zh-CN"/>
        </w:rPr>
        <w:t>39.36</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6.85</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一般公共服务（类）支出</w:t>
      </w:r>
      <w:r>
        <w:rPr>
          <w:rFonts w:hint="eastAsia" w:ascii="仿宋_GB2312" w:hAnsi="仿宋_GB2312" w:cs="仿宋_GB2312"/>
          <w:szCs w:val="32"/>
          <w:u w:val="none"/>
          <w:lang w:val="en-US" w:eastAsia="zh-CN"/>
        </w:rPr>
        <w:t>428.59</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63.93</w:t>
      </w:r>
      <w:r>
        <w:rPr>
          <w:rFonts w:hint="eastAsia" w:ascii="仿宋_GB2312" w:hAnsi="仿宋_GB2312" w:eastAsia="仿宋_GB2312" w:cs="仿宋_GB2312"/>
          <w:szCs w:val="32"/>
          <w:u w:val="none"/>
        </w:rPr>
        <w:t>%，主要用于</w:t>
      </w:r>
      <w:r>
        <w:rPr>
          <w:rFonts w:hint="eastAsia" w:ascii="仿宋_GB2312" w:hAnsi="仿宋_GB2312" w:cs="仿宋_GB2312"/>
          <w:szCs w:val="32"/>
          <w:u w:val="none"/>
          <w:lang w:eastAsia="zh-CN"/>
        </w:rPr>
        <w:t>事业单位运行</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国防（类）支出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教育（类）支出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科学技术（类）支出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文化旅游体育与传媒（类）支出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社会保障和就业（类）支出</w:t>
      </w:r>
      <w:r>
        <w:rPr>
          <w:rFonts w:hint="eastAsia" w:ascii="仿宋_GB2312" w:hAnsi="仿宋_GB2312" w:cs="仿宋_GB2312"/>
          <w:szCs w:val="32"/>
          <w:u w:val="none"/>
          <w:lang w:val="en-US" w:eastAsia="zh-CN"/>
        </w:rPr>
        <w:t>78.17</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11.65</w:t>
      </w:r>
      <w:r>
        <w:rPr>
          <w:rFonts w:hint="eastAsia" w:ascii="仿宋_GB2312" w:hAnsi="仿宋_GB2312" w:eastAsia="仿宋_GB2312" w:cs="仿宋_GB2312"/>
          <w:szCs w:val="32"/>
          <w:u w:val="none"/>
        </w:rPr>
        <w:t>%，主要用于主要用于</w:t>
      </w:r>
      <w:r>
        <w:rPr>
          <w:rFonts w:hint="eastAsia" w:ascii="仿宋_GB2312" w:hAnsi="仿宋_GB2312" w:cs="仿宋_GB2312"/>
          <w:szCs w:val="32"/>
          <w:u w:val="none"/>
          <w:lang w:val="en-US" w:eastAsia="zh-CN"/>
        </w:rPr>
        <w:t>职工社会保障和就业支出</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农林水支出（类）支出</w:t>
      </w:r>
      <w:r>
        <w:rPr>
          <w:rFonts w:hint="eastAsia" w:ascii="仿宋_GB2312" w:hAnsi="仿宋_GB2312" w:cs="仿宋_GB2312"/>
          <w:szCs w:val="32"/>
          <w:u w:val="none"/>
          <w:lang w:val="en-US" w:eastAsia="zh-CN"/>
        </w:rPr>
        <w:t>96.42</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14.38</w:t>
      </w:r>
      <w:r>
        <w:rPr>
          <w:rFonts w:hint="eastAsia" w:ascii="仿宋_GB2312" w:hAnsi="仿宋_GB2312" w:eastAsia="仿宋_GB2312" w:cs="仿宋_GB2312"/>
          <w:szCs w:val="32"/>
          <w:u w:val="none"/>
        </w:rPr>
        <w:t>%，主要用于主要用于</w:t>
      </w:r>
      <w:r>
        <w:rPr>
          <w:rFonts w:hint="eastAsia" w:ascii="仿宋" w:hAnsi="仿宋" w:eastAsia="仿宋" w:cs="仿宋"/>
          <w:color w:val="000000"/>
          <w:sz w:val="32"/>
          <w:szCs w:val="32"/>
          <w:u w:val="none"/>
        </w:rPr>
        <w:t>村级组织运转经费</w:t>
      </w:r>
      <w:r>
        <w:rPr>
          <w:rFonts w:hint="eastAsia" w:ascii="仿宋" w:hAnsi="仿宋" w:eastAsia="仿宋" w:cs="仿宋"/>
          <w:sz w:val="32"/>
          <w:szCs w:val="32"/>
          <w:u w:val="none"/>
        </w:rPr>
        <w:t>。</w:t>
      </w:r>
    </w:p>
    <w:p>
      <w:pPr>
        <w:spacing w:line="520" w:lineRule="exact"/>
        <w:ind w:firstLine="200"/>
        <w:rPr>
          <w:rFonts w:hint="eastAsia"/>
          <w:szCs w:val="32"/>
          <w:u w:val="none"/>
        </w:rPr>
      </w:pPr>
      <w:r>
        <w:rPr>
          <w:rFonts w:hint="eastAsia" w:ascii="仿宋_GB2312" w:hAnsi="仿宋_GB2312" w:eastAsia="仿宋_GB2312" w:cs="仿宋_GB2312"/>
          <w:szCs w:val="32"/>
          <w:u w:val="none"/>
        </w:rPr>
        <w:t>住房保障（类）支出</w:t>
      </w:r>
      <w:r>
        <w:rPr>
          <w:rFonts w:hint="eastAsia" w:ascii="仿宋_GB2312" w:hAnsi="仿宋_GB2312" w:cs="仿宋_GB2312"/>
          <w:szCs w:val="32"/>
          <w:u w:val="none"/>
          <w:lang w:val="en-US" w:eastAsia="zh-CN"/>
        </w:rPr>
        <w:t>42.26</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0.15</w:t>
      </w:r>
      <w:r>
        <w:rPr>
          <w:rFonts w:hint="eastAsia" w:ascii="仿宋_GB2312" w:hAnsi="仿宋_GB2312" w:eastAsia="仿宋_GB2312" w:cs="仿宋_GB2312"/>
          <w:szCs w:val="32"/>
          <w:u w:val="none"/>
        </w:rPr>
        <w:t>%，主要用于</w:t>
      </w:r>
      <w:r>
        <w:rPr>
          <w:rFonts w:hint="eastAsia" w:ascii="仿宋_GB2312" w:hAnsi="仿宋_GB2312" w:cs="仿宋_GB2312"/>
          <w:szCs w:val="32"/>
          <w:u w:val="none"/>
          <w:lang w:val="en-US" w:eastAsia="zh-CN"/>
        </w:rPr>
        <w:t>住房保障支出</w:t>
      </w:r>
      <w:r>
        <w:rPr>
          <w:rFonts w:hint="eastAsia" w:ascii="仿宋_GB2312" w:hAnsi="仿宋_GB2312" w:eastAsia="仿宋_GB2312" w:cs="仿宋_GB2312"/>
          <w:szCs w:val="32"/>
          <w:u w:val="none"/>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年一般公共预算基本支出</w:t>
      </w:r>
      <w:r>
        <w:rPr>
          <w:rFonts w:hint="eastAsia" w:ascii="仿宋_GB2312" w:hAnsi="仿宋_GB2312" w:cs="仿宋_GB2312"/>
          <w:szCs w:val="32"/>
          <w:u w:val="none"/>
          <w:lang w:val="en-US" w:eastAsia="zh-CN"/>
        </w:rPr>
        <w:t>574.05</w:t>
      </w:r>
      <w:r>
        <w:rPr>
          <w:rFonts w:hint="eastAsia" w:ascii="仿宋_GB2312" w:hAnsi="仿宋_GB2312" w:eastAsia="仿宋_GB2312" w:cs="仿宋_GB2312"/>
          <w:szCs w:val="32"/>
          <w:u w:val="none"/>
        </w:rPr>
        <w:t>万元，其中：</w:t>
      </w:r>
    </w:p>
    <w:p>
      <w:pPr>
        <w:ind w:firstLine="640" w:firstLineChars="200"/>
        <w:rPr>
          <w:rFonts w:hint="eastAsia" w:ascii="仿宋_GB2312" w:hAnsi="仿宋_GB2312" w:eastAsia="仿宋_GB2312" w:cs="仿宋_GB2312"/>
          <w:kern w:val="0"/>
          <w:szCs w:val="32"/>
          <w:u w:val="none"/>
        </w:rPr>
      </w:pPr>
      <w:r>
        <w:rPr>
          <w:rFonts w:hint="eastAsia" w:ascii="仿宋_GB2312" w:hAnsi="仿宋_GB2312" w:eastAsia="仿宋_GB2312" w:cs="仿宋_GB2312"/>
          <w:szCs w:val="32"/>
          <w:u w:val="none"/>
        </w:rPr>
        <w:t>人员经费</w:t>
      </w:r>
      <w:r>
        <w:rPr>
          <w:rFonts w:hint="eastAsia" w:ascii="仿宋_GB2312" w:hAnsi="仿宋_GB2312" w:cs="仿宋_GB2312"/>
          <w:szCs w:val="32"/>
          <w:u w:val="none"/>
          <w:lang w:val="en-US" w:eastAsia="zh-CN"/>
        </w:rPr>
        <w:t>534.69</w:t>
      </w:r>
      <w:r>
        <w:rPr>
          <w:rFonts w:hint="eastAsia" w:ascii="仿宋_GB2312" w:hAnsi="仿宋_GB2312" w:eastAsia="仿宋_GB2312" w:cs="仿宋_GB2312"/>
          <w:szCs w:val="32"/>
          <w:u w:val="none"/>
        </w:rPr>
        <w:t>万元，主要包括：</w:t>
      </w:r>
      <w:r>
        <w:rPr>
          <w:rFonts w:hint="eastAsia" w:ascii="仿宋_GB2312" w:hAnsi="仿宋_GB2312" w:eastAsia="仿宋_GB2312" w:cs="仿宋_GB2312"/>
          <w:kern w:val="0"/>
          <w:szCs w:val="32"/>
          <w:u w:val="none"/>
        </w:rPr>
        <w:t>基本工资、津贴补贴</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奖金</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社会保障缴费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其他工资福利支出</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离休费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退休费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抚恤金</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生活补助</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助学金</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住房公积金</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采暖补贴</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其他对个人和家庭的补助支出。</w:t>
      </w:r>
    </w:p>
    <w:p>
      <w:pPr>
        <w:ind w:firstLine="640" w:firstLineChars="200"/>
        <w:rPr>
          <w:szCs w:val="32"/>
          <w:u w:val="none"/>
        </w:rPr>
      </w:pPr>
      <w:r>
        <w:rPr>
          <w:rFonts w:hint="eastAsia" w:ascii="仿宋_GB2312" w:hAnsi="仿宋_GB2312" w:eastAsia="仿宋_GB2312" w:cs="仿宋_GB2312"/>
          <w:kern w:val="0"/>
          <w:szCs w:val="32"/>
          <w:u w:val="none"/>
        </w:rPr>
        <w:t>公用经费</w:t>
      </w:r>
      <w:r>
        <w:rPr>
          <w:rFonts w:hint="eastAsia" w:ascii="仿宋_GB2312" w:hAnsi="仿宋_GB2312" w:cs="仿宋_GB2312"/>
          <w:szCs w:val="32"/>
          <w:u w:val="none"/>
          <w:lang w:val="en-US" w:eastAsia="zh-CN"/>
        </w:rPr>
        <w:t>39.36</w:t>
      </w:r>
      <w:r>
        <w:rPr>
          <w:rFonts w:hint="eastAsia" w:ascii="仿宋_GB2312" w:hAnsi="仿宋_GB2312" w:eastAsia="仿宋_GB2312" w:cs="仿宋_GB2312"/>
          <w:szCs w:val="32"/>
          <w:u w:val="none"/>
        </w:rPr>
        <w:t>万元，主要包括：</w:t>
      </w:r>
      <w:r>
        <w:rPr>
          <w:rFonts w:hint="eastAsia" w:ascii="仿宋_GB2312" w:hAnsi="仿宋_GB2312" w:eastAsia="仿宋_GB2312" w:cs="仿宋_GB2312"/>
          <w:kern w:val="0"/>
          <w:szCs w:val="32"/>
          <w:u w:val="none"/>
        </w:rPr>
        <w:t>办公费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印刷费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水费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电费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邮电费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取暖费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物业管理费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差旅费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维修（护）费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会议费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培训费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公务接待费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工会经费、福利费</w:t>
      </w:r>
      <w:r>
        <w:rPr>
          <w:rFonts w:hint="eastAsia" w:ascii="仿宋_GB2312" w:hAnsi="仿宋_GB2312" w:eastAsia="仿宋_GB2312" w:cs="仿宋_GB2312"/>
          <w:szCs w:val="32"/>
          <w:u w:val="none"/>
        </w:rPr>
        <w:t>、公</w:t>
      </w:r>
      <w:r>
        <w:rPr>
          <w:rFonts w:hint="eastAsia" w:ascii="仿宋_GB2312" w:hAnsi="仿宋_GB2312" w:eastAsia="仿宋_GB2312" w:cs="仿宋_GB2312"/>
          <w:kern w:val="0"/>
          <w:szCs w:val="32"/>
          <w:u w:val="none"/>
        </w:rPr>
        <w:t>务用车运行维护费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其他交通补助</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eastAsia="楷体"/>
          <w:szCs w:val="32"/>
        </w:rPr>
      </w:pPr>
      <w:r>
        <w:rPr>
          <w:rFonts w:eastAsia="楷体"/>
          <w:szCs w:val="32"/>
        </w:rPr>
        <w:t>本部门无一般公共预算拨款</w:t>
      </w: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eastAsia="楷体"/>
          <w:szCs w:val="32"/>
        </w:rPr>
      </w:pPr>
    </w:p>
    <w:p>
      <w:pPr>
        <w:ind w:firstLine="640"/>
        <w:rPr>
          <w:rFonts w:eastAsia="楷体"/>
          <w:szCs w:val="32"/>
        </w:rPr>
      </w:pPr>
    </w:p>
    <w:p>
      <w:pPr>
        <w:ind w:firstLine="960" w:firstLineChars="300"/>
        <w:rPr>
          <w:rFonts w:hint="eastAsia" w:ascii="仿宋_GB2312" w:hAnsi="仿宋_GB2312" w:eastAsia="楷体" w:cs="仿宋_GB2312"/>
          <w:szCs w:val="32"/>
          <w:highlight w:val="none"/>
          <w:lang w:eastAsia="zh-CN"/>
        </w:rPr>
      </w:pPr>
      <w:r>
        <w:rPr>
          <w:rFonts w:eastAsia="楷体"/>
          <w:szCs w:val="32"/>
        </w:rPr>
        <w:t>本部门无政府性基金预算拨款</w:t>
      </w:r>
      <w:r>
        <w:rPr>
          <w:rFonts w:hint="eastAsia" w:eastAsia="楷体"/>
          <w:szCs w:val="32"/>
          <w:lang w:eastAsia="zh-CN"/>
        </w:rPr>
        <w:t>。</w:t>
      </w: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szCs w:val="32"/>
        </w:rPr>
      </w:pPr>
      <w:r>
        <w:rPr>
          <w:rFonts w:eastAsia="楷体"/>
          <w:szCs w:val="32"/>
        </w:rPr>
        <w:t>本部门无</w:t>
      </w:r>
      <w:r>
        <w:rPr>
          <w:rFonts w:hint="eastAsia" w:eastAsia="楷体"/>
          <w:szCs w:val="32"/>
        </w:rPr>
        <w:t>国有资本经营</w:t>
      </w:r>
      <w:r>
        <w:rPr>
          <w:rFonts w:eastAsia="楷体"/>
          <w:szCs w:val="32"/>
        </w:rPr>
        <w:t>预算拨款</w:t>
      </w: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lang w:eastAsia="zh-CN"/>
        </w:rPr>
      </w:pPr>
      <w:r>
        <w:rPr>
          <w:rFonts w:hint="eastAsia" w:ascii="仿宋_GB2312" w:hAnsi="仿宋_GB2312" w:cs="仿宋_GB2312"/>
          <w:szCs w:val="32"/>
          <w:lang w:eastAsia="zh-CN"/>
        </w:rPr>
        <w:t>本部门无机关运行经费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lang w:eastAsia="zh-CN"/>
        </w:rPr>
      </w:pPr>
      <w:r>
        <w:rPr>
          <w:rFonts w:hint="eastAsia" w:ascii="仿宋_GB2312" w:hAnsi="仿宋_GB2312" w:cs="仿宋_GB2312"/>
          <w:szCs w:val="32"/>
          <w:lang w:eastAsia="zh-CN"/>
        </w:rPr>
        <w:t>本部门无政府采购</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截至</w:t>
      </w:r>
      <w:r>
        <w:rPr>
          <w:rFonts w:hint="eastAsia" w:ascii="仿宋_GB2312" w:hAnsi="仿宋_GB2312" w:cs="仿宋_GB2312"/>
          <w:szCs w:val="32"/>
          <w:u w:val="none"/>
          <w:lang w:eastAsia="zh-CN"/>
        </w:rPr>
        <w:t>202</w:t>
      </w:r>
      <w:r>
        <w:rPr>
          <w:rFonts w:hint="eastAsia" w:ascii="仿宋_GB2312" w:hAnsi="仿宋_GB2312" w:cs="仿宋_GB2312"/>
          <w:szCs w:val="32"/>
          <w:u w:val="none"/>
          <w:lang w:val="en-US" w:eastAsia="zh-CN"/>
        </w:rPr>
        <w:t>3</w:t>
      </w:r>
      <w:r>
        <w:rPr>
          <w:rFonts w:hint="eastAsia" w:ascii="仿宋_GB2312" w:hAnsi="仿宋_GB2312" w:eastAsia="仿宋_GB2312" w:cs="仿宋_GB2312"/>
          <w:szCs w:val="32"/>
          <w:u w:val="none"/>
        </w:rPr>
        <w:t>年</w:t>
      </w:r>
      <w:r>
        <w:rPr>
          <w:rFonts w:hint="eastAsia" w:ascii="仿宋_GB2312" w:hAnsi="仿宋_GB2312" w:cs="仿宋_GB2312"/>
          <w:szCs w:val="32"/>
          <w:u w:val="none"/>
          <w:lang w:val="en-US" w:eastAsia="zh-CN"/>
        </w:rPr>
        <w:t>12</w:t>
      </w:r>
      <w:r>
        <w:rPr>
          <w:rFonts w:hint="eastAsia" w:ascii="仿宋_GB2312" w:hAnsi="仿宋_GB2312" w:eastAsia="仿宋_GB2312" w:cs="仿宋_GB2312"/>
          <w:szCs w:val="32"/>
          <w:u w:val="none"/>
        </w:rPr>
        <w:t>月底部门本级和所属各预算单位共有车辆</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辆，土地</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平方米，房屋</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平方米，单价50万元及以上的通用设备</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台/套，单价100万元及以上的专用设备实有数</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台/套。</w:t>
      </w:r>
    </w:p>
    <w:p>
      <w:pPr>
        <w:spacing w:line="540" w:lineRule="exact"/>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w:t>
      </w:r>
      <w:r>
        <w:rPr>
          <w:rFonts w:hint="eastAsia" w:ascii="仿宋_GB2312" w:hAnsi="仿宋_GB2312" w:cs="仿宋_GB2312"/>
          <w:szCs w:val="32"/>
          <w:u w:val="none"/>
          <w:lang w:val="en-US" w:eastAsia="zh-CN"/>
        </w:rPr>
        <w:t>4</w:t>
      </w:r>
      <w:r>
        <w:rPr>
          <w:rFonts w:hint="eastAsia" w:ascii="仿宋_GB2312" w:hAnsi="仿宋_GB2312" w:eastAsia="仿宋_GB2312" w:cs="仿宋_GB2312"/>
          <w:szCs w:val="32"/>
          <w:u w:val="none"/>
        </w:rPr>
        <w:t>年部门预算安排购置车辆</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辆，安排购置土地</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平方米，安排购置房屋</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平方米，计划新增单价50万元及以上的通用设备</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台/套，计划新增单价100万元及以上的专用设备实有数</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台/套。</w:t>
      </w:r>
    </w:p>
    <w:p>
      <w:pPr>
        <w:spacing w:line="540" w:lineRule="exact"/>
        <w:ind w:firstLine="640" w:firstLineChars="200"/>
        <w:rPr>
          <w:rFonts w:hint="eastAsia" w:ascii="仿宋_GB2312" w:hAnsi="仿宋_GB2312" w:eastAsia="仿宋_GB2312" w:cs="仿宋_GB2312"/>
          <w:szCs w:val="32"/>
        </w:rPr>
      </w:pP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u w:val="none"/>
        </w:rPr>
      </w:pPr>
      <w:r>
        <w:rPr>
          <w:rFonts w:hint="eastAsia" w:ascii="仿宋_GB2312" w:hAnsi="仿宋_GB2312" w:cs="仿宋_GB2312"/>
          <w:highlight w:val="none"/>
          <w:u w:val="none"/>
          <w:lang w:eastAsia="zh-CN"/>
        </w:rPr>
        <w:t>2024</w:t>
      </w:r>
      <w:r>
        <w:rPr>
          <w:rFonts w:hint="eastAsia" w:ascii="仿宋_GB2312" w:hAnsi="仿宋_GB2312" w:eastAsia="仿宋_GB2312" w:cs="仿宋_GB2312"/>
          <w:highlight w:val="none"/>
          <w:u w:val="none"/>
        </w:rPr>
        <w:t>年部门项目支出</w:t>
      </w:r>
      <w:r>
        <w:rPr>
          <w:rFonts w:hint="eastAsia" w:ascii="仿宋_GB2312" w:hAnsi="仿宋_GB2312" w:cs="仿宋_GB2312"/>
          <w:szCs w:val="32"/>
          <w:highlight w:val="none"/>
          <w:u w:val="none"/>
          <w:lang w:val="en-US" w:eastAsia="zh-CN"/>
        </w:rPr>
        <w:t>96.42</w:t>
      </w:r>
      <w:r>
        <w:rPr>
          <w:rFonts w:hint="eastAsia" w:ascii="仿宋_GB2312" w:hAnsi="仿宋_GB2312" w:eastAsia="仿宋_GB2312" w:cs="仿宋_GB2312"/>
          <w:szCs w:val="32"/>
          <w:highlight w:val="none"/>
          <w:u w:val="none"/>
        </w:rPr>
        <w:t>万元，其中：</w:t>
      </w:r>
      <w:bookmarkStart w:id="0" w:name="_GoBack"/>
      <w:bookmarkEnd w:id="0"/>
      <w:r>
        <w:rPr>
          <w:rFonts w:hint="eastAsia" w:ascii="仿宋_GB2312" w:hAnsi="仿宋_GB2312" w:eastAsia="仿宋_GB2312" w:cs="仿宋_GB2312"/>
          <w:szCs w:val="32"/>
          <w:highlight w:val="none"/>
          <w:u w:val="none"/>
        </w:rPr>
        <w:t>二级项目</w:t>
      </w:r>
      <w:r>
        <w:rPr>
          <w:rFonts w:hint="eastAsia" w:ascii="仿宋_GB2312" w:hAnsi="仿宋_GB2312" w:cs="仿宋_GB2312"/>
          <w:szCs w:val="32"/>
          <w:highlight w:val="none"/>
          <w:u w:val="none"/>
          <w:lang w:val="en-US" w:eastAsia="zh-CN"/>
        </w:rPr>
        <w:t>1</w:t>
      </w:r>
      <w:r>
        <w:rPr>
          <w:rFonts w:hint="eastAsia" w:ascii="仿宋_GB2312" w:hAnsi="仿宋_GB2312" w:eastAsia="仿宋_GB2312" w:cs="仿宋_GB2312"/>
          <w:szCs w:val="32"/>
          <w:highlight w:val="none"/>
          <w:u w:val="none"/>
        </w:rPr>
        <w:t>个；使用本年拨款</w:t>
      </w:r>
      <w:r>
        <w:rPr>
          <w:rFonts w:hint="eastAsia" w:ascii="仿宋_GB2312" w:hAnsi="仿宋_GB2312" w:cs="仿宋_GB2312"/>
          <w:szCs w:val="32"/>
          <w:highlight w:val="none"/>
          <w:u w:val="none"/>
          <w:lang w:val="en-US" w:eastAsia="zh-CN"/>
        </w:rPr>
        <w:t>96.42</w:t>
      </w:r>
      <w:r>
        <w:rPr>
          <w:rFonts w:hint="eastAsia" w:ascii="仿宋_GB2312" w:hAnsi="仿宋_GB2312" w:eastAsia="仿宋_GB2312" w:cs="仿宋_GB2312"/>
          <w:szCs w:val="32"/>
          <w:highlight w:val="none"/>
          <w:u w:val="none"/>
        </w:rPr>
        <w:t>万元，财政拨款结转</w:t>
      </w:r>
      <w:r>
        <w:rPr>
          <w:rFonts w:hint="eastAsia" w:ascii="仿宋_GB2312" w:hAnsi="仿宋_GB2312" w:cs="仿宋_GB2312"/>
          <w:szCs w:val="32"/>
          <w:highlight w:val="none"/>
          <w:u w:val="none"/>
          <w:lang w:val="en-US" w:eastAsia="zh-CN"/>
        </w:rPr>
        <w:t>0</w:t>
      </w:r>
      <w:r>
        <w:rPr>
          <w:rFonts w:hint="eastAsia" w:ascii="仿宋_GB2312" w:hAnsi="仿宋_GB2312" w:eastAsia="仿宋_GB2312" w:cs="仿宋_GB2312"/>
          <w:szCs w:val="32"/>
          <w:highlight w:val="none"/>
          <w:u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u w:val="none"/>
        </w:rPr>
        <w:t>按照全面实施预算绩效管理的要求，结合本部门职能和重点工作，</w:t>
      </w:r>
      <w:r>
        <w:rPr>
          <w:rFonts w:hint="eastAsia" w:ascii="仿宋_GB2312" w:hAnsi="仿宋_GB2312" w:cs="仿宋_GB2312"/>
          <w:u w:val="none"/>
          <w:lang w:eastAsia="zh-CN"/>
        </w:rPr>
        <w:t>202</w:t>
      </w:r>
      <w:r>
        <w:rPr>
          <w:rFonts w:hint="eastAsia" w:ascii="仿宋_GB2312" w:hAnsi="仿宋_GB2312" w:cs="仿宋_GB2312"/>
          <w:u w:val="none"/>
          <w:lang w:val="en-US" w:eastAsia="zh-CN"/>
        </w:rPr>
        <w:t>4</w:t>
      </w:r>
      <w:r>
        <w:rPr>
          <w:rFonts w:hint="eastAsia" w:ascii="仿宋_GB2312" w:hAnsi="仿宋_GB2312" w:eastAsia="仿宋_GB2312" w:cs="仿宋_GB2312"/>
          <w:u w:val="none"/>
        </w:rPr>
        <w:t>年确定</w:t>
      </w:r>
      <w:r>
        <w:rPr>
          <w:rFonts w:hint="eastAsia" w:ascii="仿宋_GB2312" w:hAnsi="仿宋_GB2312" w:cs="仿宋_GB2312"/>
          <w:szCs w:val="32"/>
          <w:u w:val="none"/>
          <w:lang w:val="en-US" w:eastAsia="zh-CN"/>
        </w:rPr>
        <w:t>1</w:t>
      </w:r>
      <w:r>
        <w:rPr>
          <w:rFonts w:hint="eastAsia" w:ascii="仿宋_GB2312" w:hAnsi="仿宋_GB2312" w:eastAsia="仿宋_GB2312" w:cs="仿宋_GB2312"/>
          <w:u w:val="none"/>
        </w:rPr>
        <w:t>个</w:t>
      </w:r>
      <w:r>
        <w:rPr>
          <w:rFonts w:hint="eastAsia" w:ascii="仿宋_GB2312" w:hAnsi="仿宋_GB2312" w:cs="仿宋_GB2312"/>
          <w:u w:val="none"/>
          <w:lang w:val="en-US" w:eastAsia="zh-CN"/>
        </w:rPr>
        <w:t>二</w:t>
      </w:r>
      <w:r>
        <w:rPr>
          <w:rFonts w:hint="eastAsia" w:ascii="仿宋_GB2312" w:hAnsi="仿宋_GB2312" w:eastAsia="仿宋_GB2312" w:cs="仿宋_GB2312"/>
          <w:u w:val="none"/>
        </w:rPr>
        <w:t>级项目支出的绩效目标和指标向社会公开，涉及金额</w:t>
      </w:r>
      <w:r>
        <w:rPr>
          <w:rFonts w:hint="eastAsia" w:ascii="仿宋_GB2312" w:hAnsi="仿宋_GB2312" w:cs="仿宋_GB2312"/>
          <w:szCs w:val="32"/>
          <w:u w:val="none"/>
          <w:lang w:val="en-US" w:eastAsia="zh-CN"/>
        </w:rPr>
        <w:t>96.42</w:t>
      </w:r>
      <w:r>
        <w:rPr>
          <w:rFonts w:hint="eastAsia" w:ascii="仿宋_GB2312" w:hAnsi="仿宋_GB2312" w:eastAsia="仿宋_GB2312" w:cs="仿宋_GB2312"/>
          <w:u w:val="none"/>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宋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ZmYzVmYjJjYTQxMjc1YmE1MzUwNGVjMmUxMmRhYmQ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5574E"/>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21867E5"/>
    <w:rsid w:val="02D92666"/>
    <w:rsid w:val="030376E3"/>
    <w:rsid w:val="031D7D4B"/>
    <w:rsid w:val="04022755"/>
    <w:rsid w:val="045A0BC3"/>
    <w:rsid w:val="0486486A"/>
    <w:rsid w:val="04954460"/>
    <w:rsid w:val="04F026C1"/>
    <w:rsid w:val="050D06DA"/>
    <w:rsid w:val="050F3BA7"/>
    <w:rsid w:val="05513E94"/>
    <w:rsid w:val="056F5A6D"/>
    <w:rsid w:val="059B3770"/>
    <w:rsid w:val="05F6352F"/>
    <w:rsid w:val="063949A0"/>
    <w:rsid w:val="067960C1"/>
    <w:rsid w:val="06BD5BC7"/>
    <w:rsid w:val="06D03D80"/>
    <w:rsid w:val="06E30049"/>
    <w:rsid w:val="074B09C0"/>
    <w:rsid w:val="07D21289"/>
    <w:rsid w:val="07F544B0"/>
    <w:rsid w:val="08F06786"/>
    <w:rsid w:val="09615163"/>
    <w:rsid w:val="09A0082A"/>
    <w:rsid w:val="0A334D52"/>
    <w:rsid w:val="0ABA06FE"/>
    <w:rsid w:val="0B5F5ADA"/>
    <w:rsid w:val="0B710869"/>
    <w:rsid w:val="0C2A5C84"/>
    <w:rsid w:val="0DA001B0"/>
    <w:rsid w:val="0DB6446C"/>
    <w:rsid w:val="0DEB170B"/>
    <w:rsid w:val="0E06452B"/>
    <w:rsid w:val="0E4C7841"/>
    <w:rsid w:val="0E99714E"/>
    <w:rsid w:val="0F3E0406"/>
    <w:rsid w:val="0F8B592F"/>
    <w:rsid w:val="0FD62F63"/>
    <w:rsid w:val="107728C7"/>
    <w:rsid w:val="10AE7F82"/>
    <w:rsid w:val="10C93B35"/>
    <w:rsid w:val="11177619"/>
    <w:rsid w:val="112605C8"/>
    <w:rsid w:val="12E711B7"/>
    <w:rsid w:val="136D62BD"/>
    <w:rsid w:val="137905F3"/>
    <w:rsid w:val="13F21722"/>
    <w:rsid w:val="1441443C"/>
    <w:rsid w:val="14C12787"/>
    <w:rsid w:val="155362A8"/>
    <w:rsid w:val="15593E10"/>
    <w:rsid w:val="159F7E25"/>
    <w:rsid w:val="15F848D0"/>
    <w:rsid w:val="160E1FA5"/>
    <w:rsid w:val="160F2600"/>
    <w:rsid w:val="1732013F"/>
    <w:rsid w:val="17765BCA"/>
    <w:rsid w:val="17A027D8"/>
    <w:rsid w:val="18E67433"/>
    <w:rsid w:val="1A817DF8"/>
    <w:rsid w:val="1AB27C85"/>
    <w:rsid w:val="1ADC594E"/>
    <w:rsid w:val="1AEB5252"/>
    <w:rsid w:val="1B643B5E"/>
    <w:rsid w:val="1C852172"/>
    <w:rsid w:val="1CA40C0C"/>
    <w:rsid w:val="1CBB2985"/>
    <w:rsid w:val="1CFF4A32"/>
    <w:rsid w:val="1D833200"/>
    <w:rsid w:val="1E2D59A2"/>
    <w:rsid w:val="1E3A3FD0"/>
    <w:rsid w:val="1EB55C07"/>
    <w:rsid w:val="1F351A10"/>
    <w:rsid w:val="1F9000F9"/>
    <w:rsid w:val="1FED47E9"/>
    <w:rsid w:val="206816AC"/>
    <w:rsid w:val="21C422DC"/>
    <w:rsid w:val="22A4003E"/>
    <w:rsid w:val="22AD2D70"/>
    <w:rsid w:val="23984063"/>
    <w:rsid w:val="23C245F9"/>
    <w:rsid w:val="23CE11F0"/>
    <w:rsid w:val="23EC61F6"/>
    <w:rsid w:val="244C543C"/>
    <w:rsid w:val="24624768"/>
    <w:rsid w:val="2539376C"/>
    <w:rsid w:val="254C6FAD"/>
    <w:rsid w:val="259B5BC5"/>
    <w:rsid w:val="259D70CC"/>
    <w:rsid w:val="25C7462E"/>
    <w:rsid w:val="25F62C4E"/>
    <w:rsid w:val="26270834"/>
    <w:rsid w:val="265718D7"/>
    <w:rsid w:val="26643D6C"/>
    <w:rsid w:val="26FE109D"/>
    <w:rsid w:val="27073E1E"/>
    <w:rsid w:val="27B04AB3"/>
    <w:rsid w:val="27CE7A10"/>
    <w:rsid w:val="286807E9"/>
    <w:rsid w:val="28A63332"/>
    <w:rsid w:val="29C45F24"/>
    <w:rsid w:val="29F44EC2"/>
    <w:rsid w:val="2AB949A8"/>
    <w:rsid w:val="2BA72A52"/>
    <w:rsid w:val="2C371A14"/>
    <w:rsid w:val="2D6F7065"/>
    <w:rsid w:val="2D796C27"/>
    <w:rsid w:val="2DF8796C"/>
    <w:rsid w:val="2EB22F18"/>
    <w:rsid w:val="2EE12108"/>
    <w:rsid w:val="2EED35E3"/>
    <w:rsid w:val="2F250383"/>
    <w:rsid w:val="2F380388"/>
    <w:rsid w:val="2F63610B"/>
    <w:rsid w:val="300965A3"/>
    <w:rsid w:val="30730D6E"/>
    <w:rsid w:val="30B91A70"/>
    <w:rsid w:val="31456726"/>
    <w:rsid w:val="32117F60"/>
    <w:rsid w:val="32CF2C5D"/>
    <w:rsid w:val="335402B5"/>
    <w:rsid w:val="339466B2"/>
    <w:rsid w:val="33A22100"/>
    <w:rsid w:val="34555AF5"/>
    <w:rsid w:val="35616772"/>
    <w:rsid w:val="35EA1663"/>
    <w:rsid w:val="364C598E"/>
    <w:rsid w:val="36CC2B0F"/>
    <w:rsid w:val="371A614D"/>
    <w:rsid w:val="37E07476"/>
    <w:rsid w:val="3838492F"/>
    <w:rsid w:val="387258D7"/>
    <w:rsid w:val="3887374F"/>
    <w:rsid w:val="38A00F55"/>
    <w:rsid w:val="38AF6637"/>
    <w:rsid w:val="39041A07"/>
    <w:rsid w:val="39043B77"/>
    <w:rsid w:val="3931774C"/>
    <w:rsid w:val="393F0DCD"/>
    <w:rsid w:val="393F4643"/>
    <w:rsid w:val="39670895"/>
    <w:rsid w:val="3A657F9A"/>
    <w:rsid w:val="3A9113D4"/>
    <w:rsid w:val="3AC54F32"/>
    <w:rsid w:val="3B144A0A"/>
    <w:rsid w:val="3B1B2A0D"/>
    <w:rsid w:val="3B7C071F"/>
    <w:rsid w:val="3BC92948"/>
    <w:rsid w:val="3BE370D4"/>
    <w:rsid w:val="3C29381E"/>
    <w:rsid w:val="3C6A5B02"/>
    <w:rsid w:val="3C711E1D"/>
    <w:rsid w:val="3C7F463D"/>
    <w:rsid w:val="3CAE3960"/>
    <w:rsid w:val="3CF205E6"/>
    <w:rsid w:val="3D365BF6"/>
    <w:rsid w:val="3DF23324"/>
    <w:rsid w:val="3EA14040"/>
    <w:rsid w:val="3EE8108D"/>
    <w:rsid w:val="3F2D2326"/>
    <w:rsid w:val="405745EF"/>
    <w:rsid w:val="40694322"/>
    <w:rsid w:val="40B80EFF"/>
    <w:rsid w:val="41A35364"/>
    <w:rsid w:val="41C31686"/>
    <w:rsid w:val="42864D18"/>
    <w:rsid w:val="42982B4E"/>
    <w:rsid w:val="436B1E42"/>
    <w:rsid w:val="43993170"/>
    <w:rsid w:val="44054362"/>
    <w:rsid w:val="446E0C3D"/>
    <w:rsid w:val="449C5E6A"/>
    <w:rsid w:val="44AD07BB"/>
    <w:rsid w:val="451C7579"/>
    <w:rsid w:val="456D114B"/>
    <w:rsid w:val="45A217C5"/>
    <w:rsid w:val="45EB670F"/>
    <w:rsid w:val="469D547E"/>
    <w:rsid w:val="46AB7C0D"/>
    <w:rsid w:val="46C71DA3"/>
    <w:rsid w:val="46D44808"/>
    <w:rsid w:val="47CF49E6"/>
    <w:rsid w:val="4843587B"/>
    <w:rsid w:val="484A67E7"/>
    <w:rsid w:val="48674ED2"/>
    <w:rsid w:val="487708E6"/>
    <w:rsid w:val="49645F71"/>
    <w:rsid w:val="499F5C68"/>
    <w:rsid w:val="4A0F187A"/>
    <w:rsid w:val="4AF16062"/>
    <w:rsid w:val="4B2C6678"/>
    <w:rsid w:val="4B646DDD"/>
    <w:rsid w:val="4B7F44F8"/>
    <w:rsid w:val="4BAC24C5"/>
    <w:rsid w:val="4BFA0656"/>
    <w:rsid w:val="4C5145E8"/>
    <w:rsid w:val="4C5567C9"/>
    <w:rsid w:val="4D730507"/>
    <w:rsid w:val="4D741DD3"/>
    <w:rsid w:val="4DC93207"/>
    <w:rsid w:val="4E2A22FD"/>
    <w:rsid w:val="4E8D5761"/>
    <w:rsid w:val="4ED80FF1"/>
    <w:rsid w:val="4EF54A85"/>
    <w:rsid w:val="4F6F75D9"/>
    <w:rsid w:val="4FF926E4"/>
    <w:rsid w:val="501B3C66"/>
    <w:rsid w:val="504B40C5"/>
    <w:rsid w:val="50987DC2"/>
    <w:rsid w:val="50A4703E"/>
    <w:rsid w:val="5136104F"/>
    <w:rsid w:val="51935D8C"/>
    <w:rsid w:val="51BB0BE8"/>
    <w:rsid w:val="51DA6E2E"/>
    <w:rsid w:val="51E55C99"/>
    <w:rsid w:val="51F85506"/>
    <w:rsid w:val="52071113"/>
    <w:rsid w:val="52447C09"/>
    <w:rsid w:val="525A440D"/>
    <w:rsid w:val="54741940"/>
    <w:rsid w:val="54810E66"/>
    <w:rsid w:val="54C2556E"/>
    <w:rsid w:val="55480EEF"/>
    <w:rsid w:val="56570E30"/>
    <w:rsid w:val="572B1F0C"/>
    <w:rsid w:val="57AE5C26"/>
    <w:rsid w:val="57DD75A9"/>
    <w:rsid w:val="58256ABD"/>
    <w:rsid w:val="59472AC7"/>
    <w:rsid w:val="59BD150F"/>
    <w:rsid w:val="59DD570D"/>
    <w:rsid w:val="59FF5EDC"/>
    <w:rsid w:val="5A084708"/>
    <w:rsid w:val="5AB343F7"/>
    <w:rsid w:val="5ABF50F2"/>
    <w:rsid w:val="5AF76904"/>
    <w:rsid w:val="5B052E7A"/>
    <w:rsid w:val="5B0E3A83"/>
    <w:rsid w:val="5B3D7F7E"/>
    <w:rsid w:val="5B7C7777"/>
    <w:rsid w:val="5B9462A0"/>
    <w:rsid w:val="5BEC6771"/>
    <w:rsid w:val="5CA506B9"/>
    <w:rsid w:val="5CFD5FB2"/>
    <w:rsid w:val="5D2B52D8"/>
    <w:rsid w:val="5D5A7C63"/>
    <w:rsid w:val="5E256F6F"/>
    <w:rsid w:val="5F266920"/>
    <w:rsid w:val="5F6235A9"/>
    <w:rsid w:val="5F77638B"/>
    <w:rsid w:val="5FED5F7E"/>
    <w:rsid w:val="614125C2"/>
    <w:rsid w:val="624C5C52"/>
    <w:rsid w:val="6286313C"/>
    <w:rsid w:val="63952BB5"/>
    <w:rsid w:val="63DF08E4"/>
    <w:rsid w:val="64127E15"/>
    <w:rsid w:val="64C04AFD"/>
    <w:rsid w:val="651915C4"/>
    <w:rsid w:val="65256EAA"/>
    <w:rsid w:val="661A7B69"/>
    <w:rsid w:val="664909C1"/>
    <w:rsid w:val="66C63EB5"/>
    <w:rsid w:val="677772D0"/>
    <w:rsid w:val="679461D3"/>
    <w:rsid w:val="6858287E"/>
    <w:rsid w:val="69157114"/>
    <w:rsid w:val="691A443E"/>
    <w:rsid w:val="6A80735F"/>
    <w:rsid w:val="6A9B49DC"/>
    <w:rsid w:val="6ACC5E47"/>
    <w:rsid w:val="6AD43ED1"/>
    <w:rsid w:val="6B11024D"/>
    <w:rsid w:val="6B7D5B36"/>
    <w:rsid w:val="6CF120A8"/>
    <w:rsid w:val="6F8A37EA"/>
    <w:rsid w:val="714213DD"/>
    <w:rsid w:val="717F272E"/>
    <w:rsid w:val="71F02E49"/>
    <w:rsid w:val="728027C6"/>
    <w:rsid w:val="72996FB6"/>
    <w:rsid w:val="72D54D7C"/>
    <w:rsid w:val="731C6E4F"/>
    <w:rsid w:val="737664E0"/>
    <w:rsid w:val="73FE7ACC"/>
    <w:rsid w:val="74053F35"/>
    <w:rsid w:val="74556746"/>
    <w:rsid w:val="749239D5"/>
    <w:rsid w:val="74AB7A24"/>
    <w:rsid w:val="75E336E1"/>
    <w:rsid w:val="7659695A"/>
    <w:rsid w:val="76BB79B1"/>
    <w:rsid w:val="76C17E06"/>
    <w:rsid w:val="76CA67BD"/>
    <w:rsid w:val="774E6400"/>
    <w:rsid w:val="775B0046"/>
    <w:rsid w:val="78796248"/>
    <w:rsid w:val="78B2790D"/>
    <w:rsid w:val="79700BEF"/>
    <w:rsid w:val="79F85634"/>
    <w:rsid w:val="7A090695"/>
    <w:rsid w:val="7A24483B"/>
    <w:rsid w:val="7AE175F4"/>
    <w:rsid w:val="7B417685"/>
    <w:rsid w:val="7B5220F0"/>
    <w:rsid w:val="7B5255F9"/>
    <w:rsid w:val="7B5A6766"/>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31</Pages>
  <Words>7181</Words>
  <Characters>8616</Characters>
  <Lines>71</Lines>
  <Paragraphs>20</Paragraphs>
  <TotalTime>1</TotalTime>
  <ScaleCrop>false</ScaleCrop>
  <LinksUpToDate>false</LinksUpToDate>
  <CharactersWithSpaces>9147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微信用户</cp:lastModifiedBy>
  <cp:lastPrinted>2024-01-29T03:21:00Z</cp:lastPrinted>
  <dcterms:modified xsi:type="dcterms:W3CDTF">2024-01-30T10:28:58Z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commondata">
    <vt:lpwstr>eyJoZGlkIjoiZWM5MjE1YWFmYzZkMzU5ZGRkN2NlNjYxOGIzMjAyOWQifQ==</vt:lpwstr>
  </property>
  <property fmtid="{D5CDD505-2E9C-101B-9397-08002B2CF9AE}" pid="4" name="ICV">
    <vt:lpwstr>DE97D71D2F4E44D0B92DA84DACB47F02_13</vt:lpwstr>
  </property>
</Properties>
</file>