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u w:val="single"/>
          <w:lang w:val="en-US" w:eastAsia="zh-CN"/>
        </w:rPr>
        <w:t>通榆县新兴乡人民政府</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1"/>
        </w:numPr>
        <w:ind w:firstLine="640" w:firstLineChars="200"/>
        <w:rPr>
          <w:rFonts w:eastAsia="楷体_GB2312"/>
        </w:rPr>
      </w:pPr>
      <w:r>
        <w:rPr>
          <w:rFonts w:eastAsia="楷体_GB2312"/>
        </w:rPr>
        <w:t>主要职能</w:t>
      </w:r>
    </w:p>
    <w:p>
      <w:pPr>
        <w:numPr>
          <w:ilvl w:val="0"/>
          <w:numId w:val="0"/>
        </w:numPr>
        <w:ind w:firstLine="640" w:firstLineChars="200"/>
        <w:rPr>
          <w:rFonts w:hint="eastAsia" w:eastAsia="楷体_GB2312"/>
        </w:rPr>
      </w:pPr>
      <w:r>
        <w:rPr>
          <w:rFonts w:hint="eastAsia" w:eastAsia="楷体_GB2312"/>
        </w:rPr>
        <w:t>中共通榆县新兴乡委员会（以下简称新兴乡党委）是乡各种组织、县级部门延伸机构和各项工作的领导核心，对乡经济、政治、文化、社会、生态文明建设实行全面领导，对乡党的建设和乡村振兴全面负责。通榆县新兴乡人民政府(以下简称新兴乡政府）根据乡经济社会发展的特点和资源禀赋，确定功能定位，加快职能转变步伐，推进区域发展。</w:t>
      </w:r>
    </w:p>
    <w:p>
      <w:pPr>
        <w:numPr>
          <w:ilvl w:val="0"/>
          <w:numId w:val="0"/>
        </w:numPr>
        <w:ind w:firstLine="640" w:firstLineChars="200"/>
        <w:rPr>
          <w:rFonts w:hint="eastAsia" w:eastAsia="楷体_GB2312"/>
        </w:rPr>
      </w:pPr>
      <w:r>
        <w:rPr>
          <w:rFonts w:hint="eastAsia" w:eastAsia="楷体_GB231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numPr>
          <w:ilvl w:val="0"/>
          <w:numId w:val="0"/>
        </w:numPr>
        <w:rPr>
          <w:rFonts w:hint="eastAsia" w:eastAsia="楷体_GB2312"/>
        </w:rPr>
      </w:pPr>
      <w:r>
        <w:rPr>
          <w:rFonts w:hint="eastAsia" w:eastAsia="楷体_GB2312"/>
          <w:lang w:val="en-US" w:eastAsia="zh-CN"/>
        </w:rPr>
        <w:t xml:space="preserve">    （二）</w:t>
      </w:r>
      <w:r>
        <w:rPr>
          <w:rFonts w:hint="eastAsia" w:eastAsia="楷体_GB2312"/>
        </w:rPr>
        <w:t>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numPr>
          <w:ilvl w:val="0"/>
          <w:numId w:val="0"/>
        </w:numPr>
        <w:ind w:firstLine="640" w:firstLineChars="200"/>
        <w:rPr>
          <w:rFonts w:hint="eastAsia" w:eastAsia="楷体_GB2312"/>
        </w:rPr>
      </w:pPr>
      <w:r>
        <w:rPr>
          <w:rFonts w:hint="eastAsia" w:eastAsia="楷体_GB231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w:t>
      </w:r>
    </w:p>
    <w:p>
      <w:pPr>
        <w:numPr>
          <w:ilvl w:val="0"/>
          <w:numId w:val="0"/>
        </w:numPr>
        <w:ind w:firstLine="640" w:firstLineChars="200"/>
        <w:rPr>
          <w:rFonts w:eastAsia="楷体_GB2312"/>
        </w:rPr>
      </w:pPr>
      <w:r>
        <w:rPr>
          <w:rFonts w:hint="eastAsia" w:eastAsia="楷体_GB231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widowControl w:val="0"/>
        <w:numPr>
          <w:ilvl w:val="0"/>
          <w:numId w:val="0"/>
        </w:numPr>
        <w:ind w:firstLine="640" w:firstLineChars="200"/>
        <w:jc w:val="both"/>
        <w:rPr>
          <w:rFonts w:eastAsia="楷体_GB2312"/>
        </w:rPr>
      </w:pPr>
      <w:r>
        <w:rPr>
          <w:rFonts w:hint="eastAsia" w:eastAsia="楷体_GB2312"/>
          <w:lang w:eastAsia="zh-CN"/>
        </w:rPr>
        <w:t>（</w:t>
      </w:r>
      <w:r>
        <w:rPr>
          <w:rFonts w:hint="eastAsia" w:eastAsia="楷体_GB2312"/>
          <w:lang w:val="en-US" w:eastAsia="zh-CN"/>
        </w:rPr>
        <w:t>五）</w:t>
      </w:r>
      <w:r>
        <w:rPr>
          <w:rFonts w:hint="eastAsia" w:eastAsia="楷体_GB2312"/>
        </w:rPr>
        <w:t>完成法律、法规、法章规定的其他事项和县委、县政府交办的其他任务。</w:t>
      </w:r>
    </w:p>
    <w:p>
      <w:pPr>
        <w:widowControl w:val="0"/>
        <w:numPr>
          <w:ilvl w:val="0"/>
          <w:numId w:val="0"/>
        </w:numPr>
        <w:jc w:val="both"/>
        <w:rPr>
          <w:rFonts w:eastAsia="楷体_GB2312"/>
        </w:rPr>
      </w:pPr>
    </w:p>
    <w:p>
      <w:pPr>
        <w:widowControl w:val="0"/>
        <w:numPr>
          <w:ilvl w:val="0"/>
          <w:numId w:val="0"/>
        </w:numPr>
        <w:jc w:val="both"/>
        <w:rPr>
          <w:rFonts w:eastAsia="楷体_GB2312"/>
        </w:rPr>
      </w:pP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val="en-US" w:eastAsia="zh-CN"/>
        </w:rPr>
        <w:t>通榆县新兴乡人民政府</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7</w:t>
      </w:r>
      <w:r>
        <w:rPr>
          <w:rFonts w:hint="eastAsia" w:ascii="仿宋_GB2312" w:hAnsi="仿宋_GB2312" w:eastAsia="仿宋_GB2312" w:cs="仿宋_GB2312"/>
        </w:rPr>
        <w:t>个机构。</w:t>
      </w:r>
    </w:p>
    <w:p>
      <w:pPr>
        <w:pStyle w:val="51"/>
        <w:ind w:firstLine="640" w:firstLineChars="200"/>
        <w:rPr>
          <w:rFonts w:eastAsia="楷体"/>
        </w:rPr>
      </w:pPr>
    </w:p>
    <w:p>
      <w:pPr>
        <w:pStyle w:val="51"/>
        <w:ind w:firstLine="640" w:firstLineChars="200"/>
        <w:rPr>
          <w:rFonts w:eastAsia="楷体"/>
        </w:rPr>
      </w:pPr>
    </w:p>
    <w:p>
      <w:pPr>
        <w:jc w:val="both"/>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442.16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442.16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358.48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43.39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442.16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442.16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442.16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442.16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442.16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442.16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442.16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442.16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val="en-US" w:eastAsia="zh-CN"/>
              </w:rPr>
              <w:t>通榆县新兴乡人民政府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442.16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442.16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442.16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442.16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442.16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442.16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285.60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政府办公厅（室）及相关机关事务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285.60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rPr>
                    <w:t>二、</w:t>
                  </w:r>
                  <w:r>
                    <w:rPr>
                      <w:rFonts w:hint="eastAsia" w:eastAsia="宋体"/>
                      <w:color w:val="000000"/>
                      <w:kern w:val="0"/>
                      <w:sz w:val="20"/>
                      <w:lang w:val="en-US"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w:t>
                  </w:r>
                  <w:r>
                    <w:rPr>
                      <w:rFonts w:eastAsia="宋体"/>
                      <w:color w:val="000000"/>
                      <w:kern w:val="0"/>
                      <w:sz w:val="20"/>
                    </w:rPr>
                    <w:t>、</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医疗卫生和计划生育支出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342.28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43.39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43.39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442.16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312"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285.6</w:t>
                  </w:r>
                </w:p>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241.38</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285.6</w:t>
                  </w:r>
                </w:p>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241.38</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285.6</w:t>
                  </w:r>
                </w:p>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241.38</w:t>
                  </w:r>
                </w:p>
                <w:p>
                  <w:pPr>
                    <w:widowControl/>
                    <w:jc w:val="center"/>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369.28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325.06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315.83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315.83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99.68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99.68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83.62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83.62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46.09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46.09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35.04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35.04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8.35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0.22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25.07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25.07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2.76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44.22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44.22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kern w:val="0"/>
                <w:sz w:val="20"/>
                <w:lang w:val="en-US" w:eastAsia="zh-CN"/>
              </w:rPr>
            </w:pPr>
            <w:r>
              <w:rPr>
                <w:rFonts w:hint="eastAsia" w:eastAsia="宋体"/>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2.5</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公务车运行费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2.8</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15.42</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15.42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9.23</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eastAsia="宋体"/>
                <w:color w:val="000000"/>
                <w:sz w:val="20"/>
              </w:rPr>
            </w:pPr>
            <w:r>
              <w:rPr>
                <w:rFonts w:hint="eastAsia" w:eastAsia="宋体"/>
                <w:color w:val="000000"/>
                <w:sz w:val="20"/>
                <w:lang w:val="en-US" w:eastAsia="zh-CN"/>
              </w:rPr>
              <w:t>9.23</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default" w:eastAsia="宋体"/>
                <w:color w:val="000000"/>
                <w:sz w:val="20"/>
                <w:lang w:val="en-US" w:eastAsia="zh-CN"/>
              </w:rPr>
            </w:pPr>
          </w:p>
        </w:tc>
      </w:tr>
    </w:tbl>
    <w:p>
      <w:pPr>
        <w:ind w:firstLine="480" w:firstLineChars="200"/>
        <w:jc w:val="cente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jc w:val="cente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2.8</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w:t>
            </w:r>
            <w:r>
              <w:rPr>
                <w:rFonts w:hint="eastAsia"/>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39</w:t>
            </w:r>
            <w:r>
              <w:rPr>
                <w:color w:val="000000"/>
                <w:kern w:val="0"/>
                <w:sz w:val="28"/>
                <w:szCs w:val="28"/>
              </w:rPr>
              <w:t>人，其中：在职人员</w:t>
            </w:r>
            <w:r>
              <w:rPr>
                <w:rFonts w:hint="eastAsia" w:eastAsia="宋体"/>
                <w:color w:val="000000"/>
                <w:kern w:val="0"/>
                <w:sz w:val="28"/>
                <w:szCs w:val="28"/>
                <w:u w:val="single"/>
                <w:lang w:val="en-US" w:eastAsia="zh-CN"/>
              </w:rPr>
              <w:t>24</w:t>
            </w:r>
            <w:r>
              <w:rPr>
                <w:color w:val="000000"/>
                <w:kern w:val="0"/>
                <w:sz w:val="28"/>
                <w:szCs w:val="28"/>
              </w:rPr>
              <w:t>人，离退休人员</w:t>
            </w:r>
            <w:r>
              <w:rPr>
                <w:rFonts w:hint="eastAsia" w:eastAsia="宋体"/>
                <w:color w:val="000000"/>
                <w:kern w:val="0"/>
                <w:sz w:val="28"/>
                <w:szCs w:val="28"/>
                <w:u w:val="single"/>
                <w:lang w:val="en-US" w:eastAsia="zh-CN"/>
              </w:rPr>
              <w:t>15</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83"/>
        <w:gridCol w:w="555"/>
        <w:gridCol w:w="467"/>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8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43"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8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4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583" w:type="dxa"/>
            <w:vMerge w:val="continue"/>
            <w:noWrap w:val="0"/>
            <w:vAlign w:val="center"/>
          </w:tcPr>
          <w:p>
            <w:pPr>
              <w:autoSpaceDN w:val="0"/>
              <w:jc w:val="center"/>
              <w:textAlignment w:val="center"/>
              <w:rPr>
                <w:rFonts w:ascii="Calibri" w:hAnsi="Calibri" w:eastAsia="华文细黑"/>
                <w:color w:val="000000"/>
                <w:sz w:val="20"/>
                <w:szCs w:val="22"/>
              </w:rPr>
            </w:pPr>
          </w:p>
        </w:tc>
        <w:tc>
          <w:tcPr>
            <w:tcW w:w="55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2024年大学生村官工资</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2024年大学生村官工资</w:t>
            </w:r>
          </w:p>
        </w:tc>
        <w:tc>
          <w:tcPr>
            <w:tcW w:w="8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新兴乡人民政府</w:t>
            </w:r>
          </w:p>
        </w:tc>
        <w:tc>
          <w:tcPr>
            <w:tcW w:w="58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9.44</w:t>
            </w:r>
          </w:p>
        </w:tc>
        <w:tc>
          <w:tcPr>
            <w:tcW w:w="55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9.44</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2024年转移支付</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2024年转移支付</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新兴乡人民政府</w:t>
            </w:r>
          </w:p>
        </w:tc>
        <w:tc>
          <w:tcPr>
            <w:tcW w:w="58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21.98</w:t>
            </w:r>
          </w:p>
        </w:tc>
        <w:tc>
          <w:tcPr>
            <w:tcW w:w="55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21.98</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2024年辅助岗人员工资</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2024年辅助岗人员工资</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新兴乡人民政府</w:t>
            </w:r>
          </w:p>
        </w:tc>
        <w:tc>
          <w:tcPr>
            <w:tcW w:w="58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34.26</w:t>
            </w:r>
          </w:p>
        </w:tc>
        <w:tc>
          <w:tcPr>
            <w:tcW w:w="55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34.26</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2024年驻村工作队生活补贴</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2024年驻村工作队生活补贴</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新兴乡人民政府</w:t>
            </w:r>
          </w:p>
        </w:tc>
        <w:tc>
          <w:tcPr>
            <w:tcW w:w="58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7.2</w:t>
            </w:r>
          </w:p>
        </w:tc>
        <w:tc>
          <w:tcPr>
            <w:tcW w:w="55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noWrap w:val="0"/>
            <w:vAlign w:val="center"/>
          </w:tcPr>
          <w:p>
            <w:pPr>
              <w:autoSpaceDN w:val="0"/>
              <w:jc w:val="center"/>
              <w:textAlignment w:val="center"/>
              <w:rPr>
                <w:rFonts w:hint="eastAsia" w:ascii="宋体" w:hAnsi="宋体" w:eastAsia="宋体" w:cs="宋体"/>
                <w:color w:val="000000"/>
                <w:sz w:val="20"/>
                <w:szCs w:val="22"/>
              </w:rPr>
            </w:pPr>
          </w:p>
        </w:tc>
        <w:tc>
          <w:tcPr>
            <w:tcW w:w="58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72.88</w:t>
            </w:r>
          </w:p>
        </w:tc>
        <w:tc>
          <w:tcPr>
            <w:tcW w:w="55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72.88</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2024年大学生村官工资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9.44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新兴乡用于支付</w:t>
            </w:r>
            <w:r>
              <w:rPr>
                <w:rFonts w:hint="eastAsia" w:ascii="宋体" w:hAnsi="宋体" w:eastAsia="宋体" w:cs="宋体"/>
                <w:color w:val="000000"/>
                <w:sz w:val="20"/>
                <w:lang w:val="en-US" w:eastAsia="zh-CN"/>
              </w:rPr>
              <w:t>2024年大学生村官工资本年内实施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大学生村官人数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工资发放对村官生活质量影响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在职村官月平均收入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&lt;=3933元/月/人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村官工资及五险一金发放及时率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在职村官对工作完成及时率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eastAsia="zh-CN"/>
              </w:rPr>
              <w:t>在职村官对工作完成满意度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2024年大学生辅助岗人员工资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用于支付</w:t>
            </w:r>
            <w:r>
              <w:rPr>
                <w:rFonts w:hint="eastAsia" w:ascii="宋体" w:hAnsi="宋体" w:eastAsia="宋体" w:cs="宋体"/>
                <w:color w:val="000000"/>
                <w:sz w:val="20"/>
                <w:lang w:val="en-US" w:eastAsia="zh-CN"/>
              </w:rPr>
              <w:t>2024年大学生村官及辅助岗人员工资，保证辅助岗人员工资正常发放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18"/>
                <w:szCs w:val="18"/>
                <w:lang w:eastAsia="zh-CN"/>
              </w:rPr>
              <w:t>工资发放对辅助岗生活质量影响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辅助岗月平均收入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&lt;=3172元/月/人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工作完成满意度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2024年转移支出项目</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21.98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2024年用于本单位机构正常运转日常经费支出</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使用转移支付单位数量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通过使用转移支付资金的政府完成工作质量的达标情况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使用转移支付的金额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bookmarkStart w:id="0" w:name="_GoBack" w:colFirst="3" w:colLast="4"/>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保障工作正常运转率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bookmarkEnd w:id="0"/>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工作完成满意度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2024年驻村干部补助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新兴乡2024年驻村工作队生活补贴本年实施。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驻村第一书记人数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w:t>
      </w:r>
      <w:r>
        <w:rPr>
          <w:rFonts w:hint="eastAsia" w:ascii="仿宋_GB2312" w:hAnsi="仿宋_GB2312" w:cs="仿宋_GB2312"/>
          <w:szCs w:val="32"/>
          <w:u w:val="none"/>
          <w:lang w:val="en-US" w:eastAsia="zh-CN"/>
        </w:rPr>
        <w:t>442.16万元</w:t>
      </w:r>
      <w:r>
        <w:rPr>
          <w:rFonts w:hint="eastAsia" w:ascii="仿宋_GB2312" w:hAnsi="仿宋_GB2312" w:eastAsia="仿宋_GB2312" w:cs="仿宋_GB2312"/>
          <w:szCs w:val="32"/>
          <w:u w:val="none"/>
        </w:rPr>
        <w:t>、支出包括：一般公共服务支出</w:t>
      </w:r>
      <w:r>
        <w:rPr>
          <w:rFonts w:hint="eastAsia" w:ascii="仿宋_GB2312" w:hAnsi="仿宋_GB2312" w:cs="仿宋_GB2312"/>
          <w:szCs w:val="32"/>
          <w:u w:val="none"/>
          <w:lang w:val="en-US" w:eastAsia="zh-CN"/>
        </w:rPr>
        <w:t>358.48万元</w:t>
      </w:r>
      <w:r>
        <w:rPr>
          <w:rFonts w:hint="eastAsia" w:ascii="仿宋_GB2312" w:hAnsi="仿宋_GB2312" w:eastAsia="仿宋_GB2312" w:cs="仿宋_GB2312"/>
          <w:szCs w:val="32"/>
          <w:u w:val="none"/>
        </w:rPr>
        <w:t>、社会保障和就业支出</w:t>
      </w:r>
      <w:r>
        <w:rPr>
          <w:rFonts w:hint="eastAsia" w:ascii="仿宋_GB2312" w:hAnsi="仿宋_GB2312" w:cs="仿宋_GB2312"/>
          <w:szCs w:val="32"/>
          <w:u w:val="none"/>
          <w:lang w:val="en-US" w:eastAsia="zh-CN"/>
        </w:rPr>
        <w:t>43.39万元</w:t>
      </w:r>
      <w:r>
        <w:rPr>
          <w:rFonts w:hint="eastAsia" w:ascii="仿宋_GB2312" w:hAnsi="仿宋_GB2312" w:eastAsia="仿宋_GB2312" w:cs="仿宋_GB2312"/>
          <w:szCs w:val="32"/>
          <w:u w:val="none"/>
        </w:rPr>
        <w:t>、农林水支出、住房保障支出</w:t>
      </w:r>
      <w:r>
        <w:rPr>
          <w:rFonts w:hint="eastAsia" w:ascii="仿宋_GB2312" w:hAnsi="仿宋_GB2312" w:cs="仿宋_GB2312"/>
          <w:szCs w:val="32"/>
          <w:u w:val="none"/>
          <w:lang w:val="en-US" w:eastAsia="zh-CN"/>
        </w:rPr>
        <w:t>25.07万元</w:t>
      </w:r>
      <w:r>
        <w:rPr>
          <w:rFonts w:hint="eastAsia" w:ascii="仿宋_GB2312" w:hAnsi="仿宋_GB2312" w:eastAsia="仿宋_GB2312" w:cs="仿宋_GB2312"/>
          <w:szCs w:val="32"/>
          <w:u w:val="none"/>
        </w:rPr>
        <w:t>、</w:t>
      </w:r>
      <w:r>
        <w:rPr>
          <w:rFonts w:hint="eastAsia" w:ascii="仿宋_GB2312" w:hAnsi="仿宋_GB2312" w:cs="仿宋_GB2312"/>
          <w:szCs w:val="32"/>
          <w:u w:val="none"/>
          <w:lang w:eastAsia="zh-CN"/>
        </w:rPr>
        <w:t>医疗健康支出</w:t>
      </w:r>
      <w:r>
        <w:rPr>
          <w:rFonts w:hint="eastAsia" w:ascii="仿宋_GB2312" w:hAnsi="仿宋_GB2312" w:cs="仿宋_GB2312"/>
          <w:szCs w:val="32"/>
          <w:u w:val="none"/>
          <w:lang w:val="en-US" w:eastAsia="zh-CN"/>
        </w:rPr>
        <w:t>15.22万元</w:t>
      </w:r>
      <w:r>
        <w:rPr>
          <w:rFonts w:hint="eastAsia" w:ascii="仿宋_GB2312" w:hAnsi="仿宋_GB2312" w:eastAsia="仿宋_GB2312" w:cs="仿宋_GB2312"/>
          <w:szCs w:val="32"/>
          <w:u w:val="none"/>
        </w:rPr>
        <w:t>。</w:t>
      </w: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年收支总预算</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年预算增加</w:t>
      </w:r>
      <w:r>
        <w:rPr>
          <w:rFonts w:hint="eastAsia" w:ascii="仿宋_GB2312" w:hAnsi="仿宋_GB2312" w:cs="仿宋_GB2312"/>
          <w:szCs w:val="32"/>
          <w:u w:val="none"/>
          <w:lang w:val="en-US" w:eastAsia="zh-CN"/>
        </w:rPr>
        <w:t>39.98</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2024年乡政府人员福利待遇调整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w:t>
      </w:r>
      <w:r>
        <w:rPr>
          <w:rFonts w:hint="eastAsia" w:ascii="黑体" w:hAnsi="黑体" w:eastAsia="黑体" w:cs="黑体"/>
          <w:szCs w:val="32"/>
          <w:u w:val="none"/>
        </w:rPr>
        <w:t>年收入预算情况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年收入预算</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_%；政府性基金预算拨款结转_</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w:t>
      </w:r>
      <w:r>
        <w:rPr>
          <w:rFonts w:hint="eastAsia" w:ascii="黑体" w:hAnsi="黑体" w:eastAsia="黑体" w:cs="黑体"/>
          <w:szCs w:val="32"/>
          <w:u w:val="none"/>
        </w:rPr>
        <w:t>年支出预算情况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年支出预算</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369.28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83.52</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72.88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16.48</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w:t>
      </w:r>
      <w:r>
        <w:rPr>
          <w:rFonts w:hint="eastAsia" w:ascii="黑体" w:hAnsi="黑体" w:eastAsia="黑体" w:cs="黑体"/>
          <w:szCs w:val="32"/>
          <w:u w:val="none"/>
        </w:rPr>
        <w:t>年财政拨款收支预算情况</w:t>
      </w:r>
    </w:p>
    <w:p>
      <w:pPr>
        <w:ind w:firstLine="600"/>
        <w:rPr>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年财政拨款收支总预算</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val="en-US" w:eastAsia="zh-CN"/>
        </w:rPr>
        <w:t>358.48</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43.39</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15.22</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25.07</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w:t>
      </w:r>
      <w:r>
        <w:rPr>
          <w:rFonts w:hint="eastAsia" w:ascii="黑体" w:hAnsi="黑体" w:eastAsia="黑体" w:cs="黑体"/>
          <w:szCs w:val="30"/>
          <w:u w:val="none"/>
        </w:rPr>
        <w:t>年一般公共预算支出情况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年一般公共预算拨款</w:t>
      </w:r>
      <w:r>
        <w:rPr>
          <w:rFonts w:hint="eastAsia" w:ascii="仿宋_GB2312" w:hAnsi="仿宋_GB2312" w:cs="仿宋_GB2312"/>
          <w:szCs w:val="32"/>
          <w:u w:val="none"/>
          <w:lang w:val="en-US" w:eastAsia="zh-CN"/>
        </w:rPr>
        <w:t>442.16</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369.28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83.52</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72.88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16.48</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325.06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88.03</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44.22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11.97</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358.48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81.07</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通榆县新兴乡人民政府在职人员经费及办公经费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43.39</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9.8</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通榆县新兴乡人民政府在职人员养老保险缴费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25.07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5.7</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通榆县新兴乡人民政府在职人员住房公积金缴费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卫生健康</w:t>
      </w:r>
      <w:r>
        <w:rPr>
          <w:rFonts w:hint="eastAsia" w:ascii="仿宋_GB2312" w:hAnsi="仿宋_GB2312" w:eastAsia="仿宋_GB2312" w:cs="仿宋_GB2312"/>
          <w:szCs w:val="32"/>
          <w:u w:val="none"/>
        </w:rPr>
        <w:t>（类）支出</w:t>
      </w:r>
      <w:r>
        <w:rPr>
          <w:rFonts w:hint="eastAsia" w:ascii="仿宋_GB2312" w:hAnsi="仿宋_GB2312" w:cs="仿宋_GB2312"/>
          <w:szCs w:val="32"/>
          <w:u w:val="none"/>
          <w:lang w:val="en-US" w:eastAsia="zh-CN"/>
        </w:rPr>
        <w:t>15.22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3.44</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通榆县新兴乡人民政府在职人员医疗保险缴费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w:t>
      </w:r>
      <w:r>
        <w:rPr>
          <w:rFonts w:hint="eastAsia" w:ascii="黑体" w:hAnsi="黑体" w:eastAsia="黑体" w:cs="黑体"/>
          <w:szCs w:val="32"/>
          <w:u w:val="none"/>
        </w:rPr>
        <w:t>年一般公共预算基本支出情况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年一般公共预算基本支出</w:t>
      </w:r>
      <w:r>
        <w:rPr>
          <w:rFonts w:hint="eastAsia" w:ascii="仿宋_GB2312" w:hAnsi="仿宋_GB2312" w:cs="仿宋_GB2312"/>
          <w:szCs w:val="32"/>
          <w:u w:val="none"/>
          <w:lang w:val="en-US" w:eastAsia="zh-CN"/>
        </w:rPr>
        <w:t>369.28</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325.06</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44.22</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w:t>
      </w:r>
      <w:r>
        <w:rPr>
          <w:rFonts w:hint="eastAsia" w:ascii="黑体" w:hAnsi="黑体" w:eastAsia="黑体" w:cs="黑体"/>
          <w:szCs w:val="30"/>
          <w:u w:val="none"/>
        </w:rPr>
        <w:t>年一般公共预算财政拨款“三公”经费情况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年“三公”经费预算数为</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w:t>
      </w:r>
      <w:r>
        <w:rPr>
          <w:rFonts w:hint="eastAsia" w:ascii="仿宋_GB2312" w:hAnsi="仿宋_GB2312" w:cs="仿宋_GB2312"/>
          <w:szCs w:val="32"/>
          <w:u w:val="none"/>
          <w:lang w:val="en-US" w:eastAsia="zh-CN"/>
        </w:rPr>
        <w:t>2.4</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年预算数增加</w:t>
      </w:r>
      <w:r>
        <w:rPr>
          <w:rFonts w:hint="eastAsia" w:ascii="仿宋_GB2312" w:hAnsi="仿宋_GB2312" w:cs="仿宋_GB2312"/>
          <w:szCs w:val="32"/>
          <w:u w:val="none"/>
          <w:lang w:val="en-US" w:eastAsia="zh-CN"/>
        </w:rPr>
        <w:t>2.4</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年预算数增加</w:t>
      </w:r>
      <w:r>
        <w:rPr>
          <w:rFonts w:hint="eastAsia" w:ascii="仿宋_GB2312" w:hAnsi="仿宋_GB2312" w:cs="仿宋_GB2312"/>
          <w:szCs w:val="32"/>
          <w:u w:val="none"/>
          <w:lang w:val="en-US" w:eastAsia="zh-CN"/>
        </w:rPr>
        <w:t>2</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2024工作量增加，增加公车用车次数</w:t>
      </w:r>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w:t>
      </w:r>
      <w:r>
        <w:rPr>
          <w:rFonts w:eastAsia="楷体"/>
          <w:szCs w:val="32"/>
          <w:u w:val="none"/>
        </w:rPr>
        <w:t>年预算数要与当年公开数额保持一致。没有一般公共预算拨款的，直接表述为“本部门无一般公共预算拨款”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2"/>
          <w:u w:val="none"/>
        </w:rPr>
      </w:pPr>
      <w:r>
        <w:rPr>
          <w:rFonts w:eastAsia="楷体"/>
          <w:szCs w:val="32"/>
          <w:u w:val="none"/>
        </w:rPr>
        <w:br w:type="page"/>
      </w:r>
      <w:r>
        <w:rPr>
          <w:rFonts w:hint="eastAsia" w:ascii="黑体" w:hAnsi="黑体" w:eastAsia="黑体" w:cs="黑体"/>
          <w:szCs w:val="32"/>
          <w:u w:val="none"/>
        </w:rPr>
        <w:t>八、</w:t>
      </w:r>
      <w:r>
        <w:rPr>
          <w:rFonts w:hint="eastAsia" w:ascii="黑体" w:hAnsi="黑体" w:eastAsia="黑体" w:cs="黑体"/>
          <w:szCs w:val="32"/>
          <w:u w:val="none"/>
          <w:lang w:eastAsia="zh-CN"/>
        </w:rPr>
        <w:t>2024</w:t>
      </w:r>
      <w:r>
        <w:rPr>
          <w:rFonts w:hint="eastAsia" w:ascii="黑体" w:hAnsi="黑体" w:eastAsia="黑体" w:cs="黑体"/>
          <w:szCs w:val="32"/>
          <w:u w:val="none"/>
        </w:rPr>
        <w:t>年政府性基金预算支出情况</w:t>
      </w:r>
    </w:p>
    <w:p>
      <w:pPr>
        <w:ind w:firstLine="640"/>
        <w:rPr>
          <w:szCs w:val="32"/>
          <w:u w:val="none"/>
        </w:rPr>
      </w:pPr>
    </w:p>
    <w:p>
      <w:pPr>
        <w:ind w:firstLine="640"/>
        <w:rPr>
          <w:szCs w:val="32"/>
          <w:u w:val="none"/>
        </w:rPr>
      </w:pPr>
      <w:r>
        <w:rPr>
          <w:rFonts w:eastAsia="楷体"/>
          <w:szCs w:val="32"/>
          <w:u w:val="none"/>
        </w:rPr>
        <w:t>本部门无政府性基金预算拨款</w:t>
      </w:r>
    </w:p>
    <w:p>
      <w:pPr>
        <w:ind w:firstLine="640"/>
        <w:rPr>
          <w:szCs w:val="32"/>
          <w:u w:val="none"/>
        </w:rPr>
      </w:pPr>
    </w:p>
    <w:p>
      <w:pPr>
        <w:ind w:firstLine="640"/>
        <w:rPr>
          <w:szCs w:val="32"/>
          <w:u w:val="none"/>
        </w:rPr>
      </w:pPr>
    </w:p>
    <w:p>
      <w:pPr>
        <w:ind w:firstLine="640" w:firstLineChars="200"/>
        <w:rPr>
          <w:rFonts w:eastAsia="楷体"/>
          <w:szCs w:val="32"/>
          <w:u w:val="none"/>
        </w:rPr>
      </w:pPr>
      <w:r>
        <w:rPr>
          <w:rFonts w:eastAsia="楷体"/>
          <w:szCs w:val="32"/>
          <w:u w:val="none"/>
        </w:rPr>
        <w:t>注：政府性基金预算支出中包括的具体内容，按本部门《</w:t>
      </w:r>
      <w:r>
        <w:rPr>
          <w:rFonts w:hint="eastAsia" w:eastAsia="楷体"/>
          <w:szCs w:val="32"/>
          <w:u w:val="none"/>
        </w:rPr>
        <w:t>政府性基金预算支出表</w:t>
      </w:r>
      <w:r>
        <w:rPr>
          <w:rFonts w:eastAsia="楷体"/>
          <w:szCs w:val="32"/>
          <w:u w:val="none"/>
        </w:rPr>
        <w:t>》反映的实际情况取舍。没有政府性基金预算拨款的，直接表述为“本部门无政府性基金预算拨款”</w:t>
      </w:r>
      <w:r>
        <w:rPr>
          <w:rFonts w:hint="eastAsia" w:eastAsia="楷体"/>
          <w:szCs w:val="32"/>
          <w:u w:val="none"/>
        </w:rPr>
        <w:t>，不得直接删除</w:t>
      </w:r>
      <w:r>
        <w:rPr>
          <w:rFonts w:eastAsia="楷体"/>
          <w:szCs w:val="32"/>
          <w:u w:val="none"/>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u w:val="none"/>
        </w:rPr>
      </w:pPr>
      <w:r>
        <w:rPr>
          <w:rFonts w:hint="eastAsia" w:ascii="黑体" w:hAnsi="黑体" w:eastAsia="黑体" w:cs="黑体"/>
          <w:szCs w:val="32"/>
          <w:highlight w:val="none"/>
          <w:u w:val="none"/>
        </w:rPr>
        <w:t>九、</w:t>
      </w:r>
      <w:r>
        <w:rPr>
          <w:rFonts w:hint="eastAsia" w:ascii="黑体" w:hAnsi="黑体" w:eastAsia="黑体" w:cs="黑体"/>
          <w:szCs w:val="32"/>
          <w:highlight w:val="none"/>
          <w:u w:val="none"/>
          <w:lang w:eastAsia="zh-CN"/>
        </w:rPr>
        <w:t>2024</w:t>
      </w:r>
      <w:r>
        <w:rPr>
          <w:rFonts w:hint="eastAsia" w:ascii="黑体" w:hAnsi="黑体" w:eastAsia="黑体" w:cs="黑体"/>
          <w:szCs w:val="32"/>
          <w:highlight w:val="none"/>
          <w:u w:val="none"/>
        </w:rPr>
        <w:t>年国有资本经营预算支出情况</w:t>
      </w:r>
    </w:p>
    <w:p>
      <w:pPr>
        <w:ind w:firstLine="640"/>
        <w:rPr>
          <w:szCs w:val="32"/>
          <w:u w:val="none"/>
        </w:rPr>
      </w:pPr>
      <w:r>
        <w:rPr>
          <w:rFonts w:eastAsia="楷体"/>
          <w:szCs w:val="32"/>
          <w:u w:val="none"/>
        </w:rPr>
        <w:t>本部门无</w:t>
      </w:r>
      <w:r>
        <w:rPr>
          <w:rFonts w:hint="eastAsia" w:eastAsia="楷体"/>
          <w:szCs w:val="32"/>
          <w:u w:val="none"/>
        </w:rPr>
        <w:t>国有资本经营</w:t>
      </w:r>
      <w:r>
        <w:rPr>
          <w:rFonts w:eastAsia="楷体"/>
          <w:szCs w:val="32"/>
          <w:u w:val="none"/>
        </w:rPr>
        <w:t>预算拨款</w:t>
      </w:r>
    </w:p>
    <w:p>
      <w:pPr>
        <w:ind w:firstLine="640"/>
        <w:rPr>
          <w:szCs w:val="32"/>
          <w:u w:val="none"/>
        </w:rPr>
      </w:pPr>
    </w:p>
    <w:p>
      <w:pPr>
        <w:ind w:firstLine="640"/>
        <w:rPr>
          <w:szCs w:val="32"/>
          <w:u w:val="none"/>
        </w:rPr>
      </w:pPr>
    </w:p>
    <w:p>
      <w:pPr>
        <w:ind w:firstLine="640"/>
        <w:rPr>
          <w:szCs w:val="32"/>
          <w:u w:val="none"/>
        </w:rPr>
      </w:pPr>
    </w:p>
    <w:p>
      <w:pPr>
        <w:ind w:firstLine="640"/>
        <w:rPr>
          <w:rFonts w:eastAsia="楷体"/>
          <w:szCs w:val="32"/>
          <w:u w:val="none"/>
        </w:rPr>
      </w:pPr>
    </w:p>
    <w:p>
      <w:pPr>
        <w:ind w:firstLine="640"/>
        <w:rPr>
          <w:rFonts w:eastAsia="楷体"/>
          <w:szCs w:val="32"/>
          <w:u w:val="none"/>
        </w:rPr>
      </w:pPr>
      <w:r>
        <w:rPr>
          <w:rFonts w:eastAsia="楷体"/>
          <w:szCs w:val="32"/>
          <w:u w:val="none"/>
        </w:rPr>
        <w:t>注：</w:t>
      </w:r>
      <w:r>
        <w:rPr>
          <w:rFonts w:hint="eastAsia" w:eastAsia="楷体"/>
          <w:szCs w:val="32"/>
          <w:u w:val="none"/>
        </w:rPr>
        <w:t>国有资本经营预算</w:t>
      </w:r>
      <w:r>
        <w:rPr>
          <w:rFonts w:eastAsia="楷体"/>
          <w:szCs w:val="32"/>
          <w:u w:val="none"/>
        </w:rPr>
        <w:t>支出中包括的具体内容，按本部门《</w:t>
      </w:r>
      <w:r>
        <w:rPr>
          <w:rFonts w:hint="eastAsia" w:eastAsia="楷体"/>
          <w:szCs w:val="32"/>
          <w:u w:val="none"/>
        </w:rPr>
        <w:t>国有资本经营预算支出表</w:t>
      </w:r>
      <w:r>
        <w:rPr>
          <w:rFonts w:eastAsia="楷体"/>
          <w:szCs w:val="32"/>
          <w:u w:val="none"/>
        </w:rPr>
        <w:t>》反映的实际情况取舍。没有</w:t>
      </w:r>
      <w:r>
        <w:rPr>
          <w:rFonts w:hint="eastAsia" w:eastAsia="楷体"/>
          <w:szCs w:val="32"/>
          <w:u w:val="none"/>
        </w:rPr>
        <w:t>国有资本经营</w:t>
      </w:r>
      <w:r>
        <w:rPr>
          <w:rFonts w:eastAsia="楷体"/>
          <w:szCs w:val="32"/>
          <w:u w:val="none"/>
        </w:rPr>
        <w:t>预算拨款的，直接表述为“本部门无</w:t>
      </w:r>
      <w:r>
        <w:rPr>
          <w:rFonts w:hint="eastAsia" w:eastAsia="楷体"/>
          <w:szCs w:val="32"/>
          <w:u w:val="none"/>
        </w:rPr>
        <w:t>国有资本经营</w:t>
      </w:r>
      <w:r>
        <w:rPr>
          <w:rFonts w:eastAsia="楷体"/>
          <w:szCs w:val="32"/>
          <w:u w:val="none"/>
        </w:rPr>
        <w:t>预算拨款”</w:t>
      </w:r>
      <w:r>
        <w:rPr>
          <w:rFonts w:hint="eastAsia" w:eastAsia="楷体"/>
          <w:szCs w:val="32"/>
          <w:u w:val="none"/>
        </w:rPr>
        <w:t>，不得直接删除</w:t>
      </w:r>
      <w:r>
        <w:rPr>
          <w:rFonts w:eastAsia="楷体"/>
          <w:szCs w:val="32"/>
          <w:u w:val="none"/>
        </w:rPr>
        <w:t>。</w:t>
      </w:r>
    </w:p>
    <w:p>
      <w:pPr>
        <w:rPr>
          <w:rFonts w:eastAsia="楷体"/>
          <w:szCs w:val="32"/>
          <w:u w:val="none"/>
        </w:rPr>
      </w:pPr>
    </w:p>
    <w:p>
      <w:pPr>
        <w:ind w:firstLine="640"/>
        <w:rPr>
          <w:rFonts w:hint="eastAsia" w:eastAsia="黑体"/>
          <w:szCs w:val="32"/>
          <w:u w:val="none"/>
        </w:rPr>
      </w:pPr>
    </w:p>
    <w:p>
      <w:pPr>
        <w:ind w:firstLine="640"/>
        <w:rPr>
          <w:rFonts w:eastAsia="黑体"/>
          <w:szCs w:val="32"/>
          <w:u w:val="none"/>
        </w:rPr>
      </w:pPr>
      <w:r>
        <w:rPr>
          <w:rFonts w:hint="eastAsia" w:eastAsia="黑体"/>
          <w:szCs w:val="32"/>
          <w:u w:val="none"/>
        </w:rPr>
        <w:t>十</w:t>
      </w:r>
      <w:r>
        <w:rPr>
          <w:rFonts w:eastAsia="黑体"/>
          <w:szCs w:val="32"/>
          <w:u w:val="none"/>
        </w:rPr>
        <w:t>、其他重要事项的说明情况</w:t>
      </w:r>
    </w:p>
    <w:p>
      <w:pPr>
        <w:spacing w:line="540" w:lineRule="exact"/>
        <w:ind w:firstLine="640" w:firstLineChars="200"/>
        <w:rPr>
          <w:rFonts w:eastAsia="楷体"/>
          <w:szCs w:val="32"/>
          <w:u w:val="none"/>
        </w:rPr>
      </w:pPr>
      <w:r>
        <w:rPr>
          <w:rFonts w:eastAsia="楷体"/>
          <w:szCs w:val="32"/>
          <w:u w:val="none"/>
        </w:rPr>
        <w:t>（一）机关运行经费</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年部门本级</w:t>
      </w:r>
      <w:r>
        <w:rPr>
          <w:rFonts w:hint="eastAsia" w:ascii="仿宋_GB2312" w:hAnsi="仿宋_GB2312" w:cs="仿宋_GB2312"/>
          <w:szCs w:val="32"/>
          <w:u w:val="none"/>
          <w:lang w:eastAsia="zh-CN"/>
        </w:rPr>
        <w:t>一</w:t>
      </w:r>
      <w:r>
        <w:rPr>
          <w:rFonts w:hint="eastAsia" w:ascii="仿宋_GB2312" w:hAnsi="仿宋_GB2312" w:eastAsia="仿宋_GB2312" w:cs="仿宋_GB2312"/>
          <w:szCs w:val="32"/>
          <w:u w:val="none"/>
        </w:rPr>
        <w:t>家行政单位机关运行经费财政拨款预算</w:t>
      </w:r>
      <w:r>
        <w:rPr>
          <w:rFonts w:hint="eastAsia" w:ascii="仿宋_GB2312" w:hAnsi="仿宋_GB2312" w:cs="仿宋_GB2312"/>
          <w:szCs w:val="32"/>
          <w:u w:val="none"/>
          <w:lang w:val="en-US" w:eastAsia="zh-CN"/>
        </w:rPr>
        <w:t>44.22</w:t>
      </w:r>
      <w:r>
        <w:rPr>
          <w:rFonts w:hint="eastAsia" w:ascii="仿宋_GB2312" w:hAnsi="仿宋_GB2312" w:eastAsia="仿宋_GB2312" w:cs="仿宋_GB2312"/>
          <w:szCs w:val="32"/>
          <w:u w:val="none"/>
        </w:rPr>
        <w:t>万元，比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年预算增加</w:t>
      </w:r>
      <w:r>
        <w:rPr>
          <w:rFonts w:hint="eastAsia" w:ascii="仿宋_GB2312" w:hAnsi="仿宋_GB2312" w:cs="仿宋_GB2312"/>
          <w:szCs w:val="32"/>
          <w:u w:val="none"/>
          <w:lang w:val="en-US" w:eastAsia="zh-CN"/>
        </w:rPr>
        <w:t>17.82</w:t>
      </w:r>
      <w:r>
        <w:rPr>
          <w:rFonts w:hint="eastAsia" w:ascii="仿宋_GB2312" w:hAnsi="仿宋_GB2312" w:eastAsia="仿宋_GB2312" w:cs="仿宋_GB2312"/>
          <w:szCs w:val="32"/>
          <w:u w:val="none"/>
        </w:rPr>
        <w:t>万元，增长</w:t>
      </w:r>
      <w:r>
        <w:rPr>
          <w:rFonts w:hint="eastAsia" w:ascii="仿宋_GB2312" w:hAnsi="仿宋_GB2312" w:cs="仿宋_GB2312"/>
          <w:szCs w:val="32"/>
          <w:u w:val="none"/>
          <w:lang w:val="en-US" w:eastAsia="zh-CN"/>
        </w:rPr>
        <w:t>67.5</w:t>
      </w:r>
      <w:r>
        <w:rPr>
          <w:rFonts w:hint="eastAsia" w:ascii="仿宋_GB2312" w:hAnsi="仿宋_GB2312" w:eastAsia="仿宋_GB2312" w:cs="仿宋_GB2312"/>
          <w:szCs w:val="32"/>
          <w:u w:val="none"/>
        </w:rPr>
        <w:t>%，主要原因是</w:t>
      </w:r>
      <w:r>
        <w:rPr>
          <w:rFonts w:hint="eastAsia" w:ascii="仿宋_GB2312" w:hAnsi="仿宋_GB2312" w:cs="仿宋_GB2312"/>
          <w:szCs w:val="32"/>
          <w:u w:val="none"/>
          <w:lang w:val="en-US" w:eastAsia="zh-CN"/>
        </w:rPr>
        <w:t>2024年乡政府人员福利待遇调整。</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（二）政府采购情况</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本部门无政府采购</w:t>
      </w:r>
    </w:p>
    <w:p>
      <w:pPr>
        <w:spacing w:line="540" w:lineRule="exact"/>
        <w:ind w:firstLine="640" w:firstLineChars="200"/>
        <w:rPr>
          <w:rFonts w:eastAsia="楷体"/>
          <w:szCs w:val="32"/>
          <w:u w:val="none"/>
        </w:rPr>
      </w:pPr>
      <w:r>
        <w:rPr>
          <w:rFonts w:eastAsia="楷体"/>
          <w:szCs w:val="32"/>
          <w:u w:val="none"/>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w:t>
      </w:r>
      <w:r>
        <w:rPr>
          <w:rFonts w:hint="eastAsia" w:ascii="仿宋_GB2312" w:hAnsi="仿宋_GB2312" w:cs="仿宋_GB2312"/>
          <w:szCs w:val="32"/>
          <w:u w:val="none"/>
          <w:lang w:val="en-US" w:eastAsia="zh-CN"/>
        </w:rPr>
        <w:t>12</w:t>
      </w:r>
      <w:r>
        <w:rPr>
          <w:rFonts w:hint="eastAsia" w:ascii="仿宋_GB2312" w:hAnsi="仿宋_GB2312" w:eastAsia="仿宋_GB2312" w:cs="仿宋_GB2312"/>
          <w:szCs w:val="32"/>
          <w:u w:val="none"/>
        </w:rPr>
        <w:t>月底，部门本级和所属各预算单位共有车辆</w:t>
      </w:r>
      <w:r>
        <w:rPr>
          <w:rFonts w:hint="eastAsia" w:ascii="仿宋_GB2312" w:hAnsi="仿宋_GB2312" w:cs="仿宋_GB2312"/>
          <w:szCs w:val="32"/>
          <w:u w:val="none"/>
          <w:lang w:val="en-US" w:eastAsia="zh-CN"/>
        </w:rPr>
        <w:t>2</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1100</w:t>
      </w:r>
      <w:r>
        <w:rPr>
          <w:rFonts w:hint="eastAsia" w:ascii="仿宋_GB2312" w:hAnsi="仿宋_GB2312" w:eastAsia="仿宋_GB2312" w:cs="仿宋_GB2312"/>
          <w:szCs w:val="32"/>
          <w:u w:val="none"/>
        </w:rPr>
        <w:t>平方米，单价5</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w:t>
      </w:r>
      <w:r>
        <w:rPr>
          <w:rFonts w:hint="eastAsia" w:ascii="仿宋_GB2312" w:hAnsi="仿宋_GB2312" w:cs="仿宋_GB2312"/>
          <w:szCs w:val="32"/>
          <w:u w:val="none"/>
          <w:lang w:eastAsia="zh-CN"/>
        </w:rPr>
        <w:t>00</w:t>
      </w:r>
      <w:r>
        <w:rPr>
          <w:rFonts w:hint="eastAsia" w:ascii="仿宋_GB2312" w:hAnsi="仿宋_GB2312" w:eastAsia="仿宋_GB2312" w:cs="仿宋_GB2312"/>
          <w:szCs w:val="32"/>
          <w:u w:val="none"/>
        </w:rPr>
        <w:t>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年部门预算安排购置车辆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平方米，计划新增单价5</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台/套，计划新增单价1</w:t>
      </w:r>
      <w:r>
        <w:rPr>
          <w:rFonts w:hint="eastAsia" w:ascii="仿宋_GB2312" w:hAnsi="仿宋_GB2312" w:cs="仿宋_GB2312"/>
          <w:szCs w:val="32"/>
          <w:u w:val="none"/>
          <w:lang w:eastAsia="zh-CN"/>
        </w:rPr>
        <w:t>00</w:t>
      </w:r>
      <w:r>
        <w:rPr>
          <w:rFonts w:hint="eastAsia" w:ascii="仿宋_GB2312" w:hAnsi="仿宋_GB2312" w:eastAsia="仿宋_GB2312" w:cs="仿宋_GB2312"/>
          <w:szCs w:val="32"/>
          <w:u w:val="none"/>
        </w:rPr>
        <w:t>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numPr>
          <w:ilvl w:val="0"/>
          <w:numId w:val="2"/>
        </w:numPr>
        <w:spacing w:line="540" w:lineRule="exact"/>
        <w:ind w:firstLine="640" w:firstLineChars="200"/>
        <w:rPr>
          <w:rFonts w:hint="eastAsia" w:eastAsia="楷体"/>
          <w:szCs w:val="32"/>
          <w:highlight w:val="none"/>
          <w:u w:val="none"/>
        </w:rPr>
      </w:pPr>
      <w:r>
        <w:rPr>
          <w:rFonts w:hint="eastAsia" w:eastAsia="楷体"/>
          <w:szCs w:val="32"/>
          <w:highlight w:val="none"/>
          <w:u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w:t>
      </w:r>
      <w:r>
        <w:rPr>
          <w:rFonts w:hint="eastAsia" w:ascii="仿宋_GB2312" w:hAnsi="仿宋_GB2312" w:eastAsia="仿宋_GB2312" w:cs="仿宋_GB2312"/>
          <w:highlight w:val="none"/>
          <w:u w:val="none"/>
        </w:rPr>
        <w:t>年部门项目支出</w:t>
      </w:r>
      <w:r>
        <w:rPr>
          <w:rFonts w:hint="eastAsia" w:ascii="仿宋_GB2312" w:hAnsi="仿宋_GB2312" w:cs="仿宋_GB2312"/>
          <w:szCs w:val="32"/>
          <w:highlight w:val="none"/>
          <w:u w:val="none"/>
          <w:lang w:val="en-US" w:eastAsia="zh-CN"/>
        </w:rPr>
        <w:t>72.88</w:t>
      </w:r>
      <w:r>
        <w:rPr>
          <w:rFonts w:hint="eastAsia" w:ascii="仿宋_GB2312" w:hAnsi="仿宋_GB2312" w:eastAsia="仿宋_GB2312" w:cs="仿宋_GB2312"/>
          <w:szCs w:val="32"/>
          <w:highlight w:val="none"/>
          <w:u w:val="none"/>
        </w:rPr>
        <w:t>_万元，其中：二级项目</w:t>
      </w:r>
      <w:r>
        <w:rPr>
          <w:rFonts w:hint="eastAsia" w:ascii="仿宋_GB2312" w:hAnsi="仿宋_GB2312" w:cs="仿宋_GB2312"/>
          <w:szCs w:val="32"/>
          <w:highlight w:val="none"/>
          <w:u w:val="none"/>
          <w:lang w:val="en-US" w:eastAsia="zh-CN"/>
        </w:rPr>
        <w:t>4</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72.88</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u w:val="none"/>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w:t>
      </w:r>
      <w:r>
        <w:rPr>
          <w:rFonts w:hint="eastAsia" w:ascii="仿宋_GB2312" w:hAnsi="仿宋_GB2312" w:eastAsia="仿宋_GB2312" w:cs="仿宋_GB2312"/>
          <w:u w:val="none"/>
        </w:rPr>
        <w:t>年确定</w:t>
      </w:r>
      <w:r>
        <w:rPr>
          <w:rFonts w:hint="eastAsia" w:ascii="仿宋_GB2312" w:hAnsi="仿宋_GB2312" w:cs="仿宋_GB2312"/>
          <w:szCs w:val="32"/>
          <w:u w:val="none"/>
          <w:lang w:val="en-US" w:eastAsia="zh-CN"/>
        </w:rPr>
        <w:t>4</w:t>
      </w:r>
      <w:r>
        <w:rPr>
          <w:rFonts w:hint="eastAsia" w:ascii="仿宋_GB2312" w:hAnsi="仿宋_GB2312" w:eastAsia="仿宋_GB2312" w:cs="仿宋_GB2312"/>
          <w:u w:val="none"/>
        </w:rPr>
        <w:t>个</w:t>
      </w:r>
      <w:r>
        <w:rPr>
          <w:rFonts w:hint="eastAsia" w:ascii="仿宋_GB2312" w:hAnsi="仿宋_GB2312" w:cs="仿宋_GB2312"/>
          <w:u w:val="none"/>
          <w:lang w:eastAsia="zh-CN"/>
        </w:rPr>
        <w:t>二</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72.88</w:t>
      </w:r>
      <w:r>
        <w:rPr>
          <w:rFonts w:hint="eastAsia" w:ascii="仿宋_GB2312" w:hAnsi="仿宋_GB2312" w:eastAsia="仿宋_GB2312" w:cs="仿宋_GB2312"/>
          <w:u w:val="none"/>
        </w:rPr>
        <w:t>万元。</w:t>
      </w:r>
    </w:p>
    <w:p>
      <w:pPr>
        <w:ind w:firstLine="645"/>
        <w:rPr>
          <w:rFonts w:eastAsia="楷体"/>
          <w:szCs w:val="32"/>
          <w:u w:val="none"/>
        </w:rPr>
      </w:pPr>
    </w:p>
    <w:p>
      <w:pPr>
        <w:spacing w:line="540" w:lineRule="exact"/>
        <w:ind w:firstLine="640" w:firstLineChars="200"/>
        <w:rPr>
          <w:rFonts w:eastAsia="楷体"/>
          <w:szCs w:val="32"/>
          <w:u w:val="none"/>
        </w:rPr>
      </w:pPr>
      <w:r>
        <w:rPr>
          <w:rFonts w:eastAsia="楷体"/>
          <w:szCs w:val="32"/>
          <w:u w:val="none"/>
        </w:rPr>
        <w:t>注：没有需要按规定说明情况的，直接表述为“本部门无______”，不得直接删除。</w:t>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Fonts w:hint="eastAsia"/>
        <w:lang w:eastAsia="zh-CN"/>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FD5B7"/>
    <w:multiLevelType w:val="singleLevel"/>
    <w:tmpl w:val="FF8FD5B7"/>
    <w:lvl w:ilvl="0" w:tentative="0">
      <w:start w:val="1"/>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YzVmYjJjYTQxMjc1YmE1MzUwNGVjMmUxMmRhY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D1E2A"/>
    <w:rsid w:val="00EE1F67"/>
    <w:rsid w:val="00F47B19"/>
    <w:rsid w:val="00F7193F"/>
    <w:rsid w:val="00F8523B"/>
    <w:rsid w:val="00FF7928"/>
    <w:rsid w:val="01620FE6"/>
    <w:rsid w:val="019B69D8"/>
    <w:rsid w:val="020E6D2C"/>
    <w:rsid w:val="031D7D4B"/>
    <w:rsid w:val="04022755"/>
    <w:rsid w:val="046B78CB"/>
    <w:rsid w:val="0486486A"/>
    <w:rsid w:val="04954460"/>
    <w:rsid w:val="04F026C1"/>
    <w:rsid w:val="050D06DA"/>
    <w:rsid w:val="050F3BA7"/>
    <w:rsid w:val="05513E94"/>
    <w:rsid w:val="056F5A6D"/>
    <w:rsid w:val="059B3770"/>
    <w:rsid w:val="063949A0"/>
    <w:rsid w:val="067960C1"/>
    <w:rsid w:val="06BD5BC7"/>
    <w:rsid w:val="07D21289"/>
    <w:rsid w:val="07D21D7A"/>
    <w:rsid w:val="07F544B0"/>
    <w:rsid w:val="083C3D2C"/>
    <w:rsid w:val="09A0082A"/>
    <w:rsid w:val="0A334D52"/>
    <w:rsid w:val="0A430D0D"/>
    <w:rsid w:val="0A6653B7"/>
    <w:rsid w:val="0ABA06FE"/>
    <w:rsid w:val="0B293A5F"/>
    <w:rsid w:val="0B5F5ADA"/>
    <w:rsid w:val="0B710869"/>
    <w:rsid w:val="0C2A5C84"/>
    <w:rsid w:val="0CAE7AC3"/>
    <w:rsid w:val="0DA001B0"/>
    <w:rsid w:val="0DB6446C"/>
    <w:rsid w:val="0DEB170B"/>
    <w:rsid w:val="0E4C7841"/>
    <w:rsid w:val="0F3E0406"/>
    <w:rsid w:val="0F8B592F"/>
    <w:rsid w:val="0FD04DF1"/>
    <w:rsid w:val="0FD62F63"/>
    <w:rsid w:val="107728C7"/>
    <w:rsid w:val="10A13B09"/>
    <w:rsid w:val="10AE7F82"/>
    <w:rsid w:val="10C93B35"/>
    <w:rsid w:val="11177619"/>
    <w:rsid w:val="112605C8"/>
    <w:rsid w:val="116A377E"/>
    <w:rsid w:val="119A7465"/>
    <w:rsid w:val="12CF13B6"/>
    <w:rsid w:val="12E711B7"/>
    <w:rsid w:val="13693FB3"/>
    <w:rsid w:val="136D62BD"/>
    <w:rsid w:val="13F21722"/>
    <w:rsid w:val="1441443C"/>
    <w:rsid w:val="14432035"/>
    <w:rsid w:val="14C12787"/>
    <w:rsid w:val="15593E10"/>
    <w:rsid w:val="159F7E25"/>
    <w:rsid w:val="15F848D0"/>
    <w:rsid w:val="160E1FA5"/>
    <w:rsid w:val="160F2600"/>
    <w:rsid w:val="16844748"/>
    <w:rsid w:val="17765BCA"/>
    <w:rsid w:val="178C3D9A"/>
    <w:rsid w:val="17A027D8"/>
    <w:rsid w:val="1A375581"/>
    <w:rsid w:val="1A817DF8"/>
    <w:rsid w:val="1A8E38DF"/>
    <w:rsid w:val="1AAD3A82"/>
    <w:rsid w:val="1ADC594E"/>
    <w:rsid w:val="1AEB5252"/>
    <w:rsid w:val="1B4E306E"/>
    <w:rsid w:val="1C852172"/>
    <w:rsid w:val="1CA40C0C"/>
    <w:rsid w:val="1CFF4A32"/>
    <w:rsid w:val="1D833200"/>
    <w:rsid w:val="1E2D59A2"/>
    <w:rsid w:val="1E3A3FD0"/>
    <w:rsid w:val="1EB55C07"/>
    <w:rsid w:val="1F351A10"/>
    <w:rsid w:val="1FED47E9"/>
    <w:rsid w:val="206816AC"/>
    <w:rsid w:val="20E30067"/>
    <w:rsid w:val="22A4003E"/>
    <w:rsid w:val="23305E7B"/>
    <w:rsid w:val="23984063"/>
    <w:rsid w:val="239B3992"/>
    <w:rsid w:val="23CE11F0"/>
    <w:rsid w:val="23EC61F6"/>
    <w:rsid w:val="244C543C"/>
    <w:rsid w:val="24624768"/>
    <w:rsid w:val="24855D52"/>
    <w:rsid w:val="252464D1"/>
    <w:rsid w:val="2539376C"/>
    <w:rsid w:val="254C6FAD"/>
    <w:rsid w:val="259B5BC5"/>
    <w:rsid w:val="25C7462E"/>
    <w:rsid w:val="25F62C4E"/>
    <w:rsid w:val="265718D7"/>
    <w:rsid w:val="26643D6C"/>
    <w:rsid w:val="26DE5BEE"/>
    <w:rsid w:val="26FE109D"/>
    <w:rsid w:val="27073E1E"/>
    <w:rsid w:val="27B04AB3"/>
    <w:rsid w:val="28A63332"/>
    <w:rsid w:val="28AC5B31"/>
    <w:rsid w:val="29C45F24"/>
    <w:rsid w:val="2A836B6B"/>
    <w:rsid w:val="2BA32F62"/>
    <w:rsid w:val="2BA96EEA"/>
    <w:rsid w:val="2C3473EA"/>
    <w:rsid w:val="2DB72CF5"/>
    <w:rsid w:val="2DF8796C"/>
    <w:rsid w:val="2E4211F7"/>
    <w:rsid w:val="2EB22F18"/>
    <w:rsid w:val="2EE12108"/>
    <w:rsid w:val="2EED35E3"/>
    <w:rsid w:val="2F250383"/>
    <w:rsid w:val="2F63610B"/>
    <w:rsid w:val="300965A3"/>
    <w:rsid w:val="30730D6E"/>
    <w:rsid w:val="30B91A70"/>
    <w:rsid w:val="32CF2C5D"/>
    <w:rsid w:val="332C1A8F"/>
    <w:rsid w:val="335402B5"/>
    <w:rsid w:val="339466B2"/>
    <w:rsid w:val="34555AF5"/>
    <w:rsid w:val="35616772"/>
    <w:rsid w:val="35EA1663"/>
    <w:rsid w:val="35F4286F"/>
    <w:rsid w:val="364C598E"/>
    <w:rsid w:val="369F6ECB"/>
    <w:rsid w:val="36CC2B0F"/>
    <w:rsid w:val="371A614D"/>
    <w:rsid w:val="382943E1"/>
    <w:rsid w:val="3838492F"/>
    <w:rsid w:val="387258D7"/>
    <w:rsid w:val="3887374F"/>
    <w:rsid w:val="38AF6637"/>
    <w:rsid w:val="39041A07"/>
    <w:rsid w:val="39043B77"/>
    <w:rsid w:val="39073490"/>
    <w:rsid w:val="393F0DCD"/>
    <w:rsid w:val="39670895"/>
    <w:rsid w:val="3A450E3A"/>
    <w:rsid w:val="3A657F9A"/>
    <w:rsid w:val="3A9113D4"/>
    <w:rsid w:val="3AC54F32"/>
    <w:rsid w:val="3AE570F3"/>
    <w:rsid w:val="3B144A0A"/>
    <w:rsid w:val="3B1B2A0D"/>
    <w:rsid w:val="3B366613"/>
    <w:rsid w:val="3B7C071F"/>
    <w:rsid w:val="3BC92948"/>
    <w:rsid w:val="3BE370D4"/>
    <w:rsid w:val="3BEE3B6F"/>
    <w:rsid w:val="3C29381E"/>
    <w:rsid w:val="3C711E1D"/>
    <w:rsid w:val="3C7F463D"/>
    <w:rsid w:val="3CAE3960"/>
    <w:rsid w:val="3D1D6DC7"/>
    <w:rsid w:val="3D365BF6"/>
    <w:rsid w:val="3DF23324"/>
    <w:rsid w:val="3E0C60F4"/>
    <w:rsid w:val="3E3F6B1A"/>
    <w:rsid w:val="3EA14040"/>
    <w:rsid w:val="3EE8108D"/>
    <w:rsid w:val="3EE96C1F"/>
    <w:rsid w:val="405745EF"/>
    <w:rsid w:val="40B80EFF"/>
    <w:rsid w:val="41A35364"/>
    <w:rsid w:val="41C31686"/>
    <w:rsid w:val="423722E3"/>
    <w:rsid w:val="42470693"/>
    <w:rsid w:val="42982B4E"/>
    <w:rsid w:val="436B1E42"/>
    <w:rsid w:val="43993170"/>
    <w:rsid w:val="44054362"/>
    <w:rsid w:val="44114AB5"/>
    <w:rsid w:val="445F0B00"/>
    <w:rsid w:val="449C5E6A"/>
    <w:rsid w:val="44AC7342"/>
    <w:rsid w:val="44E91B95"/>
    <w:rsid w:val="454168D1"/>
    <w:rsid w:val="456D114B"/>
    <w:rsid w:val="45EB670F"/>
    <w:rsid w:val="46AB7C0D"/>
    <w:rsid w:val="46D44808"/>
    <w:rsid w:val="47A619B8"/>
    <w:rsid w:val="47CF49E6"/>
    <w:rsid w:val="4843587B"/>
    <w:rsid w:val="48674ED2"/>
    <w:rsid w:val="487708E6"/>
    <w:rsid w:val="494E592A"/>
    <w:rsid w:val="49645F71"/>
    <w:rsid w:val="499F5C68"/>
    <w:rsid w:val="4AF16062"/>
    <w:rsid w:val="4B646DDD"/>
    <w:rsid w:val="4B6B0F4E"/>
    <w:rsid w:val="4B7F44F8"/>
    <w:rsid w:val="4BAC24C5"/>
    <w:rsid w:val="4BFA0656"/>
    <w:rsid w:val="4C2555A1"/>
    <w:rsid w:val="4C5567C9"/>
    <w:rsid w:val="4CDD1AE0"/>
    <w:rsid w:val="4D730507"/>
    <w:rsid w:val="4D741DD3"/>
    <w:rsid w:val="4DC93207"/>
    <w:rsid w:val="4E2A22FD"/>
    <w:rsid w:val="4E8D5761"/>
    <w:rsid w:val="4ED96B17"/>
    <w:rsid w:val="4EF54A85"/>
    <w:rsid w:val="4F50038B"/>
    <w:rsid w:val="4F6924EB"/>
    <w:rsid w:val="4F6F75D9"/>
    <w:rsid w:val="501B3C66"/>
    <w:rsid w:val="504B40C5"/>
    <w:rsid w:val="50987DC2"/>
    <w:rsid w:val="50A4703E"/>
    <w:rsid w:val="5136104F"/>
    <w:rsid w:val="51586F4E"/>
    <w:rsid w:val="51E55C99"/>
    <w:rsid w:val="52071113"/>
    <w:rsid w:val="52447C09"/>
    <w:rsid w:val="525A440D"/>
    <w:rsid w:val="54741940"/>
    <w:rsid w:val="54810E66"/>
    <w:rsid w:val="54C2556E"/>
    <w:rsid w:val="55480EEF"/>
    <w:rsid w:val="554E136B"/>
    <w:rsid w:val="564474B7"/>
    <w:rsid w:val="56570E30"/>
    <w:rsid w:val="57AE5C26"/>
    <w:rsid w:val="57DD75A9"/>
    <w:rsid w:val="58256ABD"/>
    <w:rsid w:val="59472AC7"/>
    <w:rsid w:val="59BD150F"/>
    <w:rsid w:val="59DD570D"/>
    <w:rsid w:val="59F15AA1"/>
    <w:rsid w:val="59FF5EDC"/>
    <w:rsid w:val="5A084708"/>
    <w:rsid w:val="5AB343F7"/>
    <w:rsid w:val="5ABF50F2"/>
    <w:rsid w:val="5AF76904"/>
    <w:rsid w:val="5B052E7A"/>
    <w:rsid w:val="5B3D7F7E"/>
    <w:rsid w:val="5B7C7777"/>
    <w:rsid w:val="5B9462A0"/>
    <w:rsid w:val="5BEC6771"/>
    <w:rsid w:val="5BF16682"/>
    <w:rsid w:val="5CA506B9"/>
    <w:rsid w:val="5CFD5FB2"/>
    <w:rsid w:val="5D2B52D8"/>
    <w:rsid w:val="5D5A7C63"/>
    <w:rsid w:val="5E067695"/>
    <w:rsid w:val="5E256F6F"/>
    <w:rsid w:val="5F6235A9"/>
    <w:rsid w:val="614125C2"/>
    <w:rsid w:val="624C5C52"/>
    <w:rsid w:val="634E3553"/>
    <w:rsid w:val="63952BB5"/>
    <w:rsid w:val="63B10704"/>
    <w:rsid w:val="63DF08E4"/>
    <w:rsid w:val="64127E15"/>
    <w:rsid w:val="64C04AFD"/>
    <w:rsid w:val="64D231FC"/>
    <w:rsid w:val="661A7B69"/>
    <w:rsid w:val="664909C1"/>
    <w:rsid w:val="66C63EB5"/>
    <w:rsid w:val="677772D0"/>
    <w:rsid w:val="679461D3"/>
    <w:rsid w:val="67A12D44"/>
    <w:rsid w:val="6858287E"/>
    <w:rsid w:val="69157114"/>
    <w:rsid w:val="691A443E"/>
    <w:rsid w:val="6A80735F"/>
    <w:rsid w:val="6AA146AA"/>
    <w:rsid w:val="6ABE6E95"/>
    <w:rsid w:val="6ACC5E47"/>
    <w:rsid w:val="6AD43ED1"/>
    <w:rsid w:val="6AD633EB"/>
    <w:rsid w:val="6B11024D"/>
    <w:rsid w:val="6B7D5B36"/>
    <w:rsid w:val="6BB362CE"/>
    <w:rsid w:val="6BEA4202"/>
    <w:rsid w:val="6CF120A8"/>
    <w:rsid w:val="6D5533B5"/>
    <w:rsid w:val="6D717BC2"/>
    <w:rsid w:val="714213DD"/>
    <w:rsid w:val="717F272E"/>
    <w:rsid w:val="728027C6"/>
    <w:rsid w:val="72D54D7C"/>
    <w:rsid w:val="737664E0"/>
    <w:rsid w:val="73FE7ACC"/>
    <w:rsid w:val="74053F35"/>
    <w:rsid w:val="74556746"/>
    <w:rsid w:val="74AB7A24"/>
    <w:rsid w:val="76706292"/>
    <w:rsid w:val="76BB79B1"/>
    <w:rsid w:val="76C17E06"/>
    <w:rsid w:val="76CA67BD"/>
    <w:rsid w:val="773D2732"/>
    <w:rsid w:val="774E6400"/>
    <w:rsid w:val="775B0046"/>
    <w:rsid w:val="78796248"/>
    <w:rsid w:val="789271D8"/>
    <w:rsid w:val="78DB6A77"/>
    <w:rsid w:val="79700BEF"/>
    <w:rsid w:val="79F85634"/>
    <w:rsid w:val="7A090695"/>
    <w:rsid w:val="7ADD176E"/>
    <w:rsid w:val="7AE175F4"/>
    <w:rsid w:val="7B417685"/>
    <w:rsid w:val="7B5220F0"/>
    <w:rsid w:val="7B7470FC"/>
    <w:rsid w:val="7BA169C0"/>
    <w:rsid w:val="7BE95D3C"/>
    <w:rsid w:val="7BEF517F"/>
    <w:rsid w:val="7CAD595B"/>
    <w:rsid w:val="7CF65D07"/>
    <w:rsid w:val="7D2975D1"/>
    <w:rsid w:val="7DCC0CD6"/>
    <w:rsid w:val="7E046E5D"/>
    <w:rsid w:val="7E100A1C"/>
    <w:rsid w:val="7E51149B"/>
    <w:rsid w:val="7EEF54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8347</Words>
  <Characters>10294</Characters>
  <Lines>71</Lines>
  <Paragraphs>20</Paragraphs>
  <TotalTime>0</TotalTime>
  <ScaleCrop>false</ScaleCrop>
  <LinksUpToDate>false</LinksUpToDate>
  <CharactersWithSpaces>10820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2024-01-29T02:16:00Z</cp:lastPrinted>
  <dcterms:modified xsi:type="dcterms:W3CDTF">2024-01-30T10:27:59Z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A07397FA42CC485E99DA38C545EBB218_13</vt:lpwstr>
  </property>
</Properties>
</file>