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color w:val="auto"/>
          <w:u w:val="none"/>
        </w:rPr>
      </w:pPr>
      <w:r>
        <w:rPr>
          <w:rFonts w:eastAsia="黑体"/>
          <w:color w:val="auto"/>
          <w:u w:val="none"/>
        </w:rPr>
        <w:t>附件1：</w:t>
      </w:r>
    </w:p>
    <w:p>
      <w:pPr>
        <w:spacing w:line="700" w:lineRule="exact"/>
        <w:rPr>
          <w:rFonts w:eastAsia="黑体"/>
          <w:color w:val="auto"/>
          <w:u w:val="none"/>
        </w:rPr>
      </w:pPr>
    </w:p>
    <w:p>
      <w:pPr>
        <w:spacing w:line="700" w:lineRule="exact"/>
        <w:rPr>
          <w:rFonts w:eastAsia="黑体"/>
          <w:color w:val="auto"/>
          <w:u w:val="none"/>
        </w:rPr>
      </w:pPr>
    </w:p>
    <w:p>
      <w:pPr>
        <w:spacing w:line="700" w:lineRule="exact"/>
        <w:rPr>
          <w:rFonts w:eastAsia="黑体"/>
          <w:color w:val="auto"/>
          <w:u w:val="none"/>
        </w:rPr>
      </w:pPr>
    </w:p>
    <w:p>
      <w:pPr>
        <w:spacing w:line="700" w:lineRule="exact"/>
        <w:rPr>
          <w:rFonts w:eastAsia="黑体"/>
          <w:color w:val="auto"/>
          <w:u w:val="none"/>
        </w:rPr>
      </w:pPr>
    </w:p>
    <w:p>
      <w:pPr>
        <w:jc w:val="center"/>
        <w:rPr>
          <w:rFonts w:hint="eastAsia" w:eastAsia="方正小标宋简体"/>
          <w:color w:val="auto"/>
          <w:sz w:val="44"/>
          <w:szCs w:val="44"/>
          <w:u w:val="none"/>
          <w:lang w:eastAsia="zh-CN"/>
        </w:rPr>
      </w:pPr>
      <w:r>
        <w:rPr>
          <w:rFonts w:hint="eastAsia" w:eastAsia="方正小标宋简体"/>
          <w:color w:val="auto"/>
          <w:sz w:val="44"/>
          <w:szCs w:val="44"/>
          <w:u w:val="none"/>
          <w:lang w:eastAsia="zh-CN"/>
        </w:rPr>
        <w:t>通榆县应急管理局</w:t>
      </w:r>
    </w:p>
    <w:p>
      <w:pPr>
        <w:jc w:val="center"/>
        <w:rPr>
          <w:rFonts w:eastAsia="方正小标宋简体"/>
          <w:color w:val="auto"/>
          <w:sz w:val="44"/>
          <w:szCs w:val="44"/>
          <w:u w:val="none"/>
        </w:rPr>
      </w:pPr>
      <w:r>
        <w:rPr>
          <w:rFonts w:hint="eastAsia" w:eastAsia="方正小标宋简体"/>
          <w:color w:val="auto"/>
          <w:sz w:val="44"/>
          <w:szCs w:val="44"/>
          <w:u w:val="none"/>
          <w:lang w:eastAsia="zh-CN"/>
        </w:rPr>
        <w:t>2024</w:t>
      </w:r>
      <w:r>
        <w:rPr>
          <w:rFonts w:eastAsia="方正小标宋简体"/>
          <w:color w:val="auto"/>
          <w:sz w:val="44"/>
          <w:szCs w:val="44"/>
          <w:u w:val="none"/>
        </w:rPr>
        <w:t>年部门预算</w:t>
      </w:r>
    </w:p>
    <w:p>
      <w:pPr>
        <w:jc w:val="left"/>
        <w:rPr>
          <w:color w:val="auto"/>
          <w:u w:val="none"/>
        </w:rPr>
      </w:pPr>
      <w:r>
        <w:rPr>
          <w:color w:val="auto"/>
          <w:u w:val="none"/>
        </w:rPr>
        <w:tab/>
      </w:r>
      <w:r>
        <w:rPr>
          <w:color w:val="auto"/>
          <w:u w:val="none"/>
        </w:rPr>
        <w:tab/>
      </w:r>
      <w:r>
        <w:rPr>
          <w:color w:val="auto"/>
          <w:u w:val="none"/>
        </w:rPr>
        <w:tab/>
      </w:r>
      <w:r>
        <w:rPr>
          <w:color w:val="auto"/>
          <w:u w:val="none"/>
        </w:rPr>
        <w:tab/>
      </w:r>
      <w:r>
        <w:rPr>
          <w:color w:val="auto"/>
          <w:u w:val="none"/>
        </w:rPr>
        <w:tab/>
      </w:r>
      <w:r>
        <w:rPr>
          <w:color w:val="auto"/>
          <w:u w:val="none"/>
        </w:rPr>
        <w:tab/>
      </w:r>
    </w:p>
    <w:p>
      <w:pPr>
        <w:jc w:val="left"/>
        <w:rPr>
          <w:color w:val="auto"/>
          <w:u w:val="none"/>
        </w:rPr>
      </w:pPr>
    </w:p>
    <w:p>
      <w:pPr>
        <w:jc w:val="left"/>
        <w:rPr>
          <w:color w:val="auto"/>
          <w:u w:val="none"/>
        </w:rPr>
      </w:pPr>
    </w:p>
    <w:p>
      <w:pPr>
        <w:jc w:val="left"/>
        <w:rPr>
          <w:color w:val="auto"/>
          <w:u w:val="none"/>
        </w:rPr>
      </w:pPr>
    </w:p>
    <w:p>
      <w:pPr>
        <w:jc w:val="left"/>
        <w:rPr>
          <w:color w:val="auto"/>
          <w:u w:val="none"/>
        </w:rPr>
      </w:pPr>
    </w:p>
    <w:p>
      <w:pPr>
        <w:jc w:val="center"/>
        <w:rPr>
          <w:color w:val="auto"/>
          <w:u w:val="none"/>
        </w:rPr>
      </w:pPr>
      <w:r>
        <w:rPr>
          <w:rFonts w:hint="eastAsia" w:ascii="黑体" w:hAnsi="黑体" w:eastAsia="黑体" w:cs="黑体"/>
          <w:color w:val="auto"/>
          <w:u w:val="none"/>
          <w:lang w:val="en-US" w:eastAsia="zh-CN"/>
        </w:rPr>
        <w:t>2024年1月30日</w:t>
      </w:r>
    </w:p>
    <w:p>
      <w:pPr>
        <w:jc w:val="left"/>
        <w:rPr>
          <w:color w:val="auto"/>
          <w:u w:val="none"/>
        </w:rPr>
      </w:pPr>
    </w:p>
    <w:p>
      <w:pPr>
        <w:jc w:val="left"/>
        <w:rPr>
          <w:color w:val="auto"/>
          <w:u w:val="none"/>
        </w:rPr>
      </w:pPr>
    </w:p>
    <w:p>
      <w:pPr>
        <w:jc w:val="left"/>
        <w:rPr>
          <w:color w:val="auto"/>
          <w:u w:val="none"/>
        </w:rPr>
      </w:pPr>
    </w:p>
    <w:p>
      <w:pPr>
        <w:rPr>
          <w:rFonts w:eastAsia="黑体"/>
          <w:color w:val="auto"/>
          <w:u w:val="none"/>
        </w:rPr>
      </w:pPr>
    </w:p>
    <w:p>
      <w:pPr>
        <w:ind w:firstLine="640" w:firstLineChars="200"/>
        <w:rPr>
          <w:rFonts w:eastAsia="黑体"/>
          <w:color w:val="auto"/>
          <w:u w:val="none"/>
        </w:rPr>
      </w:pPr>
    </w:p>
    <w:p>
      <w:pPr>
        <w:ind w:firstLine="640" w:firstLineChars="200"/>
        <w:rPr>
          <w:rFonts w:eastAsia="黑体"/>
          <w:color w:val="auto"/>
          <w:u w:val="none"/>
        </w:rPr>
      </w:pPr>
      <w:r>
        <w:rPr>
          <w:rFonts w:eastAsia="黑体"/>
          <w:color w:val="auto"/>
          <w:u w:val="none"/>
        </w:rPr>
        <w:br w:type="page"/>
      </w:r>
    </w:p>
    <w:p>
      <w:pPr>
        <w:ind w:firstLine="640" w:firstLineChars="200"/>
        <w:rPr>
          <w:rFonts w:eastAsia="黑体"/>
          <w:color w:val="auto"/>
          <w:u w:val="none"/>
        </w:rPr>
      </w:pPr>
    </w:p>
    <w:p>
      <w:pPr>
        <w:jc w:val="center"/>
        <w:rPr>
          <w:rFonts w:eastAsia="方正小标宋简体"/>
          <w:color w:val="auto"/>
          <w:sz w:val="44"/>
          <w:szCs w:val="44"/>
          <w:u w:val="none"/>
        </w:rPr>
      </w:pPr>
      <w:r>
        <w:rPr>
          <w:rFonts w:eastAsia="方正小标宋简体"/>
          <w:color w:val="auto"/>
          <w:sz w:val="44"/>
          <w:szCs w:val="44"/>
          <w:u w:val="none"/>
        </w:rPr>
        <w:t>目  录</w:t>
      </w:r>
    </w:p>
    <w:p>
      <w:pPr>
        <w:rPr>
          <w:rFonts w:eastAsia="黑体"/>
          <w:color w:val="auto"/>
          <w:u w:val="none"/>
        </w:rPr>
      </w:pP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p>
    <w:p>
      <w:pPr>
        <w:rPr>
          <w:rFonts w:eastAsia="黑体"/>
          <w:color w:val="auto"/>
          <w:u w:val="none"/>
        </w:rPr>
      </w:pPr>
      <w:r>
        <w:rPr>
          <w:rFonts w:eastAsia="黑体"/>
          <w:color w:val="auto"/>
          <w:u w:val="none"/>
        </w:rPr>
        <w:t>第一部分  部门概况</w:t>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r>
        <w:rPr>
          <w:rFonts w:eastAsia="黑体"/>
          <w:color w:val="auto"/>
          <w:u w:val="none"/>
        </w:rPr>
        <w:tab/>
      </w:r>
    </w:p>
    <w:p>
      <w:pPr>
        <w:ind w:left="320" w:leftChars="100" w:firstLine="320" w:firstLineChars="100"/>
        <w:rPr>
          <w:color w:val="auto"/>
          <w:u w:val="none"/>
        </w:rPr>
      </w:pPr>
      <w:r>
        <w:rPr>
          <w:color w:val="auto"/>
          <w:u w:val="none"/>
        </w:rPr>
        <w:t>一、主要职能</w:t>
      </w:r>
    </w:p>
    <w:p>
      <w:pPr>
        <w:ind w:left="320" w:leftChars="100" w:firstLine="320" w:firstLineChars="100"/>
        <w:rPr>
          <w:color w:val="auto"/>
          <w:u w:val="none"/>
        </w:rPr>
      </w:pPr>
      <w:r>
        <w:rPr>
          <w:color w:val="auto"/>
          <w:u w:val="none"/>
        </w:rPr>
        <w:t>二、机构设置</w:t>
      </w:r>
    </w:p>
    <w:p>
      <w:pPr>
        <w:rPr>
          <w:rFonts w:eastAsia="黑体"/>
          <w:color w:val="auto"/>
          <w:u w:val="none"/>
        </w:rPr>
      </w:pPr>
      <w:r>
        <w:rPr>
          <w:rFonts w:eastAsia="黑体"/>
          <w:color w:val="auto"/>
          <w:u w:val="none"/>
        </w:rPr>
        <w:t>第二部分  预算表格</w:t>
      </w:r>
    </w:p>
    <w:p>
      <w:pPr>
        <w:ind w:left="320" w:leftChars="100" w:firstLine="320" w:firstLineChars="100"/>
        <w:rPr>
          <w:color w:val="auto"/>
          <w:u w:val="none"/>
        </w:rPr>
      </w:pPr>
      <w:r>
        <w:rPr>
          <w:color w:val="auto"/>
          <w:u w:val="none"/>
        </w:rPr>
        <w:t>一、收支</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二、收入</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三、支出</w:t>
      </w:r>
      <w:r>
        <w:rPr>
          <w:rFonts w:hint="eastAsia"/>
          <w:color w:val="auto"/>
          <w:u w:val="none"/>
        </w:rPr>
        <w:t>总</w:t>
      </w:r>
      <w:r>
        <w:rPr>
          <w:color w:val="auto"/>
          <w:u w:val="none"/>
        </w:rPr>
        <w:t>表</w:t>
      </w:r>
    </w:p>
    <w:p>
      <w:pPr>
        <w:ind w:left="320" w:leftChars="100" w:firstLine="320" w:firstLineChars="100"/>
        <w:rPr>
          <w:color w:val="auto"/>
          <w:u w:val="none"/>
        </w:rPr>
      </w:pPr>
      <w:r>
        <w:rPr>
          <w:color w:val="auto"/>
          <w:u w:val="none"/>
        </w:rPr>
        <w:t>四、财政拨款收支</w:t>
      </w:r>
      <w:r>
        <w:rPr>
          <w:rFonts w:hint="eastAsia"/>
          <w:color w:val="auto"/>
          <w:u w:val="none"/>
        </w:rPr>
        <w:t>总</w:t>
      </w:r>
      <w:r>
        <w:rPr>
          <w:color w:val="auto"/>
          <w:u w:val="none"/>
        </w:rPr>
        <w:t>表</w:t>
      </w:r>
    </w:p>
    <w:p>
      <w:pPr>
        <w:ind w:left="320" w:leftChars="100" w:firstLine="320" w:firstLineChars="100"/>
        <w:rPr>
          <w:rFonts w:hint="eastAsia"/>
          <w:color w:val="auto"/>
          <w:u w:val="none"/>
        </w:rPr>
      </w:pPr>
      <w:r>
        <w:rPr>
          <w:color w:val="auto"/>
          <w:u w:val="none"/>
        </w:rPr>
        <w:t>五、</w:t>
      </w:r>
      <w:r>
        <w:rPr>
          <w:rFonts w:hint="eastAsia"/>
          <w:color w:val="auto"/>
          <w:u w:val="none"/>
        </w:rPr>
        <w:t>一般公共预算支出表</w:t>
      </w:r>
    </w:p>
    <w:p>
      <w:pPr>
        <w:ind w:left="320" w:leftChars="100" w:firstLine="320" w:firstLineChars="100"/>
        <w:rPr>
          <w:rFonts w:hint="eastAsia"/>
          <w:color w:val="auto"/>
          <w:u w:val="none"/>
        </w:rPr>
      </w:pPr>
      <w:r>
        <w:rPr>
          <w:color w:val="auto"/>
          <w:u w:val="none"/>
        </w:rPr>
        <w:t>六、</w:t>
      </w:r>
      <w:r>
        <w:rPr>
          <w:rFonts w:hint="eastAsia"/>
          <w:color w:val="auto"/>
          <w:u w:val="none"/>
        </w:rPr>
        <w:t>一般公共预算基本支出表</w:t>
      </w:r>
    </w:p>
    <w:p>
      <w:pPr>
        <w:ind w:left="320" w:leftChars="100" w:firstLine="320" w:firstLineChars="100"/>
        <w:rPr>
          <w:color w:val="auto"/>
          <w:u w:val="none"/>
        </w:rPr>
      </w:pPr>
      <w:r>
        <w:rPr>
          <w:color w:val="auto"/>
          <w:u w:val="none"/>
        </w:rPr>
        <w:t>七、一般公共预算“三公”经费支出表</w:t>
      </w:r>
    </w:p>
    <w:p>
      <w:pPr>
        <w:ind w:left="320" w:leftChars="100" w:firstLine="320" w:firstLineChars="100"/>
        <w:rPr>
          <w:color w:val="auto"/>
          <w:u w:val="none"/>
        </w:rPr>
      </w:pPr>
      <w:r>
        <w:rPr>
          <w:color w:val="auto"/>
          <w:u w:val="none"/>
        </w:rPr>
        <w:t>八、政府性基金预算支出表</w:t>
      </w:r>
    </w:p>
    <w:p>
      <w:pPr>
        <w:ind w:left="320" w:leftChars="100" w:firstLine="320" w:firstLineChars="100"/>
        <w:rPr>
          <w:rFonts w:hint="eastAsia"/>
          <w:color w:val="auto"/>
          <w:u w:val="none"/>
        </w:rPr>
      </w:pPr>
      <w:r>
        <w:rPr>
          <w:rFonts w:hint="eastAsia"/>
          <w:color w:val="auto"/>
          <w:u w:val="none"/>
        </w:rPr>
        <w:t>九、国有资本经营</w:t>
      </w:r>
      <w:r>
        <w:rPr>
          <w:color w:val="auto"/>
          <w:u w:val="none"/>
        </w:rPr>
        <w:t>预算支出表</w:t>
      </w:r>
    </w:p>
    <w:p>
      <w:pPr>
        <w:ind w:left="320" w:leftChars="100" w:firstLine="320" w:firstLineChars="100"/>
        <w:rPr>
          <w:rFonts w:hint="eastAsia"/>
          <w:color w:val="auto"/>
          <w:u w:val="none"/>
        </w:rPr>
      </w:pPr>
      <w:r>
        <w:rPr>
          <w:rFonts w:hint="eastAsia"/>
          <w:color w:val="auto"/>
          <w:u w:val="none"/>
        </w:rPr>
        <w:t>十、项目支出表</w:t>
      </w:r>
    </w:p>
    <w:p>
      <w:pPr>
        <w:ind w:left="320" w:leftChars="100" w:firstLine="320" w:firstLineChars="100"/>
        <w:rPr>
          <w:rFonts w:hint="eastAsia"/>
          <w:color w:val="auto"/>
          <w:u w:val="none"/>
        </w:rPr>
      </w:pPr>
      <w:r>
        <w:rPr>
          <w:rFonts w:hint="eastAsia"/>
          <w:color w:val="auto"/>
          <w:u w:val="none"/>
        </w:rPr>
        <w:t>十一、项目支出绩效目标表</w:t>
      </w:r>
    </w:p>
    <w:p>
      <w:pPr>
        <w:rPr>
          <w:rFonts w:eastAsia="黑体"/>
          <w:color w:val="auto"/>
          <w:u w:val="none"/>
        </w:rPr>
      </w:pPr>
      <w:r>
        <w:rPr>
          <w:rFonts w:eastAsia="黑体"/>
          <w:color w:val="auto"/>
          <w:u w:val="none"/>
        </w:rPr>
        <w:t>第三部分  情况说明</w:t>
      </w:r>
    </w:p>
    <w:p>
      <w:pPr>
        <w:rPr>
          <w:rFonts w:eastAsia="黑体"/>
          <w:color w:val="auto"/>
          <w:u w:val="none"/>
        </w:rPr>
      </w:pPr>
      <w:r>
        <w:rPr>
          <w:rFonts w:eastAsia="黑体"/>
          <w:color w:val="auto"/>
          <w:u w:val="none"/>
        </w:rPr>
        <w:t>第四部分  名词解释</w:t>
      </w:r>
    </w:p>
    <w:p>
      <w:pPr>
        <w:rPr>
          <w:rFonts w:eastAsia="黑体"/>
          <w:color w:val="auto"/>
          <w:u w:val="none"/>
        </w:rPr>
      </w:pPr>
      <w:r>
        <w:rPr>
          <w:rFonts w:eastAsia="黑体"/>
          <w:color w:val="auto"/>
          <w:u w:val="none"/>
        </w:rPr>
        <w:br w:type="page"/>
      </w:r>
    </w:p>
    <w:p>
      <w:pPr>
        <w:ind w:firstLine="720" w:firstLineChars="200"/>
        <w:jc w:val="center"/>
        <w:rPr>
          <w:rFonts w:eastAsia="黑体"/>
          <w:color w:val="auto"/>
          <w:sz w:val="36"/>
          <w:szCs w:val="36"/>
          <w:u w:val="none"/>
        </w:rPr>
      </w:pPr>
      <w:r>
        <w:rPr>
          <w:rFonts w:eastAsia="黑体"/>
          <w:color w:val="auto"/>
          <w:sz w:val="36"/>
          <w:szCs w:val="36"/>
          <w:u w:val="none"/>
        </w:rPr>
        <w:t>第一部分 部门概况</w:t>
      </w:r>
    </w:p>
    <w:p>
      <w:pPr>
        <w:ind w:firstLine="640" w:firstLineChars="200"/>
        <w:rPr>
          <w:rFonts w:eastAsia="楷体_GB2312"/>
          <w:color w:val="auto"/>
          <w:u w:val="none"/>
        </w:rPr>
      </w:pPr>
    </w:p>
    <w:p>
      <w:pPr>
        <w:ind w:firstLine="640" w:firstLineChars="200"/>
        <w:rPr>
          <w:rFonts w:eastAsia="楷体_GB2312"/>
          <w:color w:val="auto"/>
          <w:u w:val="none"/>
        </w:rPr>
      </w:pPr>
      <w:r>
        <w:rPr>
          <w:rFonts w:eastAsia="楷体_GB2312"/>
          <w:color w:val="auto"/>
          <w:u w:val="none"/>
        </w:rPr>
        <w:t>一、主要职能</w:t>
      </w:r>
    </w:p>
    <w:p>
      <w:pPr>
        <w:keepNext w:val="0"/>
        <w:keepLines w:val="0"/>
        <w:pageBreakBefore w:val="0"/>
        <w:widowControl w:val="0"/>
        <w:kinsoku/>
        <w:wordWrap/>
        <w:overflowPunct/>
        <w:topLinePunct w:val="0"/>
        <w:autoSpaceDE/>
        <w:autoSpaceDN/>
        <w:bidi w:val="0"/>
        <w:adjustRightInd/>
        <w:snapToGrid/>
        <w:spacing w:line="540" w:lineRule="exact"/>
        <w:ind w:left="0" w:firstLine="640" w:firstLineChars="200"/>
        <w:jc w:val="left"/>
        <w:textAlignment w:val="auto"/>
        <w:rPr>
          <w:rFonts w:hint="eastAsia"/>
          <w:color w:val="auto"/>
          <w:u w:val="none"/>
        </w:rPr>
      </w:pPr>
      <w:r>
        <w:rPr>
          <w:rFonts w:hint="eastAsia" w:ascii="仿宋" w:hAnsi="仿宋" w:eastAsia="仿宋"/>
          <w:color w:val="auto"/>
          <w:szCs w:val="32"/>
          <w:u w:val="none"/>
        </w:rPr>
        <w:t>县应急管理局贯彻落实县委关于应急工作的方针政策和决策部署，在履行职责过程中坚持和加强党对应急工作的集中统一领导。主要职责是:</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一）负责应急管理工作，指导各乡（镇）、街道、开发区（集中区）、县直各部门应对安全生产类、自然灾害类等突发事件和综合防灾减灾救灾工作；开展对工矿商贸行业安全生产综合监督管理及行政执法工作。</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（二）贯彻落实国家应急管理、安全生产等方针政策；组织编制全县应急体系建设、安全生产和综合防灾减灾救灾规划；组织制定贯彻落实相关法律法规、规章和标准的具体实施意见并监督落实。</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三）指导应急预案体系建设，建立完善事故灾难和自然灾害分级应对制度，组织编制县级总体应急预案和安全生产类、自然灾害类专项预案，综合协调应急预案衔接工作，组织指导开展预案演练，推动应急避难设施建设和维护，并指导其使用。</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（四）牵头建立统一的应急管理信息系统，负责信息传输渠道的规划和布局，建立监测预警和灾情报告制度，健全自然灾害信息资源获取和共享机制，依法统一发布灾情。</w:t>
      </w:r>
    </w:p>
    <w:p>
      <w:pPr>
        <w:pStyle w:val="83"/>
        <w:keepNext w:val="0"/>
        <w:keepLines w:val="0"/>
        <w:pageBreakBefore w:val="0"/>
        <w:widowControl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五）组织指导协调安全生产类、自然灾害类等突发事件应急救援，承担县应对一般灾害救援指挥部工作，综合研判突发事件发展态势并提出应对建议，协助县委、县政府指定的负责同志组织一般灾害应急处置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（六）统一协调指挥各类应急专业队伍和社会救援力量，建立应急联动机制，推进指挥平台对接，衔接相关部门和军队参与应急救援工作。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七）统筹应急救援力量建设，负责消防、森林和草原火灾扑救、抗洪抢险、地震和地质灾害救援、安全生产事故救援等专业应急救援力量建设，管理协调县综合性应急救援队伍，指导乡（镇）、街道、开发区（集中区）及社会应急救援力量建设。</w:t>
      </w:r>
    </w:p>
    <w:p>
      <w:pPr>
        <w:pStyle w:val="83"/>
        <w:keepNext w:val="0"/>
        <w:keepLines w:val="0"/>
        <w:pageBreakBefore w:val="0"/>
        <w:kinsoku/>
        <w:wordWrap/>
        <w:overflowPunct/>
        <w:topLinePunct w:val="0"/>
        <w:autoSpaceDE/>
        <w:autoSpaceDN/>
        <w:bidi w:val="0"/>
        <w:adjustRightInd/>
        <w:snapToGrid/>
        <w:spacing w:line="560" w:lineRule="exact"/>
        <w:ind w:left="0" w:firstLine="0" w:firstLineChars="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 xml:space="preserve"> </w:t>
      </w:r>
      <w:r>
        <w:rPr>
          <w:rFonts w:hint="eastAsia" w:ascii="仿宋" w:hAnsi="仿宋" w:eastAsia="仿宋"/>
          <w:color w:val="auto"/>
          <w:sz w:val="32"/>
          <w:szCs w:val="32"/>
          <w:u w:val="none"/>
          <w:lang w:val="en-US" w:eastAsia="zh-CN"/>
        </w:rPr>
        <w:t xml:space="preserve">   </w:t>
      </w:r>
      <w:r>
        <w:rPr>
          <w:rFonts w:hint="eastAsia" w:ascii="仿宋" w:hAnsi="仿宋" w:eastAsia="仿宋"/>
          <w:color w:val="auto"/>
          <w:sz w:val="32"/>
          <w:szCs w:val="32"/>
          <w:u w:val="none"/>
        </w:rPr>
        <w:t>（八）负责消防工作，指导消防监督、火灾预防、火灾扑救工作。</w:t>
      </w:r>
    </w:p>
    <w:p>
      <w:pPr>
        <w:pStyle w:val="83"/>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（九）指导协调森林和草原火灾、水旱灾害、地质灾害等防治工作，负责自然灾害综合监测预警工作，指导开展自然灾害综合风险评估工作。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（十）组织协调灾害救助工作，组织指导灾情核查、损失评估、救灾捐赠工作，管理、调拨、分配救灾款物并监督使用。</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（十一）依法行使安全生产综合监督管理职权，指导协调、监督检查政府有关部门和乡（镇）、街道、开发区（集中区）安全生产工作，组织开展安全生产巡查、考核工作。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二）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安全生产监督管理工作。负责安全生产综合执法工作；指导督促乡（镇）、街道、开发区（集中区）加强安全生产监督管理工作。</w:t>
      </w:r>
    </w:p>
    <w:p>
      <w:pPr>
        <w:pStyle w:val="83"/>
        <w:keepNext w:val="0"/>
        <w:keepLines w:val="0"/>
        <w:pageBreakBefore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（十三）依法组织指导生产安全事故调查处理，监督事故查处和责任追究落实情况。组织开展自然灾害类突发事件的调查评估工作。</w:t>
      </w:r>
    </w:p>
    <w:p>
      <w:pPr>
        <w:pStyle w:val="83"/>
        <w:keepNext w:val="0"/>
        <w:keepLines w:val="0"/>
        <w:pageBreakBefore w:val="0"/>
        <w:kinsoku/>
        <w:wordWrap/>
        <w:overflowPunct/>
        <w:topLinePunct w:val="0"/>
        <w:autoSpaceDE/>
        <w:autoSpaceDN/>
        <w:bidi w:val="0"/>
        <w:adjustRightInd/>
        <w:snapToGrid/>
        <w:spacing w:line="560" w:lineRule="exact"/>
        <w:ind w:left="0" w:firstLine="64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（十四）制定应急物资储备和应急救援装备规划并组织实施，会同县商务局（县粮食和物资储备局）等部门建立健全应急物资信息平台和调拔制度，在救灾时统一调度。</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（十五）组织指导应急管理、安全生产宣传教育和培训工作，组织指导应急管理、安全生产的科学技术研究、推广应用和信息化建设工作。</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 w:hAnsi="仿宋" w:eastAsia="仿宋"/>
          <w:color w:val="auto"/>
          <w:sz w:val="32"/>
          <w:szCs w:val="32"/>
          <w:u w:val="none"/>
        </w:rPr>
      </w:pPr>
      <w:r>
        <w:rPr>
          <w:rFonts w:hint="eastAsia" w:ascii="仿宋" w:hAnsi="仿宋" w:eastAsia="仿宋"/>
          <w:color w:val="auto"/>
          <w:sz w:val="32"/>
          <w:szCs w:val="32"/>
          <w:u w:val="none"/>
        </w:rPr>
        <w:t>（十六）完成县委、县政府交办的其他任务。</w:t>
      </w:r>
    </w:p>
    <w:p>
      <w:pPr>
        <w:pStyle w:val="83"/>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color w:val="auto"/>
          <w:sz w:val="21"/>
          <w:szCs w:val="21"/>
          <w:u w:val="none"/>
        </w:rPr>
      </w:pPr>
      <w:r>
        <w:rPr>
          <w:rFonts w:hint="eastAsia" w:ascii="仿宋" w:hAnsi="仿宋" w:eastAsia="仿宋"/>
          <w:color w:val="auto"/>
          <w:sz w:val="32"/>
          <w:szCs w:val="32"/>
          <w:u w:val="none"/>
        </w:rPr>
        <w:t>（十七）职能转变。县应急管理局应加强、优化、统筹全县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意识，提升公众知识普及和自救互救技能，切实减少人员伤亡财产损失。三是树立安全发展理念，坚持生命至上、安全第一、完善安全生产责任制，坚决遏制重特大安全事故。</w:t>
      </w:r>
    </w:p>
    <w:p>
      <w:pPr>
        <w:ind w:firstLine="640" w:firstLineChars="200"/>
        <w:rPr>
          <w:color w:val="auto"/>
          <w:u w:val="none"/>
        </w:rPr>
      </w:pPr>
      <w:r>
        <w:rPr>
          <w:rFonts w:eastAsia="楷体_GB2312"/>
          <w:color w:val="auto"/>
          <w:u w:val="none"/>
        </w:rPr>
        <w:t>二、机构设置</w:t>
      </w:r>
    </w:p>
    <w:p>
      <w:pPr>
        <w:pStyle w:val="51"/>
        <w:ind w:firstLine="640" w:firstLineChars="200"/>
        <w:rPr>
          <w:rFonts w:eastAsia="仿宋_GB2312"/>
          <w:color w:val="auto"/>
          <w:u w:val="none"/>
        </w:rPr>
      </w:pPr>
      <w:r>
        <w:rPr>
          <w:rFonts w:eastAsia="仿宋_GB2312"/>
          <w:color w:val="auto"/>
          <w:u w:val="none"/>
        </w:rPr>
        <w:t>根据上述职责，</w:t>
      </w:r>
      <w:r>
        <w:rPr>
          <w:rFonts w:hint="eastAsia" w:eastAsia="仿宋_GB2312"/>
          <w:color w:val="auto"/>
          <w:u w:val="none"/>
          <w:lang w:eastAsia="zh-CN"/>
        </w:rPr>
        <w:t>通榆县应急管理局</w:t>
      </w:r>
      <w:r>
        <w:rPr>
          <w:rFonts w:eastAsia="仿宋_GB2312"/>
          <w:color w:val="auto"/>
          <w:u w:val="none"/>
        </w:rPr>
        <w:t xml:space="preserve">内设 </w:t>
      </w:r>
      <w:r>
        <w:rPr>
          <w:rFonts w:hint="eastAsia" w:eastAsia="仿宋_GB2312"/>
          <w:color w:val="auto"/>
          <w:u w:val="none"/>
        </w:rPr>
        <w:t>4</w:t>
      </w:r>
      <w:r>
        <w:rPr>
          <w:rFonts w:eastAsia="仿宋_GB2312"/>
          <w:color w:val="auto"/>
          <w:u w:val="none"/>
        </w:rPr>
        <w:t xml:space="preserve"> 个机构，分别为</w:t>
      </w:r>
      <w:r>
        <w:rPr>
          <w:rFonts w:hint="eastAsia" w:eastAsia="仿宋"/>
          <w:bCs/>
          <w:color w:val="auto"/>
          <w:u w:val="none"/>
        </w:rPr>
        <w:t>办公室，监测监管科</w:t>
      </w:r>
      <w:r>
        <w:rPr>
          <w:rFonts w:hint="eastAsia" w:eastAsia="仿宋"/>
          <w:color w:val="auto"/>
          <w:u w:val="none"/>
        </w:rPr>
        <w:t>（安全生产监督管理科），</w:t>
      </w:r>
      <w:r>
        <w:rPr>
          <w:rFonts w:hint="eastAsia" w:eastAsia="仿宋"/>
          <w:bCs/>
          <w:color w:val="auto"/>
          <w:u w:val="none"/>
        </w:rPr>
        <w:t>应急协调科，减灾管理科。</w:t>
      </w:r>
    </w:p>
    <w:p>
      <w:pPr>
        <w:pStyle w:val="51"/>
        <w:ind w:firstLine="640" w:firstLineChars="200"/>
        <w:rPr>
          <w:rFonts w:eastAsia="仿宋_GB2312"/>
          <w:color w:val="auto"/>
          <w:u w:val="none"/>
        </w:rPr>
      </w:pPr>
      <w:r>
        <w:rPr>
          <w:rFonts w:eastAsia="仿宋_GB2312"/>
          <w:color w:val="auto"/>
          <w:u w:val="none"/>
        </w:rPr>
        <w:t xml:space="preserve">下设 </w:t>
      </w:r>
      <w:r>
        <w:rPr>
          <w:rFonts w:hint="eastAsia" w:eastAsia="仿宋_GB2312"/>
          <w:color w:val="auto"/>
          <w:u w:val="none"/>
        </w:rPr>
        <w:t>2</w:t>
      </w:r>
      <w:r>
        <w:rPr>
          <w:rFonts w:eastAsia="仿宋_GB2312"/>
          <w:color w:val="auto"/>
          <w:u w:val="none"/>
        </w:rPr>
        <w:t xml:space="preserve"> 家预算单位，分别为</w:t>
      </w:r>
      <w:r>
        <w:rPr>
          <w:rFonts w:hint="eastAsia" w:eastAsia="仿宋_GB2312"/>
          <w:color w:val="auto"/>
          <w:u w:val="none"/>
        </w:rPr>
        <w:t>通榆县</w:t>
      </w:r>
      <w:r>
        <w:rPr>
          <w:rFonts w:hint="eastAsia" w:eastAsia="仿宋_GB2312"/>
          <w:color w:val="auto"/>
          <w:u w:val="none"/>
          <w:lang w:eastAsia="zh-CN"/>
        </w:rPr>
        <w:t>应急管理综合行政执法大队</w:t>
      </w:r>
      <w:r>
        <w:rPr>
          <w:rFonts w:hint="eastAsia" w:eastAsia="仿宋_GB2312"/>
          <w:color w:val="auto"/>
          <w:u w:val="none"/>
        </w:rPr>
        <w:t>，</w:t>
      </w:r>
      <w:r>
        <w:rPr>
          <w:rFonts w:hint="eastAsia" w:eastAsia="仿宋_GB2312"/>
          <w:color w:val="auto"/>
          <w:u w:val="none"/>
          <w:lang w:eastAsia="zh-CN"/>
        </w:rPr>
        <w:t>通榆县应急救援中心</w:t>
      </w:r>
      <w:r>
        <w:rPr>
          <w:rFonts w:eastAsia="仿宋_GB2312"/>
          <w:color w:val="auto"/>
          <w:u w:val="none"/>
        </w:rPr>
        <w:t>。</w:t>
      </w:r>
    </w:p>
    <w:p>
      <w:pPr>
        <w:pStyle w:val="51"/>
        <w:ind w:firstLine="640" w:firstLineChars="200"/>
        <w:rPr>
          <w:rFonts w:hAnsi="楷体" w:eastAsia="楷体"/>
          <w:color w:val="auto"/>
          <w:u w:val="none"/>
        </w:rPr>
      </w:pPr>
    </w:p>
    <w:p>
      <w:pPr>
        <w:pStyle w:val="51"/>
        <w:ind w:firstLine="640" w:firstLineChars="200"/>
        <w:rPr>
          <w:rFonts w:hAnsi="楷体" w:eastAsia="楷体"/>
          <w:color w:val="auto"/>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jc w:val="both"/>
        <w:rPr>
          <w:rFonts w:eastAsia="黑体"/>
          <w:color w:val="auto"/>
          <w:sz w:val="36"/>
          <w:szCs w:val="36"/>
          <w:u w:val="none"/>
        </w:rPr>
      </w:pPr>
    </w:p>
    <w:p>
      <w:pPr>
        <w:ind w:firstLine="720" w:firstLineChars="200"/>
        <w:jc w:val="center"/>
        <w:rPr>
          <w:rFonts w:eastAsia="黑体"/>
          <w:color w:val="auto"/>
          <w:sz w:val="36"/>
          <w:szCs w:val="36"/>
          <w:u w:val="none"/>
        </w:rPr>
      </w:pPr>
      <w:r>
        <w:rPr>
          <w:rFonts w:eastAsia="黑体"/>
          <w:color w:val="auto"/>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color w:val="auto"/>
                <w:kern w:val="0"/>
                <w:sz w:val="44"/>
                <w:szCs w:val="44"/>
                <w:u w:val="none"/>
              </w:rPr>
            </w:pPr>
            <w:r>
              <w:rPr>
                <w:rFonts w:eastAsia="方正小标宋简体"/>
                <w:color w:val="auto"/>
                <w:kern w:val="0"/>
                <w:sz w:val="36"/>
                <w:szCs w:val="36"/>
                <w:u w:val="none"/>
              </w:rPr>
              <w:t>收支</w:t>
            </w:r>
            <w:r>
              <w:rPr>
                <w:rFonts w:hint="eastAsia" w:eastAsia="方正小标宋简体"/>
                <w:color w:val="auto"/>
                <w:kern w:val="0"/>
                <w:sz w:val="36"/>
                <w:szCs w:val="36"/>
                <w:u w:val="none"/>
              </w:rPr>
              <w:t>总</w:t>
            </w:r>
            <w:r>
              <w:rPr>
                <w:rFonts w:eastAsia="方正小标宋简体"/>
                <w:color w:val="auto"/>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color w:val="auto"/>
                <w:kern w:val="0"/>
                <w:sz w:val="20"/>
                <w:u w:val="none"/>
              </w:rPr>
            </w:pPr>
          </w:p>
        </w:tc>
        <w:tc>
          <w:tcPr>
            <w:tcW w:w="1200" w:type="dxa"/>
            <w:tcBorders>
              <w:top w:val="nil"/>
              <w:left w:val="nil"/>
              <w:bottom w:val="nil"/>
              <w:right w:val="nil"/>
            </w:tcBorders>
            <w:noWrap w:val="0"/>
            <w:vAlign w:val="center"/>
          </w:tcPr>
          <w:p>
            <w:pPr>
              <w:widowControl/>
              <w:jc w:val="center"/>
              <w:rPr>
                <w:rFonts w:eastAsia="宋体"/>
                <w:color w:val="auto"/>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color w:val="auto"/>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color w:val="auto"/>
                <w:kern w:val="0"/>
                <w:sz w:val="20"/>
                <w:u w:val="none"/>
              </w:rPr>
            </w:pPr>
            <w:r>
              <w:rPr>
                <w:rFonts w:eastAsia="宋体"/>
                <w:color w:val="auto"/>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 xml:space="preserve">支 </w:t>
            </w:r>
            <w:r>
              <w:rPr>
                <w:rFonts w:eastAsia="宋体"/>
                <w:color w:val="auto"/>
                <w:kern w:val="0"/>
                <w:sz w:val="20"/>
                <w:u w:val="none"/>
              </w:rPr>
              <w:t xml:space="preserve">       </w:t>
            </w:r>
            <w:r>
              <w:rPr>
                <w:rFonts w:hint="eastAsia" w:eastAsia="宋体"/>
                <w:color w:val="auto"/>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w:t>
            </w:r>
            <w:r>
              <w:rPr>
                <w:rFonts w:eastAsia="宋体"/>
                <w:color w:val="auto"/>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eastAsia="zh-CN"/>
              </w:rPr>
              <w:t>2024</w:t>
            </w:r>
            <w:r>
              <w:rPr>
                <w:rFonts w:hint="eastAsia" w:eastAsia="宋体"/>
                <w:color w:val="auto"/>
                <w:kern w:val="0"/>
                <w:sz w:val="20"/>
                <w:u w:val="none"/>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color w:val="auto"/>
                <w:kern w:val="0"/>
                <w:sz w:val="20"/>
                <w:u w:val="none"/>
              </w:rPr>
            </w:pPr>
            <w:r>
              <w:rPr>
                <w:rFonts w:hint="eastAsia" w:eastAsia="宋体"/>
                <w:color w:val="auto"/>
                <w:kern w:val="0"/>
                <w:sz w:val="20"/>
                <w:u w:val="none"/>
              </w:rPr>
              <w:t>当年</w:t>
            </w:r>
            <w:r>
              <w:rPr>
                <w:rFonts w:eastAsia="宋体"/>
                <w:color w:val="auto"/>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202.43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202.43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auto"/>
                <w:kern w:val="0"/>
                <w:sz w:val="20"/>
                <w:u w:val="none"/>
              </w:rPr>
            </w:pPr>
            <w:r>
              <w:rPr>
                <w:rFonts w:hint="eastAsia" w:ascii="仿宋_GB2312"/>
                <w:b w:val="0"/>
                <w:bCs/>
                <w:color w:val="auto"/>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202.43</w:t>
            </w: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hint="eastAsia" w:eastAsia="宋体"/>
                <w:color w:val="auto"/>
                <w:kern w:val="0"/>
                <w:sz w:val="20"/>
                <w:u w:val="none"/>
                <w:lang w:val="en-US" w:eastAsia="zh-CN"/>
              </w:rPr>
              <w:t>202.43</w:t>
            </w: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auto"/>
                <w:kern w:val="0"/>
                <w:sz w:val="20"/>
                <w:u w:val="none"/>
              </w:rPr>
            </w:pPr>
            <w:r>
              <w:rPr>
                <w:rFonts w:hint="eastAsia" w:ascii="仿宋_GB2312"/>
                <w:b w:val="0"/>
                <w:bCs/>
                <w:color w:val="auto"/>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color w:val="auto"/>
                <w:sz w:val="20"/>
                <w:u w:val="none"/>
              </w:rPr>
            </w:pPr>
            <w:r>
              <w:rPr>
                <w:rFonts w:hint="eastAsia" w:eastAsia="宋体"/>
                <w:color w:val="auto"/>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color w:val="auto"/>
                <w:sz w:val="20"/>
                <w:u w:val="none"/>
              </w:rPr>
            </w:pPr>
            <w:r>
              <w:rPr>
                <w:rFonts w:hint="eastAsia" w:eastAsia="宋体"/>
                <w:color w:val="auto"/>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9.62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9.62</w:t>
            </w: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auto"/>
                <w:kern w:val="0"/>
                <w:sz w:val="20"/>
                <w:u w:val="none"/>
              </w:rPr>
            </w:pPr>
            <w:r>
              <w:rPr>
                <w:rFonts w:hint="eastAsia" w:ascii="仿宋_GB2312"/>
                <w:b w:val="0"/>
                <w:bCs/>
                <w:color w:val="auto"/>
                <w:kern w:val="0"/>
                <w:sz w:val="20"/>
                <w:u w:val="none"/>
              </w:rPr>
              <w:t>十、</w:t>
            </w:r>
            <w:r>
              <w:rPr>
                <w:rFonts w:hint="eastAsia" w:ascii="仿宋_GB2312"/>
                <w:b w:val="0"/>
                <w:bCs/>
                <w:color w:val="auto"/>
                <w:kern w:val="0"/>
                <w:sz w:val="20"/>
                <w:u w:val="none"/>
                <w:lang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5.78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5.78</w:t>
            </w: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color w:val="auto"/>
                <w:sz w:val="20"/>
                <w:u w:val="none"/>
              </w:rPr>
            </w:pPr>
            <w:r>
              <w:rPr>
                <w:rFonts w:hint="eastAsia" w:eastAsia="宋体"/>
                <w:color w:val="auto"/>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color w:val="auto"/>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color w:val="auto"/>
                <w:sz w:val="20"/>
                <w:u w:val="none"/>
              </w:rPr>
            </w:pPr>
            <w:r>
              <w:rPr>
                <w:rFonts w:hint="eastAsia" w:ascii="仿宋_GB2312"/>
                <w:b w:val="0"/>
                <w:bCs/>
                <w:color w:val="auto"/>
                <w:kern w:val="0"/>
                <w:sz w:val="20"/>
                <w:u w:val="none"/>
              </w:rPr>
              <w:t>十一、</w:t>
            </w:r>
            <w:r>
              <w:rPr>
                <w:rFonts w:hint="eastAsia" w:ascii="仿宋_GB2312"/>
                <w:b w:val="0"/>
                <w:bCs/>
                <w:color w:val="auto"/>
                <w:kern w:val="0"/>
                <w:sz w:val="20"/>
                <w:u w:val="none"/>
                <w:lang w:eastAsia="zh-CN"/>
              </w:rPr>
              <w:t>灾害防治及应急管理支出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color w:val="auto"/>
                <w:sz w:val="20"/>
                <w:u w:val="none"/>
                <w:lang w:val="en-US" w:eastAsia="zh-CN"/>
              </w:rPr>
            </w:pPr>
            <w:r>
              <w:rPr>
                <w:rFonts w:hint="eastAsia" w:eastAsia="宋体"/>
                <w:color w:val="auto"/>
                <w:sz w:val="20"/>
                <w:u w:val="none"/>
                <w:lang w:val="en-US" w:eastAsia="zh-CN"/>
              </w:rPr>
              <w:t>171.13</w:t>
            </w: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auto"/>
                <w:kern w:val="2"/>
                <w:sz w:val="20"/>
                <w:u w:val="none"/>
                <w:lang w:val="en-US" w:eastAsia="zh-CN" w:bidi="ar-SA"/>
              </w:rPr>
            </w:pPr>
            <w:r>
              <w:rPr>
                <w:rFonts w:hint="eastAsia" w:eastAsia="宋体"/>
                <w:color w:val="auto"/>
                <w:sz w:val="20"/>
                <w:u w:val="none"/>
                <w:lang w:val="en-US" w:eastAsia="zh-CN"/>
              </w:rPr>
              <w:t>171.13</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color w:val="auto"/>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本年收入</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202.43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202.43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eastAsia="宋体"/>
                <w:b/>
                <w:bCs/>
                <w:color w:val="auto"/>
                <w:kern w:val="0"/>
                <w:sz w:val="20"/>
                <w:u w:val="none"/>
              </w:rPr>
              <w:t>本年支出</w:t>
            </w:r>
            <w:r>
              <w:rPr>
                <w:rFonts w:hint="eastAsia" w:eastAsia="宋体"/>
                <w:b/>
                <w:bCs/>
                <w:color w:val="auto"/>
                <w:kern w:val="0"/>
                <w:sz w:val="20"/>
                <w:u w:val="none"/>
                <w:lang w:val="en-US" w:eastAsia="zh-CN"/>
              </w:rPr>
              <w:t xml:space="preserve">  </w:t>
            </w:r>
            <w:r>
              <w:rPr>
                <w:rFonts w:eastAsia="宋体"/>
                <w:b/>
                <w:bCs/>
                <w:color w:val="auto"/>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auto"/>
                <w:kern w:val="0"/>
                <w:sz w:val="20"/>
                <w:u w:val="none"/>
              </w:rPr>
            </w:pPr>
            <w:r>
              <w:rPr>
                <w:rFonts w:hint="eastAsia" w:eastAsia="宋体"/>
                <w:color w:val="auto"/>
                <w:kern w:val="0"/>
                <w:sz w:val="20"/>
                <w:u w:val="none"/>
                <w:lang w:val="en-US" w:eastAsia="zh-CN"/>
              </w:rPr>
              <w:t>202.43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202.43</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结转下年</w:t>
            </w:r>
            <w:r>
              <w:rPr>
                <w:rFonts w:hint="eastAsia" w:eastAsia="宋体"/>
                <w:color w:val="auto"/>
                <w:kern w:val="0"/>
                <w:sz w:val="20"/>
                <w:u w:val="none"/>
                <w:lang w:val="en-US" w:eastAsia="zh-CN"/>
              </w:rPr>
              <w:t xml:space="preserve">  </w:t>
            </w:r>
            <w:r>
              <w:rPr>
                <w:rFonts w:hint="eastAsia" w:eastAsia="宋体"/>
                <w:color w:val="auto"/>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hint="eastAsia" w:eastAsia="宋体"/>
                <w:color w:val="auto"/>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黑体"/>
                <w:b/>
                <w:bCs/>
                <w:color w:val="auto"/>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202.43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hint="eastAsia" w:eastAsia="宋体"/>
                <w:color w:val="auto"/>
                <w:kern w:val="0"/>
                <w:sz w:val="20"/>
                <w:u w:val="none"/>
                <w:lang w:val="en-US" w:eastAsia="zh-CN"/>
              </w:rPr>
              <w:t>202.43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color w:val="auto"/>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黑体"/>
                <w:b/>
                <w:bCs/>
                <w:color w:val="auto"/>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r>
    </w:tbl>
    <w:p>
      <w:pPr>
        <w:ind w:firstLine="640" w:firstLineChars="200"/>
        <w:rPr>
          <w:rFonts w:eastAsia="楷体_GB2312"/>
          <w:strike/>
          <w:color w:val="auto"/>
          <w:u w:val="none"/>
        </w:rPr>
      </w:pPr>
    </w:p>
    <w:p>
      <w:pPr>
        <w:ind w:firstLine="645"/>
        <w:rPr>
          <w:rFonts w:hAnsi="楷体" w:eastAsia="楷体"/>
          <w:color w:val="auto"/>
          <w:u w:val="none"/>
        </w:rPr>
      </w:pPr>
    </w:p>
    <w:p>
      <w:pPr>
        <w:ind w:firstLine="645"/>
        <w:rPr>
          <w:rFonts w:eastAsia="楷体"/>
          <w:color w:val="auto"/>
          <w:u w:val="none"/>
        </w:rPr>
      </w:pPr>
      <w:r>
        <w:rPr>
          <w:rFonts w:hAnsi="楷体" w:eastAsia="楷体"/>
          <w:color w:val="auto"/>
          <w:u w:val="none"/>
        </w:rPr>
        <w:br w:type="page"/>
      </w:r>
    </w:p>
    <w:p>
      <w:pPr>
        <w:jc w:val="center"/>
        <w:rPr>
          <w:rFonts w:eastAsia="方正小标宋简体"/>
          <w:color w:val="auto"/>
          <w:sz w:val="36"/>
          <w:szCs w:val="36"/>
          <w:u w:val="none"/>
        </w:rPr>
      </w:pPr>
      <w:r>
        <w:rPr>
          <w:rFonts w:eastAsia="方正小标宋简体"/>
          <w:color w:val="auto"/>
          <w:sz w:val="36"/>
          <w:szCs w:val="36"/>
          <w:u w:val="none"/>
        </w:rPr>
        <w:t>收入</w:t>
      </w:r>
      <w:r>
        <w:rPr>
          <w:rFonts w:hint="eastAsia" w:eastAsia="方正小标宋简体"/>
          <w:color w:val="auto"/>
          <w:sz w:val="36"/>
          <w:szCs w:val="36"/>
          <w:u w:val="none"/>
        </w:rPr>
        <w:t>总</w:t>
      </w:r>
      <w:r>
        <w:rPr>
          <w:rFonts w:eastAsia="方正小标宋简体"/>
          <w:color w:val="auto"/>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auto"/>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auto"/>
                <w:sz w:val="20"/>
                <w:u w:val="none"/>
              </w:rPr>
            </w:pPr>
          </w:p>
        </w:tc>
        <w:tc>
          <w:tcPr>
            <w:tcW w:w="1061" w:type="dxa"/>
            <w:gridSpan w:val="4"/>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center"/>
          </w:tcPr>
          <w:p>
            <w:pPr>
              <w:autoSpaceDN w:val="0"/>
              <w:jc w:val="left"/>
              <w:textAlignment w:val="center"/>
              <w:rPr>
                <w:rFonts w:eastAsia="华文细黑"/>
                <w:color w:val="auto"/>
                <w:sz w:val="20"/>
                <w:u w:val="none"/>
              </w:rPr>
            </w:pPr>
          </w:p>
        </w:tc>
        <w:tc>
          <w:tcPr>
            <w:tcW w:w="531" w:type="dxa"/>
            <w:gridSpan w:val="2"/>
            <w:noWrap w:val="0"/>
            <w:vAlign w:val="bottom"/>
          </w:tcPr>
          <w:p>
            <w:pPr>
              <w:autoSpaceDN w:val="0"/>
              <w:jc w:val="left"/>
              <w:textAlignment w:val="bottom"/>
              <w:rPr>
                <w:rFonts w:eastAsia="宋体"/>
                <w:color w:val="auto"/>
                <w:sz w:val="20"/>
                <w:u w:val="none"/>
              </w:rPr>
            </w:pPr>
          </w:p>
        </w:tc>
        <w:tc>
          <w:tcPr>
            <w:tcW w:w="1716" w:type="dxa"/>
            <w:gridSpan w:val="5"/>
            <w:noWrap w:val="0"/>
            <w:vAlign w:val="top"/>
          </w:tcPr>
          <w:p>
            <w:pPr>
              <w:wordWrap w:val="0"/>
              <w:autoSpaceDN w:val="0"/>
              <w:jc w:val="right"/>
              <w:textAlignment w:val="center"/>
              <w:rPr>
                <w:rFonts w:eastAsia="宋体"/>
                <w:color w:val="auto"/>
                <w:sz w:val="20"/>
                <w:u w:val="none"/>
              </w:rPr>
            </w:pPr>
            <w:r>
              <w:rPr>
                <w:rFonts w:eastAsia="宋体"/>
                <w:color w:val="auto"/>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auto"/>
                <w:sz w:val="20"/>
                <w:u w:val="none"/>
              </w:rPr>
            </w:pPr>
            <w:r>
              <w:rPr>
                <w:rFonts w:hint="eastAsia" w:eastAsia="宋体"/>
                <w:color w:val="auto"/>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lang w:eastAsia="zh-CN"/>
              </w:rPr>
            </w:pPr>
            <w:r>
              <w:rPr>
                <w:rFonts w:hint="eastAsia" w:eastAsia="宋体"/>
                <w:color w:val="auto"/>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auto"/>
                <w:sz w:val="20"/>
                <w:u w:val="none"/>
              </w:rPr>
            </w:pPr>
            <w:r>
              <w:rPr>
                <w:rFonts w:hint="eastAsia" w:eastAsia="宋体"/>
                <w:color w:val="auto"/>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color w:val="auto"/>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一般公</w:t>
            </w:r>
          </w:p>
          <w:p>
            <w:pPr>
              <w:autoSpaceDN w:val="0"/>
              <w:jc w:val="center"/>
              <w:rPr>
                <w:rFonts w:hint="eastAsia" w:eastAsia="宋体"/>
                <w:color w:val="auto"/>
                <w:sz w:val="20"/>
                <w:u w:val="none"/>
              </w:rPr>
            </w:pPr>
            <w:r>
              <w:rPr>
                <w:rFonts w:hint="eastAsia" w:eastAsia="宋体"/>
                <w:color w:val="auto"/>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政府性基</w:t>
            </w:r>
          </w:p>
          <w:p>
            <w:pPr>
              <w:autoSpaceDN w:val="0"/>
              <w:jc w:val="center"/>
              <w:rPr>
                <w:rFonts w:hint="eastAsia" w:eastAsia="宋体"/>
                <w:color w:val="auto"/>
                <w:sz w:val="20"/>
                <w:u w:val="none"/>
              </w:rPr>
            </w:pPr>
            <w:r>
              <w:rPr>
                <w:rFonts w:hint="eastAsia" w:eastAsia="宋体"/>
                <w:color w:val="auto"/>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国有资本</w:t>
            </w:r>
          </w:p>
          <w:p>
            <w:pPr>
              <w:autoSpaceDN w:val="0"/>
              <w:jc w:val="center"/>
              <w:rPr>
                <w:rFonts w:hint="eastAsia" w:eastAsia="宋体"/>
                <w:color w:val="auto"/>
                <w:sz w:val="20"/>
                <w:u w:val="none"/>
              </w:rPr>
            </w:pPr>
            <w:r>
              <w:rPr>
                <w:rFonts w:hint="eastAsia" w:eastAsia="宋体"/>
                <w:color w:val="auto"/>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财政专户</w:t>
            </w:r>
          </w:p>
          <w:p>
            <w:pPr>
              <w:autoSpaceDN w:val="0"/>
              <w:jc w:val="center"/>
              <w:rPr>
                <w:rFonts w:hint="eastAsia" w:eastAsia="宋体"/>
                <w:color w:val="auto"/>
                <w:sz w:val="20"/>
                <w:u w:val="none"/>
              </w:rPr>
            </w:pPr>
            <w:r>
              <w:rPr>
                <w:rFonts w:hint="eastAsia" w:eastAsia="宋体"/>
                <w:color w:val="auto"/>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rPr>
            </w:pPr>
            <w:r>
              <w:rPr>
                <w:rFonts w:hint="eastAsia" w:eastAsia="宋体"/>
                <w:color w:val="auto"/>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事业单位</w:t>
            </w:r>
          </w:p>
          <w:p>
            <w:pPr>
              <w:autoSpaceDN w:val="0"/>
              <w:jc w:val="center"/>
              <w:rPr>
                <w:rFonts w:hint="eastAsia" w:eastAsia="宋体"/>
                <w:color w:val="auto"/>
                <w:sz w:val="20"/>
                <w:u w:val="none"/>
              </w:rPr>
            </w:pPr>
            <w:r>
              <w:rPr>
                <w:rFonts w:hint="eastAsia" w:eastAsia="宋体"/>
                <w:color w:val="auto"/>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上级</w:t>
            </w:r>
          </w:p>
          <w:p>
            <w:pPr>
              <w:autoSpaceDN w:val="0"/>
              <w:jc w:val="center"/>
              <w:rPr>
                <w:rFonts w:hint="eastAsia" w:eastAsia="宋体"/>
                <w:color w:val="auto"/>
                <w:sz w:val="20"/>
                <w:u w:val="none"/>
                <w:lang w:eastAsia="zh-CN"/>
              </w:rPr>
            </w:pPr>
            <w:r>
              <w:rPr>
                <w:rFonts w:hint="eastAsia" w:eastAsia="宋体"/>
                <w:color w:val="auto"/>
                <w:sz w:val="20"/>
                <w:u w:val="none"/>
              </w:rPr>
              <w:t>补助</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附属单位</w:t>
            </w:r>
          </w:p>
          <w:p>
            <w:pPr>
              <w:autoSpaceDN w:val="0"/>
              <w:jc w:val="center"/>
              <w:rPr>
                <w:rFonts w:hint="eastAsia" w:eastAsia="宋体"/>
                <w:color w:val="auto"/>
                <w:sz w:val="20"/>
                <w:u w:val="none"/>
              </w:rPr>
            </w:pPr>
            <w:r>
              <w:rPr>
                <w:rFonts w:hint="eastAsia" w:eastAsia="宋体"/>
                <w:color w:val="auto"/>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其他</w:t>
            </w:r>
          </w:p>
          <w:p>
            <w:pPr>
              <w:autoSpaceDN w:val="0"/>
              <w:jc w:val="center"/>
              <w:rPr>
                <w:rFonts w:hint="eastAsia" w:eastAsia="宋体"/>
                <w:color w:val="auto"/>
                <w:sz w:val="20"/>
                <w:u w:val="none"/>
              </w:rPr>
            </w:pPr>
            <w:r>
              <w:rPr>
                <w:rFonts w:hint="eastAsia" w:eastAsia="宋体"/>
                <w:color w:val="auto"/>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color w:val="auto"/>
                <w:sz w:val="20"/>
                <w:u w:val="none"/>
              </w:rPr>
            </w:pPr>
            <w:r>
              <w:rPr>
                <w:rFonts w:hint="eastAsia" w:ascii="华文细黑" w:hAnsi="华文细黑" w:eastAsia="华文细黑" w:cs="华文细黑"/>
                <w:color w:val="auto"/>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color w:val="auto"/>
                <w:sz w:val="20"/>
                <w:u w:val="none"/>
              </w:rPr>
            </w:pPr>
            <w:r>
              <w:rPr>
                <w:rFonts w:hint="eastAsia" w:eastAsia="宋体"/>
                <w:color w:val="auto"/>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color w:val="auto"/>
                <w:sz w:val="20"/>
                <w:u w:val="none"/>
                <w:lang w:eastAsia="zh-CN"/>
              </w:rPr>
            </w:pPr>
            <w:r>
              <w:rPr>
                <w:rFonts w:hint="eastAsia" w:eastAsia="宋体"/>
                <w:color w:val="auto"/>
                <w:sz w:val="20"/>
                <w:u w:val="none"/>
              </w:rPr>
              <w:t>用事业基</w:t>
            </w:r>
          </w:p>
          <w:p>
            <w:pPr>
              <w:autoSpaceDN w:val="0"/>
              <w:jc w:val="center"/>
              <w:rPr>
                <w:rFonts w:hint="eastAsia" w:eastAsia="宋体"/>
                <w:color w:val="auto"/>
                <w:sz w:val="20"/>
                <w:u w:val="none"/>
                <w:lang w:eastAsia="zh-CN"/>
              </w:rPr>
            </w:pPr>
            <w:r>
              <w:rPr>
                <w:rFonts w:hint="eastAsia" w:eastAsia="宋体"/>
                <w:color w:val="auto"/>
                <w:sz w:val="20"/>
                <w:u w:val="none"/>
              </w:rPr>
              <w:t>金弥补收</w:t>
            </w:r>
          </w:p>
          <w:p>
            <w:pPr>
              <w:autoSpaceDN w:val="0"/>
              <w:jc w:val="center"/>
              <w:rPr>
                <w:rFonts w:hint="eastAsia" w:eastAsia="宋体"/>
                <w:color w:val="auto"/>
                <w:sz w:val="20"/>
                <w:u w:val="none"/>
              </w:rPr>
            </w:pPr>
            <w:r>
              <w:rPr>
                <w:rFonts w:hint="eastAsia" w:eastAsia="宋体"/>
                <w:color w:val="auto"/>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auto"/>
                <w:sz w:val="20"/>
                <w:u w:val="none"/>
                <w:lang w:eastAsia="zh-CN"/>
              </w:rPr>
            </w:pPr>
            <w:r>
              <w:rPr>
                <w:rFonts w:hint="eastAsia" w:eastAsia="宋体"/>
                <w:color w:val="auto"/>
                <w:sz w:val="20"/>
                <w:u w:val="none"/>
                <w:lang w:eastAsia="zh-CN"/>
              </w:rPr>
              <w:t>通榆县应急管理局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auto"/>
                <w:sz w:val="20"/>
                <w:u w:val="none"/>
                <w:lang w:val="en-US" w:eastAsia="zh-CN"/>
              </w:rPr>
            </w:pPr>
            <w:r>
              <w:rPr>
                <w:rFonts w:hint="eastAsia" w:eastAsia="宋体"/>
                <w:color w:val="auto"/>
                <w:sz w:val="20"/>
                <w:u w:val="none"/>
                <w:lang w:val="en-US" w:eastAsia="zh-CN"/>
              </w:rPr>
              <w:t>202.43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202.43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hint="eastAsia" w:eastAsia="宋体"/>
                <w:color w:val="auto"/>
                <w:sz w:val="20"/>
                <w:u w:val="none"/>
                <w:lang w:val="en-US" w:eastAsia="zh-CN"/>
              </w:rPr>
              <w:t>202.43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auto"/>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auto"/>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auto"/>
                <w:sz w:val="20"/>
                <w:u w:val="none"/>
                <w:shd w:val="clear" w:color="auto" w:fill="FFFFFF"/>
              </w:rPr>
            </w:pPr>
            <w:r>
              <w:rPr>
                <w:rFonts w:eastAsia="宋体"/>
                <w:color w:val="auto"/>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eastAsia="宋体"/>
                <w:color w:val="auto"/>
                <w:sz w:val="20"/>
                <w:u w:val="none"/>
                <w:lang w:val="en-US" w:eastAsia="zh-CN"/>
              </w:rPr>
              <w:t>202.43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eastAsia="宋体"/>
                <w:color w:val="auto"/>
                <w:sz w:val="20"/>
                <w:u w:val="none"/>
                <w:lang w:val="en-US" w:eastAsia="zh-CN"/>
              </w:rPr>
              <w:t>202.43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r>
              <w:rPr>
                <w:rFonts w:hint="eastAsia" w:eastAsia="宋体"/>
                <w:color w:val="auto"/>
                <w:sz w:val="20"/>
                <w:u w:val="none"/>
                <w:lang w:val="en-US" w:eastAsia="zh-CN"/>
              </w:rPr>
              <w:t>202.43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auto"/>
                <w:sz w:val="20"/>
                <w:u w:val="none"/>
                <w:shd w:val="clear" w:color="auto" w:fill="FFFFFF"/>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color w:val="auto"/>
                <w:kern w:val="0"/>
                <w:sz w:val="36"/>
                <w:szCs w:val="36"/>
                <w:u w:val="none"/>
              </w:rPr>
            </w:pPr>
            <w:r>
              <w:rPr>
                <w:rFonts w:eastAsia="方正小标宋简体"/>
                <w:color w:val="auto"/>
                <w:kern w:val="0"/>
                <w:sz w:val="36"/>
                <w:szCs w:val="36"/>
                <w:u w:val="none"/>
              </w:rPr>
              <w:t>支出</w:t>
            </w:r>
            <w:r>
              <w:rPr>
                <w:rFonts w:hint="eastAsia" w:eastAsia="方正小标宋简体"/>
                <w:color w:val="auto"/>
                <w:kern w:val="0"/>
                <w:sz w:val="36"/>
                <w:szCs w:val="36"/>
                <w:u w:val="none"/>
              </w:rPr>
              <w:t>总</w:t>
            </w:r>
            <w:r>
              <w:rPr>
                <w:rFonts w:eastAsia="方正小标宋简体"/>
                <w:color w:val="auto"/>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auto"/>
                      <w:kern w:val="0"/>
                      <w:sz w:val="20"/>
                      <w:u w:val="none"/>
                    </w:rPr>
                  </w:pPr>
                </w:p>
              </w:tc>
              <w:tc>
                <w:tcPr>
                  <w:tcW w:w="1297" w:type="dxa"/>
                  <w:tcBorders>
                    <w:bottom w:val="single" w:color="000000" w:sz="4" w:space="0"/>
                  </w:tcBorders>
                  <w:noWrap w:val="0"/>
                  <w:vAlign w:val="center"/>
                </w:tcPr>
                <w:p>
                  <w:pPr>
                    <w:widowControl/>
                    <w:jc w:val="right"/>
                    <w:rPr>
                      <w:rFonts w:eastAsia="华文细黑"/>
                      <w:color w:val="auto"/>
                      <w:kern w:val="0"/>
                      <w:sz w:val="20"/>
                      <w:u w:val="none"/>
                    </w:rPr>
                  </w:pPr>
                  <w:r>
                    <w:rPr>
                      <w:rFonts w:eastAsia="华文细黑"/>
                      <w:color w:val="auto"/>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auto"/>
                      <w:sz w:val="20"/>
                      <w:u w:val="none"/>
                    </w:rPr>
                  </w:pPr>
                  <w:r>
                    <w:rPr>
                      <w:rFonts w:eastAsia="宋体"/>
                      <w:color w:val="auto"/>
                      <w:sz w:val="20"/>
                      <w:u w:val="none"/>
                    </w:rPr>
                    <w:t>功能分类</w:t>
                  </w:r>
                </w:p>
                <w:p>
                  <w:pPr>
                    <w:widowControl/>
                    <w:jc w:val="center"/>
                    <w:rPr>
                      <w:rFonts w:eastAsia="华文细黑"/>
                      <w:color w:val="auto"/>
                      <w:kern w:val="0"/>
                      <w:sz w:val="20"/>
                      <w:u w:val="none"/>
                    </w:rPr>
                  </w:pPr>
                  <w:r>
                    <w:rPr>
                      <w:rFonts w:eastAsia="宋体"/>
                      <w:color w:val="auto"/>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auto"/>
                      <w:sz w:val="20"/>
                      <w:u w:val="none"/>
                    </w:rPr>
                  </w:pP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基本</w:t>
                  </w:r>
                </w:p>
                <w:p>
                  <w:pPr>
                    <w:widowControl/>
                    <w:jc w:val="center"/>
                    <w:rPr>
                      <w:rFonts w:ascii="Times New Roman" w:hAnsi="Times New Roman" w:eastAsia="宋体" w:cs="Times New Roman"/>
                      <w:color w:val="auto"/>
                      <w:sz w:val="20"/>
                      <w:u w:val="none"/>
                    </w:rPr>
                  </w:pPr>
                  <w:r>
                    <w:rPr>
                      <w:rFonts w:ascii="Times New Roman" w:hAnsi="Times New Roman" w:eastAsia="宋体" w:cs="Times New Roman"/>
                      <w:color w:val="auto"/>
                      <w:sz w:val="20"/>
                      <w:u w:val="none"/>
                    </w:rPr>
                    <w:t>支出</w:t>
                  </w:r>
                </w:p>
                <w:p>
                  <w:pPr>
                    <w:widowControl/>
                    <w:jc w:val="center"/>
                    <w:rPr>
                      <w:rFonts w:eastAsia="华文细黑"/>
                      <w:color w:val="auto"/>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ascii="Times New Roman" w:hAnsi="Times New Roman" w:eastAsia="宋体" w:cs="Times New Roman"/>
                      <w:color w:val="auto"/>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auto"/>
                      <w:sz w:val="20"/>
                      <w:u w:val="none"/>
                    </w:rPr>
                  </w:pPr>
                  <w:r>
                    <w:rPr>
                      <w:rFonts w:hint="eastAsia" w:ascii="Times New Roman" w:hAnsi="Times New Roman" w:eastAsia="宋体" w:cs="Times New Roman"/>
                      <w:color w:val="auto"/>
                      <w:sz w:val="20"/>
                      <w:u w:val="none"/>
                    </w:rPr>
                    <w:t>事业单位</w:t>
                  </w:r>
                </w:p>
                <w:p>
                  <w:pPr>
                    <w:widowControl/>
                    <w:jc w:val="center"/>
                    <w:rPr>
                      <w:rFonts w:hint="eastAsia" w:eastAsia="华文细黑"/>
                      <w:color w:val="auto"/>
                      <w:kern w:val="0"/>
                      <w:sz w:val="20"/>
                      <w:u w:val="none"/>
                    </w:rPr>
                  </w:pPr>
                  <w:r>
                    <w:rPr>
                      <w:rFonts w:hint="eastAsia" w:ascii="Times New Roman" w:hAnsi="Times New Roman" w:eastAsia="宋体" w:cs="Times New Roman"/>
                      <w:color w:val="auto"/>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hint="eastAsia" w:ascii="Times New Roman" w:hAnsi="Times New Roman" w:eastAsia="宋体" w:cs="Times New Roman"/>
                      <w:color w:val="auto"/>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auto"/>
                      <w:kern w:val="0"/>
                      <w:sz w:val="20"/>
                      <w:u w:val="none"/>
                      <w:lang w:eastAsia="zh-CN"/>
                    </w:rPr>
                  </w:pPr>
                  <w:r>
                    <w:rPr>
                      <w:rFonts w:eastAsia="宋体"/>
                      <w:color w:val="auto"/>
                      <w:kern w:val="0"/>
                      <w:sz w:val="20"/>
                      <w:u w:val="none"/>
                    </w:rPr>
                    <w:t>一、</w:t>
                  </w:r>
                  <w:r>
                    <w:rPr>
                      <w:rFonts w:hint="eastAsia" w:eastAsia="宋体"/>
                      <w:color w:val="auto"/>
                      <w:kern w:val="0"/>
                      <w:sz w:val="20"/>
                      <w:u w:val="none"/>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15.91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15.91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eastAsia="宋体"/>
                      <w:color w:val="auto"/>
                      <w:kern w:val="0"/>
                      <w:sz w:val="20"/>
                      <w:u w:val="none"/>
                    </w:rPr>
                    <w:t xml:space="preserve">    </w:t>
                  </w:r>
                  <w:r>
                    <w:rPr>
                      <w:rFonts w:hint="eastAsia" w:eastAsia="宋体"/>
                      <w:color w:val="auto"/>
                      <w:kern w:val="0"/>
                      <w:sz w:val="20"/>
                      <w:u w:val="none"/>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15.91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15.91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auto"/>
                      <w:kern w:val="0"/>
                      <w:sz w:val="20"/>
                      <w:u w:val="none"/>
                      <w:lang w:val="en-US" w:eastAsia="zh-CN"/>
                    </w:rPr>
                  </w:pPr>
                  <w:r>
                    <w:rPr>
                      <w:rFonts w:eastAsia="宋体"/>
                      <w:color w:val="auto"/>
                      <w:kern w:val="0"/>
                      <w:sz w:val="20"/>
                      <w:u w:val="none"/>
                    </w:rPr>
                    <w:t xml:space="preserve">    </w:t>
                  </w:r>
                  <w:r>
                    <w:rPr>
                      <w:rFonts w:hint="eastAsia" w:eastAsia="宋体"/>
                      <w:color w:val="auto"/>
                      <w:kern w:val="0"/>
                      <w:sz w:val="20"/>
                      <w:u w:val="none"/>
                      <w:lang w:eastAsia="zh-CN"/>
                    </w:rPr>
                    <w:t>机关事业单位基本养老保险缴费支出</w:t>
                  </w:r>
                  <w:r>
                    <w:rPr>
                      <w:rFonts w:hint="eastAsia" w:eastAsia="宋体"/>
                      <w:color w:val="auto"/>
                      <w:kern w:val="0"/>
                      <w:sz w:val="20"/>
                      <w:u w:val="none"/>
                      <w:lang w:val="en-US" w:eastAsia="zh-CN"/>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12.83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eastAsia="宋体"/>
                      <w:color w:val="auto"/>
                      <w:kern w:val="0"/>
                      <w:sz w:val="20"/>
                      <w:u w:val="none"/>
                    </w:rPr>
                    <w:t xml:space="preserve">    </w:t>
                  </w:r>
                  <w:r>
                    <w:rPr>
                      <w:rFonts w:hint="eastAsia" w:eastAsia="宋体"/>
                      <w:color w:val="auto"/>
                      <w:kern w:val="0"/>
                      <w:sz w:val="20"/>
                      <w:u w:val="none"/>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3.08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3.08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hint="eastAsia" w:eastAsia="宋体"/>
                      <w:color w:val="auto"/>
                      <w:kern w:val="0"/>
                      <w:sz w:val="20"/>
                      <w:u w:val="none"/>
                      <w:lang w:eastAsia="zh-CN"/>
                    </w:rPr>
                    <w:t>二、卫生健康支出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5.78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auto"/>
                      <w:kern w:val="0"/>
                      <w:sz w:val="20"/>
                      <w:u w:val="none"/>
                      <w:lang w:eastAsia="zh-CN"/>
                    </w:rPr>
                  </w:pPr>
                  <w:r>
                    <w:rPr>
                      <w:rFonts w:hint="eastAsia" w:eastAsia="宋体"/>
                      <w:color w:val="auto"/>
                      <w:kern w:val="0"/>
                      <w:sz w:val="20"/>
                      <w:u w:val="none"/>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5.78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eastAsia="宋体"/>
                      <w:color w:val="auto"/>
                      <w:kern w:val="0"/>
                      <w:sz w:val="20"/>
                      <w:u w:val="none"/>
                      <w:lang w:val="en-US" w:eastAsia="zh-CN"/>
                    </w:rPr>
                  </w:pPr>
                  <w:r>
                    <w:rPr>
                      <w:rFonts w:hint="eastAsia" w:eastAsia="宋体"/>
                      <w:color w:val="auto"/>
                      <w:kern w:val="0"/>
                      <w:sz w:val="20"/>
                      <w:u w:val="none"/>
                      <w:lang w:val="en-US" w:eastAsia="zh-CN"/>
                    </w:rPr>
                    <w:t xml:space="preserve">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auto"/>
                      <w:kern w:val="0"/>
                      <w:sz w:val="20"/>
                      <w:u w:val="none"/>
                      <w:lang w:val="en-US" w:eastAsia="zh-CN"/>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华文细黑"/>
                      <w:color w:val="auto"/>
                      <w:kern w:val="0"/>
                      <w:sz w:val="20"/>
                      <w:u w:val="none"/>
                      <w:lang w:eastAsia="zh-CN"/>
                    </w:rPr>
                  </w:pPr>
                  <w:r>
                    <w:rPr>
                      <w:rFonts w:hint="eastAsia" w:eastAsia="华文细黑"/>
                      <w:color w:val="auto"/>
                      <w:kern w:val="0"/>
                      <w:sz w:val="20"/>
                      <w:u w:val="none"/>
                      <w:lang w:eastAsia="zh-CN"/>
                    </w:rPr>
                    <w:t>三、住房保障支出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9.62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eastAsia="华文细黑"/>
                      <w:color w:val="auto"/>
                      <w:kern w:val="0"/>
                      <w:sz w:val="20"/>
                      <w:u w:val="none"/>
                      <w:lang w:eastAsia="zh-CN"/>
                    </w:rPr>
                  </w:pPr>
                  <w:r>
                    <w:rPr>
                      <w:rFonts w:hint="eastAsia" w:eastAsia="华文细黑"/>
                      <w:color w:val="auto"/>
                      <w:kern w:val="0"/>
                      <w:sz w:val="20"/>
                      <w:u w:val="none"/>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9.62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9.62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四、灾害防治及应急管理支出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171.13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110.33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应急管理事务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171.13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110.33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r>
                    <w:rPr>
                      <w:rFonts w:hint="eastAsia" w:eastAsia="华文细黑"/>
                      <w:color w:val="auto"/>
                      <w:kern w:val="0"/>
                      <w:sz w:val="20"/>
                      <w:u w:val="none"/>
                      <w:lang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171.13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110.33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auto"/>
                      <w:kern w:val="0"/>
                      <w:sz w:val="20"/>
                      <w:u w:val="none"/>
                      <w:lang w:eastAsia="zh-CN"/>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auto"/>
                      <w:kern w:val="0"/>
                      <w:sz w:val="20"/>
                      <w:u w:val="none"/>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u w:val="none"/>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auto"/>
                      <w:kern w:val="0"/>
                      <w:sz w:val="20"/>
                      <w:u w:val="none"/>
                    </w:rPr>
                  </w:pPr>
                  <w:r>
                    <w:rPr>
                      <w:rFonts w:eastAsia="华文细黑"/>
                      <w:color w:val="auto"/>
                      <w:kern w:val="0"/>
                      <w:sz w:val="20"/>
                      <w:u w:val="none"/>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202.43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141.63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60.8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bl>
          <w:p>
            <w:pPr>
              <w:widowControl/>
              <w:jc w:val="center"/>
              <w:rPr>
                <w:rFonts w:eastAsia="方正小标宋简体"/>
                <w:color w:val="auto"/>
                <w:kern w:val="0"/>
                <w:sz w:val="44"/>
                <w:szCs w:val="44"/>
                <w:u w:val="none"/>
              </w:rPr>
            </w:pPr>
          </w:p>
        </w:tc>
      </w:tr>
    </w:tbl>
    <w:p>
      <w:pPr>
        <w:rPr>
          <w:rFonts w:hAnsi="楷体" w:eastAsia="楷体"/>
          <w:color w:val="auto"/>
          <w:sz w:val="24"/>
          <w:szCs w:val="24"/>
          <w:u w:val="none"/>
        </w:rPr>
      </w:pPr>
      <w:r>
        <w:rPr>
          <w:rFonts w:hint="eastAsia" w:hAnsi="楷体" w:eastAsia="楷体"/>
          <w:color w:val="auto"/>
          <w:sz w:val="24"/>
          <w:szCs w:val="24"/>
          <w:u w:val="none"/>
          <w:lang w:val="en-US" w:eastAsia="zh-CN"/>
        </w:rPr>
        <w:t>注：</w:t>
      </w:r>
      <w:r>
        <w:rPr>
          <w:rFonts w:hAnsi="楷体" w:eastAsia="楷体"/>
          <w:color w:val="auto"/>
          <w:sz w:val="24"/>
          <w:szCs w:val="24"/>
          <w:u w:val="none"/>
        </w:rPr>
        <w:t>功能科目填列至项级。</w:t>
      </w:r>
    </w:p>
    <w:p>
      <w:pPr>
        <w:ind w:firstLine="640" w:firstLineChars="200"/>
        <w:rPr>
          <w:rFonts w:hAnsi="楷体" w:eastAsia="楷体"/>
          <w:color w:val="auto"/>
          <w:u w:val="none"/>
        </w:rPr>
      </w:pPr>
    </w:p>
    <w:p>
      <w:pPr>
        <w:ind w:firstLine="640" w:firstLineChars="200"/>
        <w:rPr>
          <w:rFonts w:hAnsi="楷体" w:eastAsia="楷体"/>
          <w:color w:val="auto"/>
          <w:u w:val="none"/>
        </w:rPr>
      </w:pPr>
    </w:p>
    <w:p>
      <w:pPr>
        <w:ind w:firstLine="640" w:firstLineChars="200"/>
        <w:rPr>
          <w:rFonts w:hAnsi="楷体" w:eastAsia="楷体"/>
          <w:color w:val="auto"/>
          <w:u w:val="none"/>
        </w:rPr>
      </w:pPr>
    </w:p>
    <w:p>
      <w:pPr>
        <w:ind w:firstLine="640" w:firstLineChars="200"/>
        <w:rPr>
          <w:rFonts w:hAnsi="楷体" w:eastAsia="楷体"/>
          <w:color w:val="auto"/>
          <w:u w:val="none"/>
        </w:rPr>
      </w:pPr>
    </w:p>
    <w:p>
      <w:pPr>
        <w:rPr>
          <w:rFonts w:hAnsi="楷体" w:eastAsia="楷体"/>
          <w:color w:val="auto"/>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color w:val="auto"/>
                      <w:kern w:val="0"/>
                      <w:sz w:val="44"/>
                      <w:szCs w:val="44"/>
                      <w:u w:val="none"/>
                    </w:rPr>
                  </w:pPr>
                  <w:r>
                    <w:rPr>
                      <w:rFonts w:eastAsia="方正小标宋简体"/>
                      <w:color w:val="auto"/>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auto"/>
                      <w:kern w:val="0"/>
                      <w:sz w:val="20"/>
                      <w:u w:val="none"/>
                    </w:rPr>
                  </w:pPr>
                  <w:r>
                    <w:rPr>
                      <w:rFonts w:hint="eastAsia" w:eastAsia="华文细黑"/>
                      <w:color w:val="auto"/>
                      <w:kern w:val="0"/>
                      <w:sz w:val="20"/>
                      <w:u w:val="none"/>
                    </w:rPr>
                    <w:t xml:space="preserve"> </w:t>
                  </w:r>
                  <w:r>
                    <w:rPr>
                      <w:rFonts w:eastAsia="华文细黑"/>
                      <w:color w:val="auto"/>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val="en-US"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lang w:eastAsia="zh-CN"/>
                    </w:rPr>
                  </w:pPr>
                  <w:r>
                    <w:rPr>
                      <w:rFonts w:hint="eastAsia" w:ascii="宋体" w:hAnsi="宋体" w:eastAsia="宋体" w:cs="宋体"/>
                      <w:color w:val="auto"/>
                      <w:kern w:val="0"/>
                      <w:sz w:val="20"/>
                      <w:u w:val="none"/>
                      <w:lang w:eastAsia="zh-CN"/>
                    </w:rPr>
                    <w:t>2024</w:t>
                  </w:r>
                  <w:r>
                    <w:rPr>
                      <w:rFonts w:hint="eastAsia" w:ascii="宋体" w:hAnsi="宋体" w:eastAsia="宋体" w:cs="宋体"/>
                      <w:color w:val="auto"/>
                      <w:kern w:val="0"/>
                      <w:sz w:val="20"/>
                      <w:u w:val="none"/>
                    </w:rPr>
                    <w:t>年预算</w:t>
                  </w:r>
                  <w:r>
                    <w:rPr>
                      <w:rFonts w:hint="eastAsia" w:ascii="宋体" w:hAnsi="宋体" w:eastAsia="宋体" w:cs="宋体"/>
                      <w:color w:val="auto"/>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上年</w:t>
                  </w:r>
                  <w:r>
                    <w:rPr>
                      <w:rFonts w:hint="eastAsia" w:ascii="宋体" w:hAnsi="宋体" w:eastAsia="宋体" w:cs="宋体"/>
                      <w:color w:val="auto"/>
                      <w:kern w:val="0"/>
                      <w:sz w:val="20"/>
                      <w:u w:val="none"/>
                      <w:lang w:val="en-US" w:eastAsia="zh-CN"/>
                    </w:rPr>
                    <w:t xml:space="preserve">  </w:t>
                  </w:r>
                  <w:r>
                    <w:rPr>
                      <w:rFonts w:hint="eastAsia" w:ascii="宋体" w:hAnsi="宋体" w:eastAsia="宋体" w:cs="宋体"/>
                      <w:color w:val="auto"/>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202.43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202.43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一、</w:t>
                  </w:r>
                  <w:r>
                    <w:rPr>
                      <w:rFonts w:hint="eastAsia" w:ascii="宋体" w:hAnsi="宋体" w:eastAsia="宋体" w:cs="宋体"/>
                      <w:b w:val="0"/>
                      <w:bCs/>
                      <w:color w:val="auto"/>
                      <w:kern w:val="0"/>
                      <w:sz w:val="20"/>
                      <w:u w:val="none"/>
                      <w:lang w:eastAsia="zh-CN"/>
                    </w:rPr>
                    <w:t>本年支出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202.43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r>
                    <w:rPr>
                      <w:rFonts w:hint="eastAsia" w:eastAsia="宋体"/>
                      <w:color w:val="auto"/>
                      <w:kern w:val="0"/>
                      <w:sz w:val="20"/>
                      <w:u w:val="none"/>
                      <w:lang w:val="en-US" w:eastAsia="zh-CN"/>
                    </w:rPr>
                    <w:t>202.43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202.43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r>
                    <w:rPr>
                      <w:rFonts w:hint="eastAsia" w:eastAsia="宋体"/>
                      <w:color w:val="auto"/>
                      <w:kern w:val="0"/>
                      <w:sz w:val="20"/>
                      <w:u w:val="none"/>
                      <w:lang w:val="en-US" w:eastAsia="zh-CN"/>
                    </w:rPr>
                    <w:t>202.43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hint="eastAsia" w:eastAsia="宋体"/>
                      <w:color w:val="auto"/>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15.91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15.91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七、</w:t>
                  </w:r>
                  <w:r>
                    <w:rPr>
                      <w:rFonts w:hint="eastAsia" w:ascii="宋体" w:hAnsi="宋体" w:eastAsia="宋体" w:cs="宋体"/>
                      <w:b w:val="0"/>
                      <w:bCs/>
                      <w:color w:val="auto"/>
                      <w:kern w:val="0"/>
                      <w:sz w:val="20"/>
                      <w:u w:val="none"/>
                      <w:lang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5.78</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5.78</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9.62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9.62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color w:val="auto"/>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color w:val="auto"/>
                      <w:kern w:val="0"/>
                      <w:sz w:val="20"/>
                      <w:u w:val="none"/>
                      <w:lang w:val="en-US" w:eastAsia="zh-CN" w:bidi="ar-SA"/>
                    </w:rPr>
                  </w:pPr>
                  <w:r>
                    <w:rPr>
                      <w:rFonts w:hint="eastAsia" w:ascii="宋体" w:hAnsi="宋体" w:eastAsia="宋体" w:cs="宋体"/>
                      <w:b w:val="0"/>
                      <w:bCs/>
                      <w:color w:val="auto"/>
                      <w:kern w:val="0"/>
                      <w:sz w:val="20"/>
                      <w:u w:val="none"/>
                    </w:rPr>
                    <w:t>二十、</w:t>
                  </w:r>
                  <w:r>
                    <w:rPr>
                      <w:rFonts w:hint="eastAsia" w:ascii="宋体" w:hAnsi="宋体" w:eastAsia="宋体" w:cs="宋体"/>
                      <w:b w:val="0"/>
                      <w:bCs/>
                      <w:color w:val="auto"/>
                      <w:kern w:val="0"/>
                      <w:sz w:val="20"/>
                      <w:u w:val="none"/>
                      <w:lang w:eastAsia="zh-CN"/>
                    </w:rPr>
                    <w:t>灾害防治及应急管理支出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171.13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171.13</w:t>
                  </w: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color w:val="auto"/>
                      <w:sz w:val="20"/>
                      <w:u w:val="none"/>
                    </w:rPr>
                  </w:pPr>
                  <w:r>
                    <w:rPr>
                      <w:rFonts w:eastAsia="宋体"/>
                      <w:b/>
                      <w:bCs/>
                      <w:color w:val="auto"/>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b/>
                      <w:bCs/>
                      <w:color w:val="auto"/>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color w:val="auto"/>
                      <w:kern w:val="0"/>
                      <w:sz w:val="20"/>
                      <w:u w:val="none"/>
                    </w:rPr>
                  </w:pPr>
                  <w:r>
                    <w:rPr>
                      <w:rFonts w:hint="eastAsia" w:eastAsia="宋体"/>
                      <w:bCs/>
                      <w:color w:val="auto"/>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color w:val="auto"/>
                      <w:kern w:val="0"/>
                      <w:sz w:val="20"/>
                      <w:u w:val="none"/>
                    </w:rPr>
                  </w:pPr>
                  <w:r>
                    <w:rPr>
                      <w:rFonts w:eastAsia="宋体"/>
                      <w:color w:val="auto"/>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eastAsia="宋体"/>
                      <w:color w:val="auto"/>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r>
                    <w:rPr>
                      <w:rFonts w:hint="eastAsia" w:eastAsia="宋体"/>
                      <w:color w:val="auto"/>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color w:val="auto"/>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color w:val="auto"/>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r>
                    <w:rPr>
                      <w:rFonts w:hint="eastAsia" w:eastAsia="宋体"/>
                      <w:color w:val="auto"/>
                      <w:kern w:val="0"/>
                      <w:sz w:val="20"/>
                      <w:u w:val="none"/>
                      <w:lang w:val="en-US" w:eastAsia="zh-CN"/>
                    </w:rPr>
                    <w:t>202.43</w:t>
                  </w:r>
                  <w:r>
                    <w:rPr>
                      <w:rFonts w:eastAsia="黑体"/>
                      <w:color w:val="auto"/>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r>
                    <w:rPr>
                      <w:rFonts w:hint="eastAsia" w:eastAsia="宋体"/>
                      <w:color w:val="auto"/>
                      <w:kern w:val="0"/>
                      <w:sz w:val="20"/>
                      <w:u w:val="none"/>
                      <w:lang w:val="en-US" w:eastAsia="zh-CN"/>
                    </w:rPr>
                    <w:t>202.43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color w:val="auto"/>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color w:val="auto"/>
                      <w:kern w:val="0"/>
                      <w:sz w:val="20"/>
                      <w:u w:val="none"/>
                    </w:rPr>
                  </w:pPr>
                  <w:r>
                    <w:rPr>
                      <w:rFonts w:eastAsia="黑体"/>
                      <w:b/>
                      <w:bCs/>
                      <w:color w:val="auto"/>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color w:val="auto"/>
                      <w:kern w:val="0"/>
                      <w:sz w:val="20"/>
                      <w:u w:val="none"/>
                    </w:rPr>
                  </w:pPr>
                  <w:r>
                    <w:rPr>
                      <w:rFonts w:hint="eastAsia" w:eastAsia="宋体"/>
                      <w:color w:val="auto"/>
                      <w:kern w:val="0"/>
                      <w:sz w:val="20"/>
                      <w:u w:val="none"/>
                      <w:lang w:val="en-US" w:eastAsia="zh-CN"/>
                    </w:rPr>
                    <w:t>202.43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r>
                    <w:rPr>
                      <w:rFonts w:hint="eastAsia" w:eastAsia="宋体"/>
                      <w:color w:val="auto"/>
                      <w:kern w:val="0"/>
                      <w:sz w:val="20"/>
                      <w:u w:val="none"/>
                      <w:lang w:val="en-US" w:eastAsia="zh-CN"/>
                    </w:rPr>
                    <w:t>202.43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color w:val="auto"/>
                      <w:kern w:val="0"/>
                      <w:sz w:val="20"/>
                      <w:u w:val="none"/>
                    </w:rPr>
                  </w:pPr>
                </w:p>
              </w:tc>
            </w:tr>
          </w:tbl>
          <w:p>
            <w:pPr>
              <w:widowControl/>
              <w:rPr>
                <w:rFonts w:eastAsia="方正小标宋简体"/>
                <w:color w:val="auto"/>
                <w:kern w:val="0"/>
                <w:sz w:val="44"/>
                <w:szCs w:val="44"/>
                <w:u w:val="none"/>
              </w:rPr>
            </w:pPr>
          </w:p>
        </w:tc>
      </w:tr>
    </w:tbl>
    <w:p>
      <w:pPr>
        <w:ind w:firstLine="640" w:firstLineChars="200"/>
        <w:rPr>
          <w:rFonts w:eastAsia="楷体"/>
          <w:color w:val="auto"/>
          <w:u w:val="none"/>
        </w:rPr>
      </w:pPr>
      <w:r>
        <w:rPr>
          <w:rFonts w:hAnsi="楷体" w:eastAsia="楷体"/>
          <w:color w:val="auto"/>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color w:val="auto"/>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auto"/>
                      <w:kern w:val="0"/>
                      <w:sz w:val="36"/>
                      <w:szCs w:val="36"/>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支出</w:t>
                  </w:r>
                  <w:r>
                    <w:rPr>
                      <w:rFonts w:eastAsia="方正小标宋简体"/>
                      <w:color w:val="auto"/>
                      <w:kern w:val="0"/>
                      <w:sz w:val="36"/>
                      <w:szCs w:val="36"/>
                      <w:u w:val="none"/>
                    </w:rPr>
                    <w:t>表</w:t>
                  </w:r>
                </w:p>
                <w:p>
                  <w:pPr>
                    <w:widowControl/>
                    <w:jc w:val="right"/>
                    <w:rPr>
                      <w:rFonts w:eastAsia="华文细黑"/>
                      <w:color w:val="auto"/>
                      <w:kern w:val="0"/>
                      <w:sz w:val="20"/>
                      <w:u w:val="none"/>
                    </w:rPr>
                  </w:pP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auto"/>
                      <w:kern w:val="0"/>
                      <w:sz w:val="20"/>
                      <w:u w:val="none"/>
                    </w:rPr>
                  </w:pPr>
                  <w:r>
                    <w:rPr>
                      <w:rFonts w:eastAsia="华文细黑"/>
                      <w:color w:val="auto"/>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一、</w:t>
                  </w:r>
                  <w:r>
                    <w:rPr>
                      <w:rFonts w:hint="eastAsia" w:eastAsia="宋体"/>
                      <w:color w:val="auto"/>
                      <w:kern w:val="0"/>
                      <w:sz w:val="20"/>
                      <w:u w:val="none"/>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15.91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机关事业单位基本养老保险缴费支出</w:t>
                  </w:r>
                  <w:r>
                    <w:rPr>
                      <w:rFonts w:hint="eastAsia" w:eastAsia="宋体"/>
                      <w:color w:val="auto"/>
                      <w:kern w:val="0"/>
                      <w:sz w:val="20"/>
                      <w:u w:val="none"/>
                      <w:lang w:val="en-US" w:eastAsia="zh-CN"/>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12.83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eastAsia="宋体"/>
                      <w:color w:val="auto"/>
                      <w:kern w:val="0"/>
                      <w:sz w:val="20"/>
                      <w:u w:val="none"/>
                    </w:rPr>
                    <w:t xml:space="preserve">    </w:t>
                  </w:r>
                  <w:r>
                    <w:rPr>
                      <w:rFonts w:hint="eastAsia" w:eastAsia="宋体"/>
                      <w:color w:val="auto"/>
                      <w:kern w:val="0"/>
                      <w:sz w:val="20"/>
                      <w:u w:val="none"/>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eastAsia="zh-CN"/>
                    </w:rPr>
                    <w:t>二、卫生健康支出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 xml:space="preserve">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三、住房保障支出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val="en-US" w:eastAsia="zh-CN"/>
                    </w:rPr>
                    <w:t xml:space="preserve">  </w:t>
                  </w:r>
                  <w:r>
                    <w:rPr>
                      <w:rFonts w:hint="eastAsia" w:eastAsia="华文细黑"/>
                      <w:color w:val="auto"/>
                      <w:kern w:val="0"/>
                      <w:sz w:val="20"/>
                      <w:u w:val="none"/>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四、灾害防治及应急管理支出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171.13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93.11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应急管理事务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171.13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93.11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hint="eastAsia" w:eastAsia="华文细黑"/>
                      <w:color w:val="auto"/>
                      <w:kern w:val="0"/>
                      <w:sz w:val="20"/>
                      <w:u w:val="none"/>
                      <w:lang w:eastAsia="zh-CN"/>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171.13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93.11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auto"/>
                      <w:kern w:val="0"/>
                      <w:sz w:val="20"/>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auto"/>
                      <w:kern w:val="0"/>
                      <w:sz w:val="20"/>
                      <w:u w:val="none"/>
                      <w:lang w:val="en-US" w:eastAsia="zh-CN" w:bidi="ar-SA"/>
                    </w:rPr>
                  </w:pPr>
                  <w:r>
                    <w:rPr>
                      <w:rFonts w:eastAsia="华文细黑"/>
                      <w:color w:val="auto"/>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202.43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0"/>
                      <w:u w:val="none"/>
                      <w:lang w:val="en-US" w:eastAsia="zh-CN" w:bidi="ar-SA"/>
                    </w:rPr>
                  </w:pPr>
                  <w:r>
                    <w:rPr>
                      <w:rFonts w:hint="eastAsia" w:eastAsia="宋体" w:cs="Times New Roman"/>
                      <w:color w:val="auto"/>
                      <w:kern w:val="0"/>
                      <w:sz w:val="20"/>
                      <w:u w:val="none"/>
                      <w:lang w:val="en-US" w:eastAsia="zh-CN" w:bidi="ar-SA"/>
                    </w:rPr>
                    <w:t>110.33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93.11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17.22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auto"/>
                      <w:kern w:val="0"/>
                      <w:sz w:val="20"/>
                      <w:u w:val="none"/>
                      <w:lang w:val="en-US" w:eastAsia="zh-CN"/>
                    </w:rPr>
                  </w:pPr>
                  <w:r>
                    <w:rPr>
                      <w:rFonts w:hint="eastAsia" w:eastAsia="宋体"/>
                      <w:color w:val="auto"/>
                      <w:kern w:val="0"/>
                      <w:sz w:val="20"/>
                      <w:u w:val="none"/>
                      <w:lang w:val="en-US" w:eastAsia="zh-CN"/>
                    </w:rPr>
                    <w:t>60.8</w:t>
                  </w:r>
                </w:p>
              </w:tc>
            </w:tr>
          </w:tbl>
          <w:p>
            <w:pPr>
              <w:widowControl/>
              <w:jc w:val="center"/>
              <w:rPr>
                <w:rFonts w:eastAsia="方正小标宋简体"/>
                <w:color w:val="auto"/>
                <w:kern w:val="0"/>
                <w:sz w:val="44"/>
                <w:szCs w:val="44"/>
                <w:u w:val="none"/>
              </w:rPr>
            </w:pPr>
          </w:p>
        </w:tc>
      </w:tr>
    </w:tbl>
    <w:p>
      <w:pPr>
        <w:ind w:firstLine="480" w:firstLineChars="200"/>
        <w:rPr>
          <w:rFonts w:eastAsia="楷体"/>
          <w:color w:val="auto"/>
          <w:u w:val="none"/>
        </w:rPr>
      </w:pPr>
      <w:r>
        <w:rPr>
          <w:rFonts w:hAnsi="楷体" w:eastAsia="楷体"/>
          <w:color w:val="auto"/>
          <w:sz w:val="24"/>
          <w:szCs w:val="24"/>
          <w:u w:val="none"/>
        </w:rPr>
        <w:t>注：功能科目填列至项级。没有一般公共预算拨款的，公开空表，不得删除。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p>
          <w:p>
            <w:pPr>
              <w:widowControl/>
              <w:jc w:val="center"/>
              <w:rPr>
                <w:rFonts w:eastAsia="方正小标宋简体"/>
                <w:color w:val="auto"/>
                <w:kern w:val="0"/>
                <w:sz w:val="44"/>
                <w:szCs w:val="44"/>
                <w:u w:val="none"/>
              </w:rPr>
            </w:pPr>
            <w:r>
              <w:rPr>
                <w:rFonts w:eastAsia="方正小标宋简体"/>
                <w:color w:val="auto"/>
                <w:kern w:val="0"/>
                <w:sz w:val="36"/>
                <w:szCs w:val="36"/>
                <w:u w:val="none"/>
              </w:rPr>
              <w:t>一般公共预算</w:t>
            </w:r>
            <w:r>
              <w:rPr>
                <w:rFonts w:hint="eastAsia" w:eastAsia="方正小标宋简体"/>
                <w:color w:val="auto"/>
                <w:kern w:val="0"/>
                <w:sz w:val="36"/>
                <w:szCs w:val="36"/>
                <w:u w:val="none"/>
              </w:rPr>
              <w:t>基本</w:t>
            </w:r>
            <w:r>
              <w:rPr>
                <w:rFonts w:eastAsia="方正小标宋简体"/>
                <w:color w:val="auto"/>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color w:val="auto"/>
                <w:kern w:val="0"/>
                <w:sz w:val="20"/>
                <w:u w:val="none"/>
              </w:rPr>
            </w:pPr>
            <w:r>
              <w:rPr>
                <w:rFonts w:eastAsia="宋体"/>
                <w:color w:val="auto"/>
                <w:kern w:val="0"/>
                <w:sz w:val="20"/>
                <w:u w:val="none"/>
              </w:rPr>
              <w:t>　</w:t>
            </w:r>
          </w:p>
        </w:tc>
        <w:tc>
          <w:tcPr>
            <w:tcW w:w="2220" w:type="dxa"/>
            <w:tcBorders>
              <w:top w:val="nil"/>
              <w:left w:val="nil"/>
              <w:bottom w:val="single" w:color="auto" w:sz="4" w:space="0"/>
              <w:right w:val="nil"/>
            </w:tcBorders>
            <w:noWrap w:val="0"/>
            <w:vAlign w:val="center"/>
          </w:tcPr>
          <w:p>
            <w:pPr>
              <w:widowControl/>
              <w:jc w:val="right"/>
              <w:rPr>
                <w:rFonts w:eastAsia="宋体"/>
                <w:color w:val="auto"/>
                <w:kern w:val="0"/>
                <w:sz w:val="20"/>
                <w:u w:val="none"/>
              </w:rPr>
            </w:pPr>
            <w:r>
              <w:rPr>
                <w:rFonts w:eastAsia="宋体"/>
                <w:color w:val="auto"/>
                <w:kern w:val="0"/>
                <w:sz w:val="20"/>
                <w:u w:val="none"/>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color w:val="auto"/>
                <w:kern w:val="0"/>
                <w:sz w:val="20"/>
                <w:u w:val="none"/>
              </w:rPr>
            </w:pPr>
            <w:r>
              <w:rPr>
                <w:rFonts w:hint="eastAsia" w:ascii="宋体" w:hAnsi="宋体" w:eastAsia="宋体" w:cs="宋体"/>
                <w:color w:val="auto"/>
                <w:kern w:val="0"/>
                <w:sz w:val="20"/>
                <w:u w:val="none"/>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sz w:val="20"/>
                <w:szCs w:val="20"/>
                <w:u w:val="none"/>
              </w:rPr>
            </w:pPr>
            <w:r>
              <w:rPr>
                <w:rFonts w:hint="eastAsia" w:ascii="宋体" w:hAnsi="宋体" w:eastAsia="宋体" w:cs="宋体"/>
                <w:color w:val="auto"/>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auto"/>
                <w:kern w:val="0"/>
                <w:sz w:val="20"/>
                <w:u w:val="none"/>
              </w:rPr>
            </w:pPr>
            <w:r>
              <w:rPr>
                <w:rFonts w:eastAsia="宋体"/>
                <w:color w:val="auto"/>
                <w:sz w:val="20"/>
                <w:u w:val="none"/>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118.21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118.21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39.83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39.83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29.54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29.54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auto"/>
                <w:kern w:val="0"/>
                <w:sz w:val="20"/>
                <w:u w:val="none"/>
              </w:rPr>
            </w:pPr>
            <w:r>
              <w:rPr>
                <w:rFonts w:eastAsia="宋体"/>
                <w:color w:val="auto"/>
                <w:sz w:val="20"/>
                <w:u w:val="none"/>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16.49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16.49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12.83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12.83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color w:val="auto"/>
                <w:kern w:val="0"/>
                <w:sz w:val="20"/>
                <w:u w:val="none"/>
                <w:lang w:val="en-US" w:eastAsia="zh-CN"/>
              </w:rPr>
            </w:pPr>
            <w:r>
              <w:rPr>
                <w:rFonts w:hint="eastAsia" w:eastAsia="宋体"/>
                <w:color w:val="auto"/>
                <w:sz w:val="20"/>
                <w:u w:val="none"/>
                <w:lang w:val="en-US" w:eastAsia="zh-CN"/>
              </w:rPr>
              <w:t xml:space="preserve">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3.08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3.08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sz w:val="20"/>
                <w:u w:val="none"/>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0.08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9.62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9.62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1.05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autoSpaceDN w:val="0"/>
              <w:jc w:val="left"/>
              <w:textAlignment w:val="center"/>
              <w:rPr>
                <w:rFonts w:hint="default" w:eastAsia="宋体"/>
                <w:color w:val="auto"/>
                <w:kern w:val="0"/>
                <w:sz w:val="20"/>
                <w:u w:val="none"/>
                <w:lang w:val="en-US" w:eastAsia="zh-CN"/>
              </w:rPr>
            </w:pPr>
            <w:r>
              <w:rPr>
                <w:rFonts w:hint="eastAsia" w:eastAsia="宋体"/>
                <w:color w:val="auto"/>
                <w:kern w:val="0"/>
                <w:sz w:val="20"/>
                <w:u w:val="none"/>
                <w:lang w:val="en-US"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16.22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16.22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4.96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4.96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0.09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0.09</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2</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0.5</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1.05</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1.2</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auto"/>
                <w:kern w:val="0"/>
                <w:sz w:val="20"/>
                <w:u w:val="none"/>
                <w:lang w:val="en-US" w:eastAsia="zh-CN"/>
              </w:rPr>
            </w:pPr>
            <w:r>
              <w:rPr>
                <w:rFonts w:hint="eastAsia" w:eastAsia="宋体"/>
                <w:color w:val="auto"/>
                <w:kern w:val="0"/>
                <w:sz w:val="20"/>
                <w:u w:val="none"/>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6.42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6.42</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6.2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6.2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6.2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r>
              <w:rPr>
                <w:rFonts w:hint="eastAsia" w:eastAsia="宋体"/>
                <w:color w:val="auto"/>
                <w:kern w:val="0"/>
                <w:sz w:val="24"/>
                <w:szCs w:val="24"/>
                <w:u w:val="none"/>
                <w:lang w:val="en-US" w:eastAsia="zh-CN"/>
              </w:rPr>
              <w:t>6.2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color w:val="auto"/>
                <w:sz w:val="24"/>
                <w:szCs w:val="24"/>
                <w:u w:val="none"/>
              </w:rPr>
            </w:pP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四、资本性支出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仿宋_GB2312"/>
                <w:color w:val="auto"/>
                <w:sz w:val="24"/>
                <w:szCs w:val="24"/>
                <w:u w:val="none"/>
                <w:lang w:val="en-US" w:eastAsia="zh-CN"/>
              </w:rPr>
            </w:pPr>
            <w:r>
              <w:rPr>
                <w:rFonts w:hint="eastAsia"/>
                <w:color w:val="auto"/>
                <w:sz w:val="24"/>
                <w:szCs w:val="24"/>
                <w:u w:val="none"/>
                <w:lang w:val="en-US" w:eastAsia="zh-CN"/>
              </w:rPr>
              <w:t>1</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auto"/>
                <w:kern w:val="0"/>
                <w:sz w:val="24"/>
                <w:szCs w:val="24"/>
                <w:u w:val="none"/>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仿宋_GB2312"/>
                <w:color w:val="auto"/>
                <w:sz w:val="24"/>
                <w:szCs w:val="24"/>
                <w:u w:val="none"/>
                <w:lang w:val="en-US" w:eastAsia="zh-CN"/>
              </w:rPr>
            </w:pPr>
            <w:r>
              <w:rPr>
                <w:rFonts w:hint="eastAsia"/>
                <w:color w:val="auto"/>
                <w:sz w:val="24"/>
                <w:szCs w:val="24"/>
                <w:u w:val="none"/>
                <w:lang w:val="en-US" w:eastAsia="zh-CN"/>
              </w:rPr>
              <w:t>1</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auto"/>
                <w:kern w:val="0"/>
                <w:sz w:val="20"/>
                <w:u w:val="none"/>
                <w:lang w:eastAsia="zh-CN"/>
              </w:rPr>
            </w:pPr>
            <w:r>
              <w:rPr>
                <w:rFonts w:hint="eastAsia" w:eastAsia="宋体"/>
                <w:color w:val="auto"/>
                <w:kern w:val="0"/>
                <w:sz w:val="20"/>
                <w:u w:val="none"/>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auto"/>
                <w:kern w:val="0"/>
                <w:sz w:val="24"/>
                <w:szCs w:val="24"/>
                <w:u w:val="none"/>
                <w:lang w:val="en-US" w:eastAsia="zh-CN"/>
              </w:rPr>
            </w:pPr>
            <w:r>
              <w:rPr>
                <w:rFonts w:hint="eastAsia" w:eastAsia="宋体"/>
                <w:color w:val="auto"/>
                <w:kern w:val="0"/>
                <w:sz w:val="24"/>
                <w:szCs w:val="24"/>
                <w:u w:val="none"/>
                <w:lang w:val="en-US" w:eastAsia="zh-CN"/>
              </w:rPr>
              <w:t>141.63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仿宋_GB2312"/>
                <w:color w:val="auto"/>
                <w:sz w:val="24"/>
                <w:szCs w:val="24"/>
                <w:u w:val="none"/>
                <w:lang w:val="en-US" w:eastAsia="zh-CN"/>
              </w:rPr>
            </w:pPr>
            <w:r>
              <w:rPr>
                <w:rFonts w:hint="eastAsia"/>
                <w:color w:val="auto"/>
                <w:sz w:val="24"/>
                <w:szCs w:val="24"/>
                <w:u w:val="none"/>
                <w:lang w:val="en-US" w:eastAsia="zh-CN"/>
              </w:rPr>
              <w:t>124.41</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仿宋_GB2312"/>
                <w:color w:val="auto"/>
                <w:sz w:val="24"/>
                <w:szCs w:val="24"/>
                <w:u w:val="none"/>
                <w:lang w:val="en-US" w:eastAsia="zh-CN"/>
              </w:rPr>
            </w:pPr>
            <w:r>
              <w:rPr>
                <w:rFonts w:hint="eastAsia"/>
                <w:color w:val="auto"/>
                <w:sz w:val="24"/>
                <w:szCs w:val="24"/>
                <w:u w:val="none"/>
                <w:lang w:val="en-US" w:eastAsia="zh-CN"/>
              </w:rPr>
              <w:t>17.22</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注：经济科目填列至款级。没有一般公共预算拨款的，公开空表，不得删除。</w:t>
      </w:r>
    </w:p>
    <w:p>
      <w:pPr>
        <w:ind w:firstLine="636"/>
        <w:rPr>
          <w:rFonts w:eastAsia="楷体"/>
          <w:color w:val="auto"/>
          <w:u w:val="none"/>
        </w:rPr>
      </w:pPr>
      <w:r>
        <w:rPr>
          <w:rFonts w:hAnsi="楷体" w:eastAsia="楷体"/>
          <w:color w:val="auto"/>
          <w:u w:val="none"/>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auto"/>
                <w:kern w:val="0"/>
                <w:sz w:val="44"/>
                <w:szCs w:val="44"/>
                <w:u w:val="none"/>
              </w:rPr>
            </w:pPr>
            <w:r>
              <w:rPr>
                <w:rFonts w:ascii="Times New Roman" w:hAnsi="Times New Roman" w:eastAsia="方正小标宋简体" w:cs="Times New Roman"/>
                <w:color w:val="auto"/>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auto"/>
                <w:kern w:val="0"/>
                <w:sz w:val="20"/>
                <w:u w:val="none"/>
              </w:rPr>
            </w:pPr>
            <w:r>
              <w:rPr>
                <w:rFonts w:hAnsi="华文细黑" w:eastAsia="华文细黑"/>
                <w:color w:val="auto"/>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Ansi="华文细黑" w:eastAsia="华文细黑"/>
                <w:color w:val="auto"/>
                <w:kern w:val="0"/>
                <w:sz w:val="20"/>
                <w:u w:val="none"/>
              </w:rPr>
              <w:t>项</w:t>
            </w:r>
            <w:r>
              <w:rPr>
                <w:rFonts w:eastAsia="华文细黑"/>
                <w:color w:val="auto"/>
                <w:kern w:val="0"/>
                <w:sz w:val="20"/>
                <w:u w:val="none"/>
              </w:rPr>
              <w:t xml:space="preserve">    </w:t>
            </w:r>
            <w:r>
              <w:rPr>
                <w:rFonts w:hAnsi="华文细黑" w:eastAsia="华文细黑"/>
                <w:color w:val="auto"/>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lang w:eastAsia="zh-CN"/>
              </w:rPr>
              <w:t>2024</w:t>
            </w:r>
            <w:r>
              <w:rPr>
                <w:rFonts w:hAnsi="华文细黑" w:eastAsia="华文细黑"/>
                <w:color w:val="auto"/>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auto"/>
                <w:kern w:val="0"/>
                <w:sz w:val="20"/>
                <w:u w:val="none"/>
              </w:rPr>
            </w:pPr>
            <w:r>
              <w:rPr>
                <w:rFonts w:hint="eastAsia" w:eastAsia="华文细黑"/>
                <w:color w:val="auto"/>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auto"/>
                <w:kern w:val="0"/>
                <w:sz w:val="20"/>
                <w:u w:val="none"/>
              </w:rPr>
            </w:pPr>
            <w:r>
              <w:rPr>
                <w:rFonts w:eastAsia="宋体"/>
                <w:color w:val="auto"/>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1.7</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1.7</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auto"/>
                <w:kern w:val="0"/>
                <w:sz w:val="20"/>
                <w:u w:val="none"/>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0.5</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0.5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auto"/>
                <w:kern w:val="0"/>
                <w:sz w:val="20"/>
                <w:u w:val="none"/>
              </w:rPr>
            </w:pPr>
            <w:r>
              <w:rPr>
                <w:rFonts w:eastAsia="宋体"/>
                <w:color w:val="auto"/>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1.2</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auto"/>
                <w:kern w:val="0"/>
                <w:sz w:val="20"/>
                <w:u w:val="none"/>
              </w:rPr>
            </w:pPr>
            <w:r>
              <w:rPr>
                <w:rFonts w:eastAsia="宋体"/>
                <w:color w:val="auto"/>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auto"/>
                <w:kern w:val="0"/>
                <w:sz w:val="20"/>
                <w:u w:val="none"/>
                <w:lang w:val="en-US" w:eastAsia="zh-CN"/>
              </w:rPr>
            </w:pPr>
            <w:r>
              <w:rPr>
                <w:rFonts w:hint="eastAsia" w:eastAsia="宋体"/>
                <w:color w:val="auto"/>
                <w:kern w:val="0"/>
                <w:sz w:val="20"/>
                <w:u w:val="none"/>
                <w:lang w:val="en-US" w:eastAsia="zh-CN"/>
              </w:rPr>
              <w:t>1.2</w:t>
            </w:r>
          </w:p>
        </w:tc>
        <w:tc>
          <w:tcPr>
            <w:tcW w:w="13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u w:val="none"/>
                <w:lang w:val="en-US" w:eastAsia="zh-CN" w:bidi="ar-SA"/>
              </w:rPr>
            </w:pPr>
            <w:r>
              <w:rPr>
                <w:rFonts w:hint="eastAsia" w:eastAsia="宋体"/>
                <w:color w:val="auto"/>
                <w:kern w:val="0"/>
                <w:sz w:val="20"/>
                <w:u w:val="none"/>
                <w:lang w:val="en-US" w:eastAsia="zh-CN"/>
              </w:rPr>
              <w:t>1.2</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auto"/>
                <w:kern w:val="0"/>
                <w:sz w:val="20"/>
                <w:u w:val="none"/>
              </w:rPr>
            </w:pPr>
            <w:r>
              <w:rPr>
                <w:rFonts w:eastAsia="宋体"/>
                <w:color w:val="auto"/>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auto"/>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r>
              <w:rPr>
                <w:rFonts w:eastAsia="宋体"/>
                <w:color w:val="auto"/>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auto"/>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auto"/>
                <w:kern w:val="0"/>
                <w:sz w:val="28"/>
                <w:szCs w:val="28"/>
                <w:u w:val="none"/>
                <w:lang w:eastAsia="zh-CN"/>
              </w:rPr>
            </w:pPr>
            <w:r>
              <w:rPr>
                <w:rFonts w:eastAsia="宋体"/>
                <w:color w:val="auto"/>
                <w:kern w:val="0"/>
                <w:sz w:val="28"/>
                <w:szCs w:val="28"/>
                <w:u w:val="none"/>
              </w:rPr>
              <w:t xml:space="preserve">  </w:t>
            </w:r>
            <w:r>
              <w:rPr>
                <w:color w:val="auto"/>
                <w:kern w:val="0"/>
                <w:sz w:val="28"/>
                <w:szCs w:val="28"/>
                <w:u w:val="none"/>
              </w:rPr>
              <w:t>说明：</w:t>
            </w:r>
          </w:p>
          <w:p>
            <w:pPr>
              <w:widowControl/>
              <w:jc w:val="left"/>
              <w:rPr>
                <w:rFonts w:hint="eastAsia" w:eastAsia="宋体"/>
                <w:color w:val="auto"/>
                <w:kern w:val="0"/>
                <w:sz w:val="28"/>
                <w:szCs w:val="28"/>
                <w:u w:val="none"/>
                <w:lang w:eastAsia="zh-CN"/>
              </w:rPr>
            </w:pPr>
            <w:r>
              <w:rPr>
                <w:rFonts w:eastAsia="宋体"/>
                <w:color w:val="auto"/>
                <w:kern w:val="0"/>
                <w:sz w:val="28"/>
                <w:szCs w:val="28"/>
                <w:u w:val="none"/>
              </w:rPr>
              <w:t xml:space="preserve">       1</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的单位范围包括部门本级及所属</w:t>
            </w:r>
            <w:r>
              <w:rPr>
                <w:rFonts w:eastAsia="宋体"/>
                <w:color w:val="auto"/>
                <w:kern w:val="0"/>
                <w:sz w:val="28"/>
                <w:szCs w:val="28"/>
                <w:u w:val="none"/>
              </w:rPr>
              <w:t xml:space="preserve"> </w:t>
            </w:r>
            <w:r>
              <w:rPr>
                <w:rFonts w:hint="eastAsia" w:eastAsia="宋体"/>
                <w:color w:val="auto"/>
                <w:kern w:val="0"/>
                <w:sz w:val="28"/>
                <w:szCs w:val="28"/>
                <w:u w:val="none"/>
                <w:lang w:val="en-US" w:eastAsia="zh-CN"/>
              </w:rPr>
              <w:t>0</w:t>
            </w:r>
            <w:r>
              <w:rPr>
                <w:rFonts w:eastAsia="宋体"/>
                <w:color w:val="auto"/>
                <w:kern w:val="0"/>
                <w:sz w:val="28"/>
                <w:szCs w:val="28"/>
                <w:u w:val="none"/>
              </w:rPr>
              <w:t xml:space="preserve"> </w:t>
            </w:r>
            <w:r>
              <w:rPr>
                <w:color w:val="auto"/>
                <w:kern w:val="0"/>
                <w:sz w:val="28"/>
                <w:szCs w:val="28"/>
                <w:u w:val="none"/>
              </w:rPr>
              <w:t>个预算单位。</w:t>
            </w:r>
            <w:r>
              <w:rPr>
                <w:rFonts w:eastAsia="宋体"/>
                <w:color w:val="auto"/>
                <w:kern w:val="0"/>
                <w:sz w:val="28"/>
                <w:szCs w:val="28"/>
                <w:u w:val="none"/>
              </w:rPr>
              <w:t xml:space="preserve">   </w:t>
            </w:r>
          </w:p>
          <w:p>
            <w:pPr>
              <w:widowControl/>
              <w:jc w:val="left"/>
              <w:rPr>
                <w:color w:val="auto"/>
                <w:kern w:val="0"/>
                <w:sz w:val="28"/>
                <w:szCs w:val="28"/>
                <w:u w:val="none"/>
              </w:rPr>
            </w:pPr>
            <w:r>
              <w:rPr>
                <w:rFonts w:eastAsia="宋体"/>
                <w:color w:val="auto"/>
                <w:kern w:val="0"/>
                <w:sz w:val="28"/>
                <w:szCs w:val="28"/>
                <w:u w:val="none"/>
              </w:rPr>
              <w:t xml:space="preserve">       2</w:t>
            </w:r>
            <w:r>
              <w:rPr>
                <w:color w:val="auto"/>
                <w:kern w:val="0"/>
                <w:sz w:val="28"/>
                <w:szCs w:val="28"/>
                <w:u w:val="none"/>
              </w:rPr>
              <w:t>、</w:t>
            </w:r>
            <w:r>
              <w:rPr>
                <w:rFonts w:eastAsia="宋体"/>
                <w:color w:val="auto"/>
                <w:kern w:val="0"/>
                <w:sz w:val="28"/>
                <w:szCs w:val="28"/>
                <w:u w:val="none"/>
              </w:rPr>
              <w:t>“</w:t>
            </w:r>
            <w:r>
              <w:rPr>
                <w:rFonts w:hint="eastAsia" w:eastAsia="宋体"/>
                <w:color w:val="auto"/>
                <w:kern w:val="0"/>
                <w:sz w:val="28"/>
                <w:szCs w:val="28"/>
                <w:u w:val="none"/>
                <w:lang w:eastAsia="zh-CN"/>
              </w:rPr>
              <w:t>2024</w:t>
            </w:r>
            <w:r>
              <w:rPr>
                <w:color w:val="auto"/>
                <w:kern w:val="0"/>
                <w:sz w:val="28"/>
                <w:szCs w:val="28"/>
                <w:u w:val="none"/>
              </w:rPr>
              <w:t>年预算数</w:t>
            </w:r>
            <w:r>
              <w:rPr>
                <w:rFonts w:eastAsia="宋体"/>
                <w:color w:val="auto"/>
                <w:kern w:val="0"/>
                <w:sz w:val="28"/>
                <w:szCs w:val="28"/>
                <w:u w:val="none"/>
              </w:rPr>
              <w:t>”</w:t>
            </w:r>
            <w:r>
              <w:rPr>
                <w:color w:val="auto"/>
                <w:kern w:val="0"/>
                <w:sz w:val="28"/>
                <w:szCs w:val="28"/>
                <w:u w:val="none"/>
              </w:rPr>
              <w:t>的实有人员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18</w:t>
            </w:r>
            <w:r>
              <w:rPr>
                <w:rFonts w:eastAsia="宋体"/>
                <w:color w:val="auto"/>
                <w:kern w:val="0"/>
                <w:sz w:val="28"/>
                <w:szCs w:val="28"/>
                <w:u w:val="none"/>
              </w:rPr>
              <w:t xml:space="preserve"> </w:t>
            </w:r>
            <w:r>
              <w:rPr>
                <w:color w:val="auto"/>
                <w:kern w:val="0"/>
                <w:sz w:val="28"/>
                <w:szCs w:val="28"/>
                <w:u w:val="none"/>
              </w:rPr>
              <w:t>人，其中：在职人员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9</w:t>
            </w:r>
            <w:r>
              <w:rPr>
                <w:rFonts w:eastAsia="宋体"/>
                <w:color w:val="auto"/>
                <w:kern w:val="0"/>
                <w:sz w:val="28"/>
                <w:szCs w:val="28"/>
                <w:u w:val="none"/>
              </w:rPr>
              <w:t xml:space="preserve"> </w:t>
            </w:r>
            <w:r>
              <w:rPr>
                <w:color w:val="auto"/>
                <w:kern w:val="0"/>
                <w:sz w:val="28"/>
                <w:szCs w:val="28"/>
                <w:u w:val="none"/>
              </w:rPr>
              <w:t>人，离退休人员</w:t>
            </w:r>
            <w:r>
              <w:rPr>
                <w:rFonts w:eastAsia="宋体"/>
                <w:color w:val="auto"/>
                <w:kern w:val="0"/>
                <w:sz w:val="28"/>
                <w:szCs w:val="28"/>
                <w:u w:val="none"/>
              </w:rPr>
              <w:t xml:space="preserve"> </w:t>
            </w:r>
            <w:r>
              <w:rPr>
                <w:rFonts w:hint="eastAsia" w:eastAsia="宋体"/>
                <w:color w:val="auto"/>
                <w:kern w:val="0"/>
                <w:sz w:val="28"/>
                <w:szCs w:val="28"/>
                <w:u w:val="none"/>
                <w:lang w:val="en-US" w:eastAsia="zh-CN"/>
              </w:rPr>
              <w:t>9</w:t>
            </w:r>
            <w:r>
              <w:rPr>
                <w:rFonts w:eastAsia="宋体"/>
                <w:color w:val="auto"/>
                <w:kern w:val="0"/>
                <w:sz w:val="28"/>
                <w:szCs w:val="28"/>
                <w:u w:val="none"/>
              </w:rPr>
              <w:t xml:space="preserve"> </w:t>
            </w:r>
            <w:r>
              <w:rPr>
                <w:color w:val="auto"/>
                <w:kern w:val="0"/>
                <w:sz w:val="28"/>
                <w:szCs w:val="28"/>
                <w:u w:val="none"/>
              </w:rPr>
              <w:t>人。</w:t>
            </w:r>
          </w:p>
          <w:p>
            <w:pPr>
              <w:widowControl/>
              <w:jc w:val="left"/>
              <w:rPr>
                <w:rFonts w:hint="eastAsia" w:eastAsia="仿宋_GB2312"/>
                <w:color w:val="auto"/>
                <w:kern w:val="0"/>
                <w:sz w:val="28"/>
                <w:szCs w:val="28"/>
                <w:u w:val="none"/>
                <w:lang w:val="en-US" w:eastAsia="zh-CN"/>
              </w:rPr>
            </w:pPr>
            <w:r>
              <w:rPr>
                <w:rFonts w:hint="eastAsia"/>
                <w:color w:val="auto"/>
                <w:kern w:val="0"/>
                <w:sz w:val="28"/>
                <w:szCs w:val="28"/>
                <w:u w:val="none"/>
                <w:lang w:val="en-US" w:eastAsia="zh-CN"/>
              </w:rPr>
              <w:t xml:space="preserve">       </w:t>
            </w:r>
          </w:p>
        </w:tc>
      </w:tr>
    </w:tbl>
    <w:p>
      <w:pPr>
        <w:ind w:firstLine="480" w:firstLineChars="200"/>
        <w:rPr>
          <w:rFonts w:hint="eastAsia" w:ascii="楷体" w:hAnsi="楷体" w:eastAsia="楷体" w:cs="楷体"/>
          <w:color w:val="auto"/>
          <w:sz w:val="24"/>
          <w:szCs w:val="24"/>
          <w:u w:val="none"/>
        </w:rPr>
      </w:pPr>
      <w:r>
        <w:rPr>
          <w:rFonts w:hint="eastAsia" w:ascii="楷体" w:hAnsi="楷体" w:eastAsia="楷体" w:cs="楷体"/>
          <w:color w:val="auto"/>
          <w:sz w:val="24"/>
          <w:szCs w:val="24"/>
          <w:u w:val="none"/>
        </w:rPr>
        <w:t>注：没有一般公共预算拨款的，公开空表，不得删除。</w:t>
      </w:r>
    </w:p>
    <w:p>
      <w:pPr>
        <w:ind w:firstLine="640" w:firstLineChars="200"/>
        <w:rPr>
          <w:rFonts w:eastAsia="楷体"/>
          <w:color w:val="auto"/>
          <w:kern w:val="0"/>
          <w:szCs w:val="32"/>
          <w:u w:val="none"/>
        </w:rPr>
      </w:pPr>
      <w:r>
        <w:rPr>
          <w:rFonts w:hAnsi="楷体" w:eastAsia="楷体"/>
          <w:color w:val="auto"/>
          <w:u w:val="none"/>
        </w:rPr>
        <w:br w:type="page"/>
      </w:r>
      <w:r>
        <w:rPr>
          <w:rFonts w:eastAsia="楷体"/>
          <w:color w:val="auto"/>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color w:val="auto"/>
                <w:kern w:val="0"/>
                <w:sz w:val="36"/>
                <w:szCs w:val="36"/>
                <w:u w:val="none"/>
              </w:rPr>
            </w:pPr>
          </w:p>
          <w:p>
            <w:pPr>
              <w:widowControl/>
              <w:jc w:val="center"/>
              <w:rPr>
                <w:rFonts w:hint="eastAsia" w:ascii="宋体" w:hAnsi="宋体" w:eastAsia="宋体" w:cs="宋体"/>
                <w:color w:val="auto"/>
                <w:kern w:val="0"/>
                <w:sz w:val="20"/>
                <w:szCs w:val="20"/>
                <w:u w:val="none"/>
              </w:rPr>
            </w:pPr>
            <w:r>
              <w:rPr>
                <w:rFonts w:hint="eastAsia" w:ascii="Times New Roman" w:hAnsi="Times New Roman" w:eastAsia="方正小标宋简体" w:cs="Times New Roman"/>
                <w:color w:val="auto"/>
                <w:kern w:val="0"/>
                <w:sz w:val="36"/>
                <w:szCs w:val="36"/>
                <w:u w:val="none"/>
              </w:rPr>
              <w:t>政府性基金预算支出表</w:t>
            </w:r>
          </w:p>
          <w:p>
            <w:pPr>
              <w:widowControl/>
              <w:jc w:val="right"/>
              <w:rPr>
                <w:rFonts w:hint="eastAsia" w:ascii="宋体" w:hAnsi="宋体" w:eastAsia="宋体" w:cs="宋体"/>
                <w:color w:val="auto"/>
                <w:kern w:val="0"/>
                <w:sz w:val="20"/>
                <w:szCs w:val="20"/>
                <w:u w:val="none"/>
              </w:rPr>
            </w:pPr>
          </w:p>
          <w:p>
            <w:pPr>
              <w:widowControl/>
              <w:jc w:val="right"/>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功能分类</w:t>
            </w:r>
          </w:p>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szCs w:val="20"/>
                <w:u w:val="none"/>
              </w:rPr>
            </w:pPr>
          </w:p>
        </w:tc>
      </w:tr>
    </w:tbl>
    <w:p>
      <w:pPr>
        <w:spacing w:line="700" w:lineRule="exact"/>
        <w:rPr>
          <w:rFonts w:eastAsia="楷体_GB2312"/>
          <w:color w:val="auto"/>
          <w:kern w:val="0"/>
          <w:szCs w:val="32"/>
          <w:u w:val="none"/>
        </w:rPr>
      </w:pPr>
      <w:r>
        <w:rPr>
          <w:rFonts w:eastAsia="楷体_GB2312"/>
          <w:color w:val="auto"/>
          <w:kern w:val="0"/>
          <w:szCs w:val="32"/>
          <w:u w:val="none"/>
        </w:rPr>
        <w:t xml:space="preserve">    </w:t>
      </w: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rPr>
          <w:rFonts w:eastAsia="楷体_GB2312"/>
          <w:color w:val="auto"/>
          <w:kern w:val="0"/>
          <w:szCs w:val="32"/>
          <w:u w:val="none"/>
        </w:rPr>
      </w:pPr>
    </w:p>
    <w:p>
      <w:pPr>
        <w:spacing w:line="700" w:lineRule="exact"/>
        <w:ind w:firstLine="480" w:firstLineChars="200"/>
        <w:rPr>
          <w:rFonts w:hint="eastAsia" w:ascii="楷体" w:hAnsi="楷体" w:eastAsia="楷体" w:cs="楷体"/>
          <w:color w:val="auto"/>
          <w:kern w:val="0"/>
          <w:sz w:val="24"/>
          <w:szCs w:val="24"/>
          <w:u w:val="none"/>
        </w:rPr>
      </w:pPr>
      <w:r>
        <w:rPr>
          <w:rFonts w:hint="eastAsia" w:ascii="楷体" w:hAnsi="楷体" w:eastAsia="楷体" w:cs="楷体"/>
          <w:color w:val="auto"/>
          <w:kern w:val="0"/>
          <w:sz w:val="24"/>
          <w:szCs w:val="24"/>
          <w:u w:val="none"/>
        </w:rPr>
        <w:t>注：功能科目列至项级。没有政府性基金预算拨款的，公开空表，不得删除。</w:t>
      </w:r>
    </w:p>
    <w:p>
      <w:pPr>
        <w:spacing w:line="700" w:lineRule="exact"/>
        <w:ind w:firstLine="640" w:firstLineChars="200"/>
        <w:rPr>
          <w:rFonts w:eastAsia="楷体"/>
          <w:color w:val="auto"/>
          <w:kern w:val="0"/>
          <w:szCs w:val="32"/>
          <w:u w:val="none"/>
        </w:rPr>
      </w:pPr>
    </w:p>
    <w:p>
      <w:pPr>
        <w:spacing w:line="700" w:lineRule="exact"/>
        <w:ind w:firstLine="640" w:firstLineChars="200"/>
        <w:rPr>
          <w:rFonts w:eastAsia="楷体"/>
          <w:color w:val="auto"/>
          <w:kern w:val="0"/>
          <w:szCs w:val="32"/>
          <w:u w:val="none"/>
        </w:rPr>
      </w:pPr>
    </w:p>
    <w:p>
      <w:pPr>
        <w:ind w:firstLine="640" w:firstLineChars="200"/>
        <w:rPr>
          <w:rFonts w:eastAsia="楷体"/>
          <w:color w:val="auto"/>
          <w:kern w:val="0"/>
          <w:szCs w:val="32"/>
          <w:u w:val="none"/>
        </w:rPr>
      </w:pPr>
      <w:r>
        <w:rPr>
          <w:rFonts w:eastAsia="楷体"/>
          <w:color w:val="auto"/>
          <w:kern w:val="0"/>
          <w:szCs w:val="32"/>
          <w:u w:val="none"/>
        </w:rPr>
        <w:t xml:space="preserve"> </w:t>
      </w:r>
    </w:p>
    <w:p>
      <w:pPr>
        <w:spacing w:line="700" w:lineRule="exact"/>
        <w:rPr>
          <w:rFonts w:hint="eastAsia" w:ascii="楷体" w:hAnsi="楷体" w:eastAsia="楷体" w:cs="楷体"/>
          <w:color w:val="auto"/>
          <w:kern w:val="0"/>
          <w:sz w:val="24"/>
          <w:szCs w:val="24"/>
          <w:u w:val="none"/>
        </w:rPr>
      </w:pPr>
      <w:r>
        <w:rPr>
          <w:rFonts w:eastAsia="楷体_GB2312"/>
          <w:color w:val="auto"/>
          <w:kern w:val="0"/>
          <w:szCs w:val="32"/>
          <w:u w:val="none"/>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color w:val="auto"/>
                <w:kern w:val="0"/>
                <w:sz w:val="36"/>
                <w:szCs w:val="36"/>
                <w:u w:val="none"/>
              </w:rPr>
            </w:pPr>
            <w:r>
              <w:rPr>
                <w:rFonts w:hint="eastAsia" w:eastAsia="方正小标宋简体"/>
                <w:color w:val="auto"/>
                <w:kern w:val="0"/>
                <w:sz w:val="36"/>
                <w:szCs w:val="36"/>
                <w:u w:val="none"/>
              </w:rPr>
              <w:t>国有资本经营</w:t>
            </w:r>
            <w:r>
              <w:rPr>
                <w:rFonts w:eastAsia="方正小标宋简体"/>
                <w:color w:val="auto"/>
                <w:kern w:val="0"/>
                <w:sz w:val="36"/>
                <w:szCs w:val="36"/>
                <w:u w:val="none"/>
              </w:rPr>
              <w:t>预算支出表</w:t>
            </w:r>
          </w:p>
          <w:p>
            <w:pPr>
              <w:widowControl/>
              <w:jc w:val="center"/>
              <w:rPr>
                <w:rFonts w:hint="eastAsia" w:eastAsia="方正小标宋简体"/>
                <w:color w:val="auto"/>
                <w:kern w:val="0"/>
                <w:sz w:val="36"/>
                <w:szCs w:val="36"/>
                <w:u w:val="none"/>
              </w:rPr>
            </w:pPr>
          </w:p>
          <w:p>
            <w:pPr>
              <w:widowControl/>
              <w:jc w:val="center"/>
              <w:rPr>
                <w:rFonts w:hint="eastAsia" w:eastAsia="方正小标宋简体"/>
                <w:color w:val="auto"/>
                <w:kern w:val="0"/>
                <w:sz w:val="36"/>
                <w:szCs w:val="36"/>
                <w:u w:val="none"/>
              </w:rPr>
            </w:pPr>
          </w:p>
          <w:p>
            <w:pPr>
              <w:widowControl/>
              <w:tabs>
                <w:tab w:val="left" w:pos="7576"/>
                <w:tab w:val="right" w:pos="8879"/>
              </w:tabs>
              <w:jc w:val="left"/>
              <w:rPr>
                <w:rFonts w:eastAsia="华文细黑"/>
                <w:color w:val="auto"/>
                <w:kern w:val="0"/>
                <w:sz w:val="20"/>
                <w:u w:val="none"/>
              </w:rPr>
            </w:pPr>
            <w:r>
              <w:rPr>
                <w:rFonts w:hint="eastAsia" w:eastAsia="华文细黑"/>
                <w:color w:val="auto"/>
                <w:kern w:val="0"/>
                <w:sz w:val="20"/>
                <w:u w:val="none"/>
                <w:lang w:eastAsia="zh-CN"/>
              </w:rPr>
              <w:tab/>
            </w:r>
            <w:r>
              <w:rPr>
                <w:rFonts w:hint="eastAsia" w:ascii="宋体" w:hAnsi="宋体" w:eastAsia="宋体" w:cs="宋体"/>
                <w:color w:val="auto"/>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功能分类</w:t>
            </w:r>
          </w:p>
          <w:p>
            <w:pPr>
              <w:widowControl/>
              <w:jc w:val="center"/>
              <w:rPr>
                <w:rFonts w:hint="eastAsia" w:ascii="宋体" w:hAnsi="宋体" w:eastAsia="宋体" w:cs="宋体"/>
                <w:color w:val="auto"/>
                <w:kern w:val="0"/>
                <w:sz w:val="20"/>
                <w:u w:val="none"/>
              </w:rPr>
            </w:pPr>
            <w:r>
              <w:rPr>
                <w:rFonts w:hint="eastAsia" w:ascii="宋体" w:hAnsi="宋体" w:eastAsia="宋体" w:cs="宋体"/>
                <w:color w:val="auto"/>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auto"/>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r>
              <w:rPr>
                <w:rFonts w:hint="eastAsia" w:ascii="宋体" w:hAnsi="宋体" w:eastAsia="宋体" w:cs="宋体"/>
                <w:color w:val="auto"/>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auto"/>
                <w:kern w:val="0"/>
                <w:sz w:val="20"/>
                <w:u w:val="none"/>
              </w:rPr>
            </w:pPr>
          </w:p>
        </w:tc>
      </w:tr>
    </w:tbl>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hint="eastAsia" w:ascii="楷体" w:hAnsi="楷体" w:eastAsia="楷体" w:cs="楷体"/>
          <w:color w:val="auto"/>
          <w:kern w:val="0"/>
          <w:sz w:val="24"/>
          <w:szCs w:val="24"/>
          <w:u w:val="none"/>
        </w:rPr>
      </w:pPr>
    </w:p>
    <w:p>
      <w:pPr>
        <w:spacing w:line="700" w:lineRule="exact"/>
        <w:rPr>
          <w:rFonts w:eastAsia="楷体"/>
          <w:color w:val="auto"/>
          <w:kern w:val="0"/>
          <w:szCs w:val="32"/>
          <w:u w:val="none"/>
        </w:rPr>
      </w:pPr>
      <w:r>
        <w:rPr>
          <w:rFonts w:hint="eastAsia" w:ascii="楷体" w:hAnsi="楷体" w:eastAsia="楷体" w:cs="楷体"/>
          <w:color w:val="auto"/>
          <w:kern w:val="0"/>
          <w:sz w:val="24"/>
          <w:szCs w:val="24"/>
          <w:u w:val="none"/>
        </w:rPr>
        <w:t>注：功能科目列至项级。没有国有资本经营预算拨款的，公开空表，不得删除。</w:t>
      </w:r>
      <w:r>
        <w:rPr>
          <w:rFonts w:eastAsia="楷体"/>
          <w:color w:val="auto"/>
          <w:kern w:val="0"/>
          <w:szCs w:val="32"/>
          <w:u w:val="none"/>
        </w:rPr>
        <w:br w:type="page"/>
      </w:r>
    </w:p>
    <w:p>
      <w:pPr>
        <w:bidi w:val="0"/>
        <w:jc w:val="left"/>
        <w:rPr>
          <w:rFonts w:ascii="Times New Roman" w:hAnsi="Times New Roman" w:eastAsia="仿宋_GB2312" w:cs="Times New Roman"/>
          <w:color w:val="auto"/>
          <w:kern w:val="2"/>
          <w:sz w:val="32"/>
          <w:u w:val="none"/>
          <w:lang w:val="en-US" w:eastAsia="zh-CN" w:bidi="ar-SA"/>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216"/>
        <w:gridCol w:w="1338"/>
        <w:gridCol w:w="654"/>
        <w:gridCol w:w="475"/>
        <w:gridCol w:w="587"/>
        <w:gridCol w:w="352"/>
        <w:gridCol w:w="551"/>
        <w:gridCol w:w="591"/>
        <w:gridCol w:w="557"/>
        <w:gridCol w:w="635"/>
        <w:gridCol w:w="462"/>
        <w:gridCol w:w="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5000" w:type="pct"/>
            <w:gridSpan w:val="13"/>
            <w:tcBorders>
              <w:top w:val="nil"/>
              <w:left w:val="nil"/>
              <w:bottom w:val="nil"/>
              <w:right w:val="nil"/>
            </w:tcBorders>
            <w:noWrap w:val="0"/>
            <w:vAlign w:val="center"/>
          </w:tcPr>
          <w:p>
            <w:pPr>
              <w:widowControl/>
              <w:jc w:val="center"/>
              <w:rPr>
                <w:rFonts w:ascii="Calibri" w:hAnsi="Calibri" w:eastAsia="方正小标宋简体"/>
                <w:color w:val="auto"/>
                <w:kern w:val="0"/>
                <w:sz w:val="36"/>
                <w:szCs w:val="36"/>
                <w:u w:val="none"/>
              </w:rPr>
            </w:pPr>
            <w:r>
              <w:rPr>
                <w:rFonts w:hint="eastAsia" w:ascii="Calibri" w:hAnsi="Calibri" w:eastAsia="方正小标宋简体"/>
                <w:color w:val="auto"/>
                <w:kern w:val="0"/>
                <w:sz w:val="36"/>
                <w:szCs w:val="36"/>
                <w:u w:val="none"/>
              </w:rPr>
              <w:t>项目支出</w:t>
            </w:r>
            <w:r>
              <w:rPr>
                <w:rFonts w:ascii="Calibri" w:hAnsi="Calibri" w:eastAsia="方正小标宋简体"/>
                <w:color w:val="auto"/>
                <w:kern w:val="0"/>
                <w:sz w:val="36"/>
                <w:szCs w:val="36"/>
                <w:u w:val="none"/>
              </w:rPr>
              <w:t>表</w:t>
            </w:r>
          </w:p>
          <w:p>
            <w:pPr>
              <w:autoSpaceDN w:val="0"/>
              <w:jc w:val="center"/>
              <w:textAlignment w:val="center"/>
              <w:rPr>
                <w:rFonts w:hint="eastAsia"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74"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679"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747"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365"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265" w:type="pct"/>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832" w:type="pct"/>
            <w:gridSpan w:val="3"/>
            <w:tcBorders>
              <w:top w:val="nil"/>
              <w:left w:val="nil"/>
              <w:right w:val="nil"/>
            </w:tcBorders>
            <w:noWrap w:val="0"/>
            <w:vAlign w:val="center"/>
          </w:tcPr>
          <w:p>
            <w:pPr>
              <w:autoSpaceDN w:val="0"/>
              <w:jc w:val="center"/>
              <w:textAlignment w:val="center"/>
              <w:rPr>
                <w:rFonts w:hint="eastAsia" w:ascii="Calibri" w:hAnsi="Calibri" w:eastAsia="华文细黑"/>
                <w:color w:val="auto"/>
                <w:sz w:val="20"/>
                <w:szCs w:val="22"/>
                <w:u w:val="none"/>
              </w:rPr>
            </w:pPr>
          </w:p>
        </w:tc>
        <w:tc>
          <w:tcPr>
            <w:tcW w:w="1534" w:type="pct"/>
            <w:gridSpan w:val="5"/>
            <w:tcBorders>
              <w:top w:val="nil"/>
              <w:left w:val="nil"/>
              <w:right w:val="nil"/>
            </w:tcBorders>
            <w:noWrap w:val="0"/>
            <w:vAlign w:val="center"/>
          </w:tcPr>
          <w:p>
            <w:pPr>
              <w:autoSpaceDN w:val="0"/>
              <w:jc w:val="right"/>
              <w:textAlignment w:val="center"/>
              <w:rPr>
                <w:rFonts w:hint="eastAsia" w:ascii="Calibri" w:hAnsi="Calibri" w:eastAsia="华文细黑"/>
                <w:color w:val="auto"/>
                <w:sz w:val="20"/>
                <w:szCs w:val="22"/>
                <w:u w:val="none"/>
              </w:rPr>
            </w:pPr>
            <w:r>
              <w:rPr>
                <w:rFonts w:hint="eastAsia" w:ascii="宋体" w:hAnsi="宋体" w:eastAsia="宋体" w:cs="宋体"/>
                <w:color w:val="auto"/>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574"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类型</w:t>
            </w:r>
          </w:p>
        </w:tc>
        <w:tc>
          <w:tcPr>
            <w:tcW w:w="1427" w:type="pct"/>
            <w:gridSpan w:val="2"/>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项目名称</w:t>
            </w:r>
          </w:p>
        </w:tc>
        <w:tc>
          <w:tcPr>
            <w:tcW w:w="365"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项目</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w:t>
            </w:r>
          </w:p>
        </w:tc>
        <w:tc>
          <w:tcPr>
            <w:tcW w:w="265"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合计</w:t>
            </w:r>
          </w:p>
        </w:tc>
        <w:tc>
          <w:tcPr>
            <w:tcW w:w="832" w:type="pct"/>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本年财政拨款</w:t>
            </w:r>
          </w:p>
        </w:tc>
        <w:tc>
          <w:tcPr>
            <w:tcW w:w="996" w:type="pct"/>
            <w:gridSpan w:val="3"/>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财政拨款结转</w:t>
            </w:r>
          </w:p>
        </w:tc>
        <w:tc>
          <w:tcPr>
            <w:tcW w:w="258" w:type="pct"/>
            <w:vMerge w:val="restar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财政专户</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管理资金</w:t>
            </w:r>
          </w:p>
        </w:tc>
        <w:tc>
          <w:tcPr>
            <w:tcW w:w="279" w:type="pct"/>
            <w:vMerge w:val="restar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574" w:type="pct"/>
            <w:vMerge w:val="continue"/>
            <w:noWrap w:val="0"/>
            <w:vAlign w:val="center"/>
          </w:tcPr>
          <w:p>
            <w:pPr>
              <w:autoSpaceDN w:val="0"/>
              <w:jc w:val="center"/>
              <w:textAlignment w:val="center"/>
              <w:rPr>
                <w:rFonts w:ascii="Calibri" w:hAnsi="Calibri" w:eastAsia="华文细黑"/>
                <w:color w:val="auto"/>
                <w:sz w:val="20"/>
                <w:szCs w:val="22"/>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一级项目</w:t>
            </w:r>
          </w:p>
        </w:tc>
        <w:tc>
          <w:tcPr>
            <w:tcW w:w="747"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二级项目</w:t>
            </w:r>
          </w:p>
        </w:tc>
        <w:tc>
          <w:tcPr>
            <w:tcW w:w="365" w:type="pct"/>
            <w:vMerge w:val="continue"/>
            <w:noWrap w:val="0"/>
            <w:vAlign w:val="center"/>
          </w:tcPr>
          <w:p>
            <w:pPr>
              <w:autoSpaceDN w:val="0"/>
              <w:jc w:val="center"/>
              <w:textAlignment w:val="center"/>
              <w:rPr>
                <w:rFonts w:ascii="Calibri" w:hAnsi="Calibri" w:eastAsia="华文细黑"/>
                <w:color w:val="auto"/>
                <w:sz w:val="20"/>
                <w:szCs w:val="22"/>
                <w:u w:val="none"/>
              </w:rPr>
            </w:pPr>
          </w:p>
        </w:tc>
        <w:tc>
          <w:tcPr>
            <w:tcW w:w="265" w:type="pct"/>
            <w:vMerge w:val="continue"/>
            <w:noWrap w:val="0"/>
            <w:vAlign w:val="center"/>
          </w:tcPr>
          <w:p>
            <w:pPr>
              <w:autoSpaceDN w:val="0"/>
              <w:jc w:val="center"/>
              <w:textAlignment w:val="center"/>
              <w:rPr>
                <w:rFonts w:ascii="Calibri" w:hAnsi="Calibri" w:eastAsia="华文细黑"/>
                <w:color w:val="auto"/>
                <w:sz w:val="20"/>
                <w:szCs w:val="22"/>
                <w:u w:val="none"/>
              </w:rPr>
            </w:pPr>
          </w:p>
        </w:tc>
        <w:tc>
          <w:tcPr>
            <w:tcW w:w="328"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一般公共预算</w:t>
            </w:r>
          </w:p>
        </w:tc>
        <w:tc>
          <w:tcPr>
            <w:tcW w:w="196" w:type="pct"/>
            <w:noWrap w:val="0"/>
            <w:vAlign w:val="center"/>
          </w:tcPr>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307"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经营预算</w:t>
            </w:r>
          </w:p>
        </w:tc>
        <w:tc>
          <w:tcPr>
            <w:tcW w:w="330"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一般</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公共</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311"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政府性</w:t>
            </w:r>
          </w:p>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基金</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354" w:type="pct"/>
            <w:noWrap w:val="0"/>
            <w:vAlign w:val="center"/>
          </w:tcPr>
          <w:p>
            <w:pPr>
              <w:autoSpaceDN w:val="0"/>
              <w:jc w:val="center"/>
              <w:textAlignment w:val="center"/>
              <w:rPr>
                <w:rFonts w:hint="eastAsia" w:ascii="宋体" w:hAnsi="宋体" w:eastAsia="宋体" w:cs="宋体"/>
                <w:color w:val="auto"/>
                <w:sz w:val="20"/>
                <w:szCs w:val="22"/>
                <w:u w:val="none"/>
                <w:lang w:eastAsia="zh-CN"/>
              </w:rPr>
            </w:pPr>
            <w:r>
              <w:rPr>
                <w:rFonts w:hint="eastAsia" w:ascii="宋体" w:hAnsi="宋体" w:eastAsia="宋体" w:cs="宋体"/>
                <w:color w:val="auto"/>
                <w:sz w:val="20"/>
                <w:szCs w:val="22"/>
                <w:u w:val="none"/>
              </w:rPr>
              <w:t>国有资本经营</w:t>
            </w:r>
          </w:p>
          <w:p>
            <w:pPr>
              <w:autoSpaceDN w:val="0"/>
              <w:jc w:val="center"/>
              <w:textAlignment w:val="center"/>
              <w:rPr>
                <w:rFonts w:hint="eastAsia" w:ascii="宋体" w:hAnsi="宋体" w:eastAsia="宋体" w:cs="宋体"/>
                <w:color w:val="auto"/>
                <w:sz w:val="20"/>
                <w:szCs w:val="22"/>
                <w:u w:val="none"/>
              </w:rPr>
            </w:pPr>
            <w:r>
              <w:rPr>
                <w:rFonts w:hint="eastAsia" w:ascii="宋体" w:hAnsi="宋体" w:eastAsia="宋体" w:cs="宋体"/>
                <w:color w:val="auto"/>
                <w:sz w:val="20"/>
                <w:szCs w:val="22"/>
                <w:u w:val="none"/>
              </w:rPr>
              <w:t>预算</w:t>
            </w:r>
          </w:p>
        </w:tc>
        <w:tc>
          <w:tcPr>
            <w:tcW w:w="258" w:type="pct"/>
            <w:vMerge w:val="continue"/>
            <w:noWrap w:val="0"/>
            <w:vAlign w:val="center"/>
          </w:tcPr>
          <w:p>
            <w:pPr>
              <w:autoSpaceDN w:val="0"/>
              <w:jc w:val="center"/>
              <w:textAlignment w:val="center"/>
              <w:rPr>
                <w:rFonts w:hint="eastAsia" w:ascii="宋体" w:hAnsi="宋体" w:eastAsia="宋体" w:cs="宋体"/>
                <w:color w:val="auto"/>
                <w:sz w:val="20"/>
                <w:szCs w:val="22"/>
                <w:u w:val="none"/>
              </w:rPr>
            </w:pPr>
          </w:p>
        </w:tc>
        <w:tc>
          <w:tcPr>
            <w:tcW w:w="279" w:type="pct"/>
            <w:vMerge w:val="continue"/>
            <w:noWrap w:val="0"/>
            <w:vAlign w:val="center"/>
          </w:tcPr>
          <w:p>
            <w:pPr>
              <w:autoSpaceDN w:val="0"/>
              <w:jc w:val="center"/>
              <w:textAlignment w:val="center"/>
              <w:rPr>
                <w:rFonts w:ascii="Calibri" w:hAnsi="Calibri" w:eastAsia="华文细黑"/>
                <w:color w:val="auto"/>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574" w:type="pct"/>
            <w:noWrap w:val="0"/>
            <w:vAlign w:val="center"/>
          </w:tcPr>
          <w:p>
            <w:pPr>
              <w:spacing w:line="240" w:lineRule="auto"/>
              <w:jc w:val="center"/>
              <w:rPr>
                <w:rFonts w:hint="eastAsia" w:ascii="宋体" w:hAnsi="宋体" w:eastAsia="宋体" w:cs="宋体"/>
                <w:color w:val="auto"/>
                <w:kern w:val="0"/>
                <w:sz w:val="20"/>
                <w:szCs w:val="20"/>
                <w:u w:val="none"/>
                <w:lang w:eastAsia="zh-CN"/>
              </w:rPr>
            </w:pPr>
            <w:r>
              <w:rPr>
                <w:rFonts w:hint="eastAsia" w:ascii="宋体" w:hAnsi="宋体" w:eastAsia="宋体" w:cs="宋体"/>
                <w:color w:val="auto"/>
                <w:kern w:val="0"/>
                <w:sz w:val="20"/>
                <w:szCs w:val="20"/>
                <w:u w:val="none"/>
                <w:lang w:eastAsia="zh-CN"/>
              </w:rPr>
              <w:t>专项业</w:t>
            </w:r>
          </w:p>
          <w:p>
            <w:pPr>
              <w:spacing w:line="240" w:lineRule="auto"/>
              <w:jc w:val="center"/>
              <w:rPr>
                <w:rFonts w:hint="eastAsia" w:ascii="宋体" w:hAnsi="宋体" w:eastAsia="宋体" w:cs="宋体"/>
                <w:color w:val="auto"/>
                <w:kern w:val="0"/>
                <w:sz w:val="20"/>
                <w:szCs w:val="20"/>
                <w:u w:val="none"/>
                <w:lang w:eastAsia="zh-CN"/>
              </w:rPr>
            </w:pPr>
            <w:r>
              <w:rPr>
                <w:rFonts w:hint="eastAsia" w:ascii="宋体" w:hAnsi="宋体" w:eastAsia="宋体" w:cs="宋体"/>
                <w:color w:val="auto"/>
                <w:kern w:val="0"/>
                <w:sz w:val="20"/>
                <w:szCs w:val="20"/>
                <w:u w:val="none"/>
                <w:lang w:eastAsia="zh-CN"/>
              </w:rPr>
              <w:t>务支出</w:t>
            </w:r>
          </w:p>
        </w:tc>
        <w:tc>
          <w:tcPr>
            <w:tcW w:w="679"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60.8</w:t>
            </w:r>
          </w:p>
        </w:tc>
        <w:tc>
          <w:tcPr>
            <w:tcW w:w="328"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val="en-US" w:eastAsia="zh-CN"/>
              </w:rPr>
              <w:t>60.8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jc w:val="center"/>
        </w:trPr>
        <w:tc>
          <w:tcPr>
            <w:tcW w:w="57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679"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eastAsia="zh-CN"/>
              </w:rPr>
              <w:t>通榆县应急管理局</w:t>
            </w:r>
            <w:r>
              <w:rPr>
                <w:rFonts w:hint="eastAsia" w:ascii="宋体" w:hAnsi="宋体" w:eastAsia="宋体" w:cs="宋体"/>
                <w:color w:val="auto"/>
                <w:kern w:val="0"/>
                <w:sz w:val="20"/>
                <w:szCs w:val="20"/>
                <w:u w:val="none"/>
                <w:lang w:val="en-US" w:eastAsia="zh-CN"/>
              </w:rPr>
              <w:t>2024年部门预算资金</w:t>
            </w: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50</w:t>
            </w:r>
          </w:p>
        </w:tc>
        <w:tc>
          <w:tcPr>
            <w:tcW w:w="328" w:type="pct"/>
            <w:noWrap w:val="0"/>
            <w:vAlign w:val="center"/>
          </w:tcPr>
          <w:p>
            <w:pPr>
              <w:spacing w:line="700" w:lineRule="exact"/>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50</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exact"/>
          <w:jc w:val="center"/>
        </w:trPr>
        <w:tc>
          <w:tcPr>
            <w:tcW w:w="574" w:type="pct"/>
            <w:noWrap w:val="0"/>
            <w:vAlign w:val="center"/>
          </w:tcPr>
          <w:p>
            <w:pPr>
              <w:autoSpaceDN w:val="0"/>
              <w:jc w:val="center"/>
              <w:textAlignment w:val="center"/>
              <w:rPr>
                <w:rFonts w:hint="eastAsia" w:ascii="宋体" w:hAnsi="宋体" w:eastAsia="宋体" w:cs="宋体"/>
                <w:color w:val="auto"/>
                <w:kern w:val="0"/>
                <w:sz w:val="20"/>
                <w:szCs w:val="20"/>
                <w:u w:val="none"/>
              </w:rPr>
            </w:pPr>
          </w:p>
        </w:tc>
        <w:tc>
          <w:tcPr>
            <w:tcW w:w="679"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747"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eastAsia="zh-CN"/>
              </w:rPr>
              <w:t>通榆县应急管理局</w:t>
            </w:r>
            <w:r>
              <w:rPr>
                <w:rFonts w:hint="eastAsia" w:ascii="宋体" w:hAnsi="宋体" w:eastAsia="宋体" w:cs="宋体"/>
                <w:color w:val="auto"/>
                <w:kern w:val="0"/>
                <w:sz w:val="20"/>
                <w:szCs w:val="20"/>
                <w:u w:val="none"/>
                <w:lang w:val="en-US" w:eastAsia="zh-CN"/>
              </w:rPr>
              <w:t>2024年部门预算资金</w:t>
            </w:r>
          </w:p>
        </w:tc>
        <w:tc>
          <w:tcPr>
            <w:tcW w:w="365" w:type="pct"/>
            <w:noWrap w:val="0"/>
            <w:vAlign w:val="center"/>
          </w:tcPr>
          <w:p>
            <w:pPr>
              <w:spacing w:line="240" w:lineRule="auto"/>
              <w:jc w:val="center"/>
              <w:rPr>
                <w:rFonts w:hint="eastAsia" w:ascii="宋体" w:hAnsi="宋体" w:eastAsia="宋体" w:cs="宋体"/>
                <w:color w:val="auto"/>
                <w:kern w:val="0"/>
                <w:sz w:val="20"/>
                <w:szCs w:val="20"/>
                <w:u w:val="none"/>
                <w:lang w:eastAsia="zh-CN"/>
              </w:rPr>
            </w:pPr>
            <w:r>
              <w:rPr>
                <w:rFonts w:hint="eastAsia" w:ascii="宋体" w:hAnsi="宋体" w:eastAsia="宋体" w:cs="宋体"/>
                <w:color w:val="auto"/>
                <w:kern w:val="0"/>
                <w:sz w:val="20"/>
                <w:szCs w:val="20"/>
                <w:u w:val="none"/>
                <w:lang w:eastAsia="zh-CN"/>
              </w:rPr>
              <w:t>通榆县应急管理局</w:t>
            </w:r>
          </w:p>
        </w:tc>
        <w:tc>
          <w:tcPr>
            <w:tcW w:w="265" w:type="pct"/>
            <w:noWrap w:val="0"/>
            <w:vAlign w:val="center"/>
          </w:tcPr>
          <w:p>
            <w:pPr>
              <w:spacing w:line="700" w:lineRule="exact"/>
              <w:jc w:val="center"/>
              <w:rPr>
                <w:rFonts w:hint="eastAsia" w:ascii="宋体" w:hAnsi="宋体" w:eastAsia="宋体" w:cs="宋体"/>
                <w:color w:val="auto"/>
                <w:kern w:val="0"/>
                <w:sz w:val="20"/>
                <w:szCs w:val="20"/>
                <w:u w:val="none"/>
                <w:lang w:val="en-US" w:eastAsia="zh-CN" w:bidi="ar-SA"/>
              </w:rPr>
            </w:pPr>
            <w:r>
              <w:rPr>
                <w:rFonts w:hint="eastAsia" w:ascii="宋体" w:hAnsi="宋体" w:eastAsia="宋体" w:cs="宋体"/>
                <w:color w:val="auto"/>
                <w:kern w:val="0"/>
                <w:sz w:val="20"/>
                <w:szCs w:val="20"/>
                <w:u w:val="none"/>
                <w:lang w:val="en-US" w:eastAsia="zh-CN"/>
              </w:rPr>
              <w:t>50</w:t>
            </w:r>
          </w:p>
        </w:tc>
        <w:tc>
          <w:tcPr>
            <w:tcW w:w="328" w:type="pct"/>
            <w:noWrap w:val="0"/>
            <w:vAlign w:val="center"/>
          </w:tcPr>
          <w:p>
            <w:pPr>
              <w:spacing w:line="700" w:lineRule="exact"/>
              <w:jc w:val="center"/>
              <w:rPr>
                <w:rFonts w:hint="eastAsia" w:ascii="宋体" w:hAnsi="宋体" w:eastAsia="宋体" w:cs="宋体"/>
                <w:color w:val="auto"/>
                <w:kern w:val="0"/>
                <w:sz w:val="20"/>
                <w:szCs w:val="20"/>
                <w:u w:val="none"/>
                <w:lang w:val="en-US" w:eastAsia="zh-CN" w:bidi="ar-SA"/>
              </w:rPr>
            </w:pPr>
            <w:r>
              <w:rPr>
                <w:rFonts w:hint="eastAsia" w:ascii="宋体" w:hAnsi="宋体" w:eastAsia="宋体" w:cs="宋体"/>
                <w:color w:val="auto"/>
                <w:kern w:val="0"/>
                <w:sz w:val="20"/>
                <w:szCs w:val="20"/>
                <w:u w:val="none"/>
                <w:lang w:val="en-US" w:eastAsia="zh-CN"/>
              </w:rPr>
              <w:t>50</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default" w:ascii="宋体" w:hAnsi="宋体" w:eastAsia="宋体" w:cs="宋体"/>
                <w:color w:val="auto"/>
                <w:sz w:val="20"/>
                <w:szCs w:val="20"/>
                <w:u w:val="none"/>
                <w:lang w:val="en-US" w:eastAsia="zh-CN"/>
              </w:rPr>
            </w:pPr>
            <w:r>
              <w:rPr>
                <w:rFonts w:hint="eastAsia" w:ascii="宋体" w:hAnsi="宋体" w:eastAsia="宋体" w:cs="宋体"/>
                <w:color w:val="auto"/>
                <w:sz w:val="20"/>
                <w:szCs w:val="20"/>
                <w:u w:val="none"/>
                <w:lang w:eastAsia="zh-CN"/>
              </w:rPr>
              <w:t>通榆县应急管理局</w:t>
            </w:r>
            <w:r>
              <w:rPr>
                <w:rFonts w:hint="eastAsia" w:ascii="宋体" w:hAnsi="宋体" w:eastAsia="宋体" w:cs="宋体"/>
                <w:color w:val="auto"/>
                <w:sz w:val="20"/>
                <w:szCs w:val="20"/>
                <w:u w:val="none"/>
                <w:lang w:val="en-US" w:eastAsia="zh-CN"/>
              </w:rPr>
              <w:t>2024年驻村工作队生活补助</w:t>
            </w: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10.8</w:t>
            </w:r>
          </w:p>
        </w:tc>
        <w:tc>
          <w:tcPr>
            <w:tcW w:w="328"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val="en-US" w:eastAsia="zh-CN"/>
              </w:rPr>
              <w:t>10.8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autoSpaceDN w:val="0"/>
              <w:jc w:val="center"/>
              <w:textAlignment w:val="center"/>
              <w:rPr>
                <w:rFonts w:hint="eastAsia" w:ascii="宋体" w:hAnsi="宋体" w:eastAsia="宋体" w:cs="宋体"/>
                <w:color w:val="auto"/>
                <w:kern w:val="0"/>
                <w:sz w:val="20"/>
                <w:szCs w:val="20"/>
                <w:u w:val="none"/>
              </w:rPr>
            </w:pPr>
            <w:r>
              <w:rPr>
                <w:rFonts w:hint="eastAsia" w:ascii="宋体" w:hAnsi="宋体" w:eastAsia="宋体" w:cs="宋体"/>
                <w:color w:val="auto"/>
                <w:sz w:val="20"/>
                <w:szCs w:val="20"/>
                <w:u w:val="none"/>
                <w:lang w:eastAsia="zh-CN"/>
              </w:rPr>
              <w:t>通榆县应急管理局</w:t>
            </w:r>
            <w:r>
              <w:rPr>
                <w:rFonts w:hint="eastAsia" w:ascii="宋体" w:hAnsi="宋体" w:eastAsia="宋体" w:cs="宋体"/>
                <w:color w:val="auto"/>
                <w:sz w:val="20"/>
                <w:szCs w:val="20"/>
                <w:u w:val="none"/>
                <w:lang w:val="en-US" w:eastAsia="zh-CN"/>
              </w:rPr>
              <w:t>2024年驻村工作队生活补助</w:t>
            </w:r>
          </w:p>
        </w:tc>
        <w:tc>
          <w:tcPr>
            <w:tcW w:w="365"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eastAsia="zh-CN"/>
              </w:rPr>
              <w:t>通榆县应急管理局</w:t>
            </w:r>
          </w:p>
        </w:tc>
        <w:tc>
          <w:tcPr>
            <w:tcW w:w="265" w:type="pct"/>
            <w:noWrap w:val="0"/>
            <w:vAlign w:val="center"/>
          </w:tcPr>
          <w:p>
            <w:pPr>
              <w:spacing w:line="240" w:lineRule="auto"/>
              <w:jc w:val="center"/>
              <w:rPr>
                <w:rFonts w:hint="eastAsia" w:ascii="宋体" w:hAnsi="宋体" w:eastAsia="宋体" w:cs="宋体"/>
                <w:color w:val="auto"/>
                <w:kern w:val="0"/>
                <w:sz w:val="20"/>
                <w:szCs w:val="20"/>
                <w:u w:val="none"/>
              </w:rPr>
            </w:pPr>
            <w:r>
              <w:rPr>
                <w:rFonts w:hint="eastAsia" w:ascii="宋体" w:hAnsi="宋体" w:eastAsia="宋体" w:cs="宋体"/>
                <w:color w:val="auto"/>
                <w:kern w:val="0"/>
                <w:sz w:val="20"/>
                <w:szCs w:val="20"/>
                <w:u w:val="none"/>
                <w:lang w:val="en-US" w:eastAsia="zh-CN"/>
              </w:rPr>
              <w:t>10.8</w:t>
            </w:r>
          </w:p>
        </w:tc>
        <w:tc>
          <w:tcPr>
            <w:tcW w:w="328" w:type="pct"/>
            <w:noWrap w:val="0"/>
            <w:vAlign w:val="center"/>
          </w:tcPr>
          <w:p>
            <w:pPr>
              <w:spacing w:line="240" w:lineRule="auto"/>
              <w:jc w:val="center"/>
              <w:rPr>
                <w:rFonts w:hint="eastAsia" w:ascii="宋体" w:hAnsi="宋体" w:eastAsia="宋体" w:cs="宋体"/>
                <w:color w:val="auto"/>
                <w:kern w:val="0"/>
                <w:sz w:val="20"/>
                <w:szCs w:val="20"/>
                <w:u w:val="none"/>
                <w:lang w:val="en-US" w:eastAsia="zh-CN" w:bidi="ar-SA"/>
              </w:rPr>
            </w:pPr>
            <w:r>
              <w:rPr>
                <w:rFonts w:hint="eastAsia" w:ascii="宋体" w:hAnsi="宋体" w:eastAsia="宋体" w:cs="宋体"/>
                <w:color w:val="auto"/>
                <w:kern w:val="0"/>
                <w:sz w:val="20"/>
                <w:szCs w:val="20"/>
                <w:u w:val="none"/>
                <w:lang w:val="en-US" w:eastAsia="zh-CN"/>
              </w:rPr>
              <w:t>10.8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2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2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2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jc w:val="center"/>
        </w:trPr>
        <w:tc>
          <w:tcPr>
            <w:tcW w:w="574" w:type="pct"/>
            <w:noWrap w:val="0"/>
            <w:vAlign w:val="center"/>
          </w:tcPr>
          <w:p>
            <w:pPr>
              <w:autoSpaceDN w:val="0"/>
              <w:jc w:val="center"/>
              <w:textAlignment w:val="center"/>
              <w:rPr>
                <w:rFonts w:hint="eastAsia" w:ascii="宋体" w:hAnsi="宋体" w:eastAsia="宋体" w:cs="宋体"/>
                <w:color w:val="auto"/>
                <w:sz w:val="20"/>
                <w:szCs w:val="20"/>
                <w:u w:val="none"/>
              </w:rPr>
            </w:pPr>
            <w:r>
              <w:rPr>
                <w:rFonts w:hint="eastAsia" w:ascii="宋体" w:hAnsi="宋体" w:eastAsia="宋体" w:cs="宋体"/>
                <w:color w:val="auto"/>
                <w:sz w:val="20"/>
                <w:szCs w:val="20"/>
                <w:u w:val="none"/>
              </w:rPr>
              <w:t>合计</w:t>
            </w:r>
          </w:p>
        </w:tc>
        <w:tc>
          <w:tcPr>
            <w:tcW w:w="679" w:type="pct"/>
            <w:noWrap w:val="0"/>
            <w:vAlign w:val="center"/>
          </w:tcPr>
          <w:p>
            <w:pPr>
              <w:autoSpaceDN w:val="0"/>
              <w:jc w:val="center"/>
              <w:textAlignment w:val="center"/>
              <w:rPr>
                <w:rFonts w:hint="eastAsia" w:ascii="宋体" w:hAnsi="宋体" w:eastAsia="宋体" w:cs="宋体"/>
                <w:color w:val="auto"/>
                <w:sz w:val="20"/>
                <w:szCs w:val="20"/>
                <w:u w:val="none"/>
              </w:rPr>
            </w:pPr>
          </w:p>
        </w:tc>
        <w:tc>
          <w:tcPr>
            <w:tcW w:w="74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65"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65"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60.8</w:t>
            </w:r>
          </w:p>
        </w:tc>
        <w:tc>
          <w:tcPr>
            <w:tcW w:w="328" w:type="pct"/>
            <w:noWrap w:val="0"/>
            <w:vAlign w:val="center"/>
          </w:tcPr>
          <w:p>
            <w:pPr>
              <w:spacing w:line="240" w:lineRule="auto"/>
              <w:jc w:val="center"/>
              <w:rPr>
                <w:rFonts w:hint="default" w:ascii="宋体" w:hAnsi="宋体" w:eastAsia="宋体" w:cs="宋体"/>
                <w:color w:val="auto"/>
                <w:kern w:val="0"/>
                <w:sz w:val="20"/>
                <w:szCs w:val="20"/>
                <w:u w:val="none"/>
                <w:lang w:val="en-US" w:eastAsia="zh-CN"/>
              </w:rPr>
            </w:pPr>
            <w:r>
              <w:rPr>
                <w:rFonts w:hint="eastAsia" w:ascii="宋体" w:hAnsi="宋体" w:eastAsia="宋体" w:cs="宋体"/>
                <w:color w:val="auto"/>
                <w:kern w:val="0"/>
                <w:sz w:val="20"/>
                <w:szCs w:val="20"/>
                <w:u w:val="none"/>
                <w:lang w:val="en-US" w:eastAsia="zh-CN"/>
              </w:rPr>
              <w:t>60.8</w:t>
            </w:r>
          </w:p>
        </w:tc>
        <w:tc>
          <w:tcPr>
            <w:tcW w:w="196"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07"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30"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11"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354"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58" w:type="pct"/>
            <w:noWrap w:val="0"/>
            <w:vAlign w:val="center"/>
          </w:tcPr>
          <w:p>
            <w:pPr>
              <w:spacing w:line="700" w:lineRule="exact"/>
              <w:jc w:val="center"/>
              <w:rPr>
                <w:rFonts w:hint="eastAsia" w:ascii="宋体" w:hAnsi="宋体" w:eastAsia="宋体" w:cs="宋体"/>
                <w:color w:val="auto"/>
                <w:kern w:val="0"/>
                <w:sz w:val="20"/>
                <w:szCs w:val="20"/>
                <w:u w:val="none"/>
              </w:rPr>
            </w:pPr>
          </w:p>
        </w:tc>
        <w:tc>
          <w:tcPr>
            <w:tcW w:w="279" w:type="pct"/>
            <w:noWrap w:val="0"/>
            <w:vAlign w:val="center"/>
          </w:tcPr>
          <w:p>
            <w:pPr>
              <w:spacing w:line="700" w:lineRule="exact"/>
              <w:jc w:val="center"/>
              <w:rPr>
                <w:rFonts w:hint="eastAsia" w:ascii="宋体" w:hAnsi="宋体" w:eastAsia="宋体" w:cs="宋体"/>
                <w:color w:val="auto"/>
                <w:kern w:val="0"/>
                <w:sz w:val="20"/>
                <w:szCs w:val="20"/>
                <w:u w:val="none"/>
              </w:rPr>
            </w:pPr>
          </w:p>
        </w:tc>
      </w:tr>
    </w:tbl>
    <w:p>
      <w:pPr>
        <w:spacing w:line="700" w:lineRule="exact"/>
        <w:ind w:firstLine="640" w:firstLineChars="200"/>
        <w:rPr>
          <w:rFonts w:eastAsia="楷体"/>
          <w:color w:val="auto"/>
          <w:kern w:val="0"/>
          <w:szCs w:val="32"/>
          <w:u w:val="none"/>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602"/>
        <w:gridCol w:w="1230"/>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auto"/>
                <w:szCs w:val="32"/>
                <w:u w:val="none"/>
              </w:rPr>
            </w:pPr>
            <w:r>
              <w:rPr>
                <w:rFonts w:hint="eastAsia" w:eastAsia="方正小标宋简体"/>
                <w:color w:val="auto"/>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2024年部门预算经费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一级项目</w:t>
            </w:r>
          </w:p>
        </w:tc>
      </w:tr>
      <w:tr>
        <w:tblPrEx>
          <w:tblCellMar>
            <w:top w:w="15" w:type="dxa"/>
            <w:left w:w="15" w:type="dxa"/>
            <w:bottom w:w="15" w:type="dxa"/>
            <w:right w:w="15" w:type="dxa"/>
          </w:tblCellMar>
        </w:tblPrEx>
        <w:trPr>
          <w:trHeight w:val="390" w:hRule="atLeast"/>
        </w:trPr>
        <w:tc>
          <w:tcPr>
            <w:tcW w:w="1602"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项目资金</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(万元）</w:t>
            </w:r>
          </w:p>
        </w:tc>
        <w:tc>
          <w:tcPr>
            <w:tcW w:w="32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50万元</w:t>
            </w:r>
          </w:p>
        </w:tc>
      </w:tr>
      <w:tr>
        <w:tblPrEx>
          <w:tblCellMar>
            <w:top w:w="15" w:type="dxa"/>
            <w:left w:w="15" w:type="dxa"/>
            <w:bottom w:w="15" w:type="dxa"/>
            <w:right w:w="15" w:type="dxa"/>
          </w:tblCellMar>
        </w:tblPrEx>
        <w:trPr>
          <w:trHeight w:val="390" w:hRule="atLeast"/>
        </w:trPr>
        <w:tc>
          <w:tcPr>
            <w:tcW w:w="1602"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2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50万元</w:t>
            </w:r>
          </w:p>
        </w:tc>
      </w:tr>
      <w:tr>
        <w:tblPrEx>
          <w:tblCellMar>
            <w:top w:w="15" w:type="dxa"/>
            <w:left w:w="15" w:type="dxa"/>
            <w:bottom w:w="15" w:type="dxa"/>
            <w:right w:w="15" w:type="dxa"/>
          </w:tblCellMar>
        </w:tblPrEx>
        <w:trPr>
          <w:trHeight w:val="390" w:hRule="atLeast"/>
        </w:trPr>
        <w:tc>
          <w:tcPr>
            <w:tcW w:w="1602"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273"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412" w:hRule="atLeast"/>
        </w:trPr>
        <w:tc>
          <w:tcPr>
            <w:tcW w:w="160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年度绩效目标</w:t>
            </w:r>
          </w:p>
        </w:tc>
        <w:tc>
          <w:tcPr>
            <w:tcW w:w="7980"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2024年部门预算经费</w:t>
            </w:r>
          </w:p>
        </w:tc>
      </w:tr>
      <w:tr>
        <w:tblPrEx>
          <w:tblCellMar>
            <w:top w:w="15" w:type="dxa"/>
            <w:left w:w="15" w:type="dxa"/>
            <w:bottom w:w="15" w:type="dxa"/>
            <w:right w:w="15" w:type="dxa"/>
          </w:tblCellMar>
        </w:tblPrEx>
        <w:trPr>
          <w:trHeight w:val="390" w:hRule="atLeast"/>
        </w:trPr>
        <w:tc>
          <w:tcPr>
            <w:tcW w:w="1602"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绩效指标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指标值</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产出指标</w:t>
            </w:r>
          </w:p>
          <w:p>
            <w:pPr>
              <w:autoSpaceDN w:val="0"/>
              <w:jc w:val="center"/>
              <w:textAlignment w:val="center"/>
              <w:rPr>
                <w:rFonts w:hint="eastAsia" w:ascii="宋体" w:hAnsi="宋体" w:eastAsia="宋体" w:cs="宋体"/>
                <w:color w:val="auto"/>
                <w:kern w:val="2"/>
                <w:sz w:val="20"/>
                <w:u w:val="none"/>
                <w:lang w:val="en-US" w:eastAsia="zh-CN" w:bidi="ar-SA"/>
              </w:rPr>
            </w:pPr>
          </w:p>
          <w:p>
            <w:pPr>
              <w:autoSpaceDN w:val="0"/>
              <w:jc w:val="center"/>
              <w:textAlignment w:val="center"/>
              <w:rPr>
                <w:rFonts w:hint="eastAsia" w:ascii="宋体" w:hAnsi="宋体" w:eastAsia="宋体" w:cs="宋体"/>
                <w:color w:val="auto"/>
                <w:sz w:val="20"/>
                <w:u w:val="none"/>
              </w:rPr>
            </w:pPr>
          </w:p>
          <w:p>
            <w:pPr>
              <w:autoSpaceDN w:val="0"/>
              <w:jc w:val="center"/>
              <w:textAlignment w:val="center"/>
              <w:rPr>
                <w:rFonts w:hint="eastAsia" w:ascii="宋体" w:hAnsi="宋体" w:eastAsia="宋体" w:cs="宋体"/>
                <w:color w:val="auto"/>
                <w:kern w:val="2"/>
                <w:sz w:val="20"/>
                <w:u w:val="none"/>
                <w:lang w:val="en-US" w:eastAsia="zh-CN" w:bidi="ar-SA"/>
              </w:rPr>
            </w:pPr>
          </w:p>
          <w:p>
            <w:pPr>
              <w:autoSpaceDN w:val="0"/>
              <w:jc w:val="center"/>
              <w:textAlignment w:val="center"/>
              <w:rPr>
                <w:rFonts w:hint="eastAsia" w:ascii="宋体" w:hAnsi="宋体" w:eastAsia="宋体" w:cs="宋体"/>
                <w:color w:val="auto"/>
                <w:kern w:val="2"/>
                <w:sz w:val="20"/>
                <w:u w:val="none"/>
                <w:lang w:val="en-US" w:eastAsia="zh-CN" w:bidi="ar-SA"/>
              </w:rPr>
            </w:pPr>
          </w:p>
          <w:p>
            <w:pPr>
              <w:autoSpaceDN w:val="0"/>
              <w:jc w:val="center"/>
              <w:textAlignment w:val="center"/>
              <w:rPr>
                <w:rFonts w:hint="eastAsia" w:ascii="宋体" w:hAnsi="宋体" w:eastAsia="宋体" w:cs="宋体"/>
                <w:color w:val="auto"/>
                <w:sz w:val="20"/>
                <w:u w:val="none"/>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开展汛期检查次数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1次</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办公场所维护</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1000平方米</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聘请专家排查安全隐患</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200户</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应急执法服装配置</w:t>
            </w:r>
            <w:r>
              <w:rPr>
                <w:rFonts w:hint="eastAsia" w:ascii="宋体" w:hAnsi="宋体" w:eastAsia="宋体" w:cs="宋体"/>
                <w:color w:val="auto"/>
                <w:sz w:val="20"/>
                <w:u w:val="none"/>
                <w:lang w:val="en-US" w:eastAsia="zh-CN"/>
              </w:rPr>
              <w:t xml:space="preserve"> </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4人</w:t>
            </w:r>
          </w:p>
        </w:tc>
      </w:tr>
      <w:tr>
        <w:tblPrEx>
          <w:tblCellMar>
            <w:top w:w="15" w:type="dxa"/>
            <w:left w:w="15" w:type="dxa"/>
            <w:bottom w:w="15" w:type="dxa"/>
            <w:right w:w="15" w:type="dxa"/>
          </w:tblCellMar>
        </w:tblPrEx>
        <w:trPr>
          <w:trHeight w:val="573"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安全生产宣传次数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2次</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春秋季防火宣传次数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2次</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eastAsia="zh-CN"/>
              </w:rPr>
              <w:t>资金对各项工作的影响程度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95%</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restart"/>
            <w:tcBorders>
              <w:top w:val="single" w:color="000000" w:sz="4" w:space="0"/>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安全生产宣传成本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3万元/次</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春秋防火宣传成本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6万元/次</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夏季防汛抗旱检查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val="en-US" w:eastAsia="zh-CN"/>
              </w:rPr>
              <w:t>6万元/次</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办公场所维护成本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 xml:space="preserve">200元/平方米 </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聘请专家排查安全隐患成本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1200元/户</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vMerge w:val="continue"/>
            <w:tcBorders>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应急执法服装成本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4700元/套</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vMerge w:val="continue"/>
            <w:tcBorders>
              <w:left w:val="single" w:color="000000" w:sz="4" w:space="0"/>
              <w:bottom w:val="single" w:color="auto"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p>
        </w:tc>
        <w:tc>
          <w:tcPr>
            <w:tcW w:w="2043" w:type="dxa"/>
            <w:tcBorders>
              <w:top w:val="single" w:color="000000" w:sz="4" w:space="0"/>
              <w:left w:val="single" w:color="auto"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98%</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提升全体干部满意度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99%</w:t>
            </w: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602"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u w:val="none"/>
                <w:lang w:val="en-US" w:eastAsia="zh-CN" w:bidi="ar-SA"/>
              </w:rPr>
            </w:pPr>
            <w:r>
              <w:rPr>
                <w:rFonts w:hint="eastAsia" w:ascii="宋体" w:hAnsi="宋体" w:eastAsia="宋体" w:cs="宋体"/>
                <w:color w:val="auto"/>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宣传受众满意度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95%</w:t>
            </w:r>
          </w:p>
        </w:tc>
      </w:tr>
    </w:tbl>
    <w:p>
      <w:pPr>
        <w:spacing w:line="700" w:lineRule="exact"/>
        <w:rPr>
          <w:rFonts w:hint="eastAsia" w:ascii="楷体" w:hAnsi="楷体" w:eastAsia="楷体" w:cs="楷体"/>
          <w:color w:val="auto"/>
          <w:kern w:val="0"/>
          <w:sz w:val="24"/>
          <w:szCs w:val="24"/>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spacing w:line="700" w:lineRule="exact"/>
              <w:jc w:val="center"/>
              <w:rPr>
                <w:rFonts w:ascii="黑体" w:hAnsi="宋体" w:eastAsia="黑体" w:cs="黑体"/>
                <w:color w:val="auto"/>
                <w:szCs w:val="32"/>
                <w:u w:val="none"/>
              </w:rPr>
            </w:pPr>
            <w:r>
              <w:rPr>
                <w:rFonts w:hint="eastAsia" w:eastAsia="楷体"/>
                <w:color w:val="auto"/>
                <w:kern w:val="0"/>
                <w:szCs w:val="32"/>
                <w:u w:val="none"/>
              </w:rPr>
              <w:br w:type="page"/>
            </w:r>
            <w:r>
              <w:rPr>
                <w:rFonts w:hint="eastAsia" w:eastAsia="方正小标宋简体"/>
                <w:color w:val="auto"/>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2024年驻村工作队生活补助</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项目资金</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10.8万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10.8万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rPr>
              <w:t>年度绩效</w:t>
            </w:r>
          </w:p>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lang w:eastAsia="zh-CN"/>
              </w:rPr>
              <w:t>通榆县应急管理局</w:t>
            </w:r>
            <w:r>
              <w:rPr>
                <w:rFonts w:hint="eastAsia" w:ascii="宋体" w:hAnsi="宋体" w:eastAsia="宋体" w:cs="宋体"/>
                <w:color w:val="auto"/>
                <w:sz w:val="20"/>
                <w:u w:val="none"/>
                <w:lang w:val="en-US" w:eastAsia="zh-CN"/>
              </w:rPr>
              <w:t>2024年驻村工作队生活补助</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补助发放准确率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每日补助额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100元/天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auto"/>
                <w:sz w:val="20"/>
                <w:u w:val="none"/>
                <w:lang w:eastAsia="zh-CN"/>
              </w:rPr>
            </w:pPr>
            <w:r>
              <w:rPr>
                <w:rFonts w:hint="eastAsia" w:ascii="宋体" w:hAnsi="宋体" w:eastAsia="宋体" w:cs="宋体"/>
                <w:color w:val="auto"/>
                <w:sz w:val="20"/>
                <w:u w:val="none"/>
                <w:lang w:eastAsia="zh-CN"/>
              </w:rPr>
              <w:t>发放补助后人员工作效率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sz w:val="20"/>
                <w:u w:val="none"/>
              </w:rPr>
            </w:pPr>
            <w:r>
              <w:rPr>
                <w:rFonts w:hint="eastAsia" w:ascii="宋体" w:hAnsi="宋体" w:eastAsia="宋体" w:cs="宋体"/>
                <w:color w:val="auto"/>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eastAsia="zh-CN"/>
              </w:rPr>
              <w:t>补助发放后驻村</w:t>
            </w:r>
            <w:r>
              <w:rPr>
                <w:rFonts w:hint="eastAsia" w:ascii="宋体" w:hAnsi="宋体" w:eastAsia="宋体" w:cs="宋体"/>
                <w:color w:val="auto"/>
                <w:sz w:val="20"/>
                <w:u w:val="none"/>
                <w:lang w:val="en-US" w:eastAsia="zh-CN"/>
              </w:rPr>
              <w:t>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auto"/>
                <w:sz w:val="20"/>
                <w:u w:val="none"/>
                <w:lang w:val="en-US" w:eastAsia="zh-CN"/>
              </w:rPr>
            </w:pPr>
            <w:r>
              <w:rPr>
                <w:rFonts w:hint="eastAsia" w:ascii="宋体" w:hAnsi="宋体" w:eastAsia="宋体" w:cs="宋体"/>
                <w:color w:val="auto"/>
                <w:sz w:val="20"/>
                <w:u w:val="none"/>
                <w:lang w:val="en-US" w:eastAsia="zh-CN"/>
              </w:rPr>
              <w:t>100%</w:t>
            </w:r>
          </w:p>
        </w:tc>
      </w:tr>
    </w:tbl>
    <w:p>
      <w:pPr>
        <w:spacing w:line="700" w:lineRule="exact"/>
        <w:ind w:firstLine="640" w:firstLineChars="200"/>
        <w:rPr>
          <w:rFonts w:hint="eastAsia" w:eastAsia="楷体"/>
          <w:color w:val="auto"/>
          <w:kern w:val="0"/>
          <w:szCs w:val="32"/>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p>
    <w:p>
      <w:pPr>
        <w:ind w:firstLine="720" w:firstLineChars="200"/>
        <w:jc w:val="center"/>
        <w:rPr>
          <w:rFonts w:eastAsia="黑体"/>
          <w:color w:val="auto"/>
          <w:sz w:val="36"/>
          <w:szCs w:val="36"/>
          <w:u w:val="none"/>
        </w:rPr>
      </w:pPr>
      <w:r>
        <w:rPr>
          <w:rFonts w:eastAsia="黑体"/>
          <w:color w:val="auto"/>
          <w:sz w:val="36"/>
          <w:szCs w:val="36"/>
          <w:u w:val="none"/>
        </w:rPr>
        <w:t>第三部分 情况说明</w:t>
      </w:r>
    </w:p>
    <w:p>
      <w:pPr>
        <w:rPr>
          <w:rFonts w:eastAsia="仿宋"/>
          <w:color w:val="auto"/>
          <w:szCs w:val="32"/>
          <w:u w:val="none"/>
        </w:rPr>
      </w:pPr>
    </w:p>
    <w:p>
      <w:pPr>
        <w:ind w:firstLine="640" w:firstLineChars="200"/>
        <w:rPr>
          <w:rFonts w:eastAsia="黑体"/>
          <w:color w:val="auto"/>
          <w:szCs w:val="32"/>
          <w:u w:val="none"/>
        </w:rPr>
      </w:pPr>
      <w:r>
        <w:rPr>
          <w:rFonts w:eastAsia="黑体"/>
          <w:color w:val="auto"/>
          <w:szCs w:val="32"/>
          <w:u w:val="none"/>
        </w:rPr>
        <w:t>一、</w:t>
      </w:r>
      <w:r>
        <w:rPr>
          <w:rFonts w:hint="eastAsia" w:eastAsia="黑体"/>
          <w:color w:val="auto"/>
          <w:szCs w:val="32"/>
          <w:u w:val="none"/>
          <w:lang w:eastAsia="zh-CN"/>
        </w:rPr>
        <w:t>2024</w:t>
      </w:r>
      <w:r>
        <w:rPr>
          <w:rFonts w:eastAsia="黑体"/>
          <w:color w:val="auto"/>
          <w:szCs w:val="32"/>
          <w:u w:val="none"/>
        </w:rPr>
        <w:t>年收支预算总体情况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年收支总预算</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w:t>
      </w:r>
      <w:r>
        <w:rPr>
          <w:rFonts w:hint="eastAsia" w:ascii="仿宋_GB2312" w:hAnsi="仿宋_GB2312" w:cs="仿宋_GB2312"/>
          <w:color w:val="auto"/>
          <w:szCs w:val="32"/>
          <w:u w:val="none"/>
          <w:lang w:val="en-US" w:eastAsia="zh-CN"/>
        </w:rPr>
        <w:t>3</w:t>
      </w:r>
      <w:r>
        <w:rPr>
          <w:rFonts w:hint="eastAsia" w:ascii="仿宋_GB2312" w:hAnsi="仿宋_GB2312" w:eastAsia="仿宋_GB2312" w:cs="仿宋_GB2312"/>
          <w:color w:val="auto"/>
          <w:szCs w:val="32"/>
          <w:u w:val="none"/>
        </w:rPr>
        <w:t>年预算增加</w:t>
      </w:r>
      <w:r>
        <w:rPr>
          <w:rFonts w:hint="eastAsia" w:ascii="仿宋_GB2312" w:hAnsi="仿宋_GB2312" w:cs="仿宋_GB2312"/>
          <w:color w:val="auto"/>
          <w:szCs w:val="32"/>
          <w:u w:val="none"/>
          <w:lang w:val="en-US" w:eastAsia="zh-CN"/>
        </w:rPr>
        <w:t>45.36</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人员增加，工作力度增强</w:t>
      </w:r>
      <w:r>
        <w:rPr>
          <w:rFonts w:hint="eastAsia" w:ascii="仿宋_GB2312" w:hAnsi="仿宋_GB2312" w:eastAsia="仿宋_GB2312" w:cs="仿宋_GB2312"/>
          <w:color w:val="auto"/>
          <w:szCs w:val="32"/>
          <w:u w:val="none"/>
        </w:rPr>
        <w:t>。</w:t>
      </w:r>
    </w:p>
    <w:p>
      <w:pPr>
        <w:ind w:firstLine="600" w:firstLineChars="200"/>
        <w:rPr>
          <w:color w:val="auto"/>
          <w:sz w:val="30"/>
          <w:szCs w:val="30"/>
          <w:u w:val="none"/>
        </w:rPr>
      </w:pPr>
    </w:p>
    <w:p>
      <w:pPr>
        <w:ind w:firstLine="600" w:firstLineChars="200"/>
        <w:rPr>
          <w:color w:val="auto"/>
          <w:sz w:val="30"/>
          <w:szCs w:val="30"/>
          <w:u w:val="none"/>
        </w:rPr>
      </w:pPr>
    </w:p>
    <w:p>
      <w:pPr>
        <w:ind w:firstLine="600" w:firstLineChars="200"/>
        <w:rPr>
          <w:color w:val="auto"/>
          <w:sz w:val="30"/>
          <w:szCs w:val="30"/>
          <w:u w:val="none"/>
        </w:rPr>
      </w:pPr>
    </w:p>
    <w:p>
      <w:pPr>
        <w:rPr>
          <w:rFonts w:eastAsia="楷体"/>
          <w:color w:val="auto"/>
          <w:szCs w:val="30"/>
          <w:u w:val="none"/>
        </w:rPr>
      </w:pPr>
    </w:p>
    <w:p>
      <w:pPr>
        <w:ind w:firstLine="640" w:firstLineChars="200"/>
        <w:rPr>
          <w:rFonts w:eastAsia="楷体"/>
          <w:color w:val="auto"/>
          <w:szCs w:val="30"/>
          <w:u w:val="none"/>
        </w:rPr>
      </w:pPr>
      <w:r>
        <w:rPr>
          <w:rFonts w:eastAsia="楷体"/>
          <w:color w:val="auto"/>
          <w:szCs w:val="30"/>
          <w:u w:val="none"/>
        </w:rPr>
        <w:t>注：收入和支出中包括的具体内容，按本部门《收支</w:t>
      </w:r>
      <w:r>
        <w:rPr>
          <w:rFonts w:hint="eastAsia" w:eastAsia="楷体"/>
          <w:color w:val="auto"/>
          <w:szCs w:val="30"/>
          <w:u w:val="none"/>
        </w:rPr>
        <w:t>总</w:t>
      </w:r>
      <w:r>
        <w:rPr>
          <w:rFonts w:eastAsia="楷体"/>
          <w:color w:val="auto"/>
          <w:szCs w:val="30"/>
          <w:u w:val="none"/>
        </w:rPr>
        <w:t>表》反映的实际情况取舍。</w:t>
      </w:r>
    </w:p>
    <w:p>
      <w:pPr>
        <w:ind w:firstLine="640" w:firstLineChars="200"/>
        <w:rPr>
          <w:rFonts w:eastAsia="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二、</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年收入预算情况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年收入预算</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%。本年收入中，一般公共预算拨款收入</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100</w:t>
      </w:r>
      <w:r>
        <w:rPr>
          <w:rFonts w:hint="eastAsia" w:ascii="仿宋_GB2312" w:hAnsi="仿宋_GB2312" w:eastAsia="仿宋_GB2312" w:cs="仿宋_GB2312"/>
          <w:color w:val="auto"/>
          <w:szCs w:val="32"/>
          <w:u w:val="none"/>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eastAsia="楷体"/>
          <w:color w:val="auto"/>
          <w:szCs w:val="30"/>
          <w:u w:val="none"/>
        </w:rPr>
      </w:pPr>
    </w:p>
    <w:p>
      <w:pPr>
        <w:ind w:firstLine="640" w:firstLineChars="200"/>
        <w:rPr>
          <w:rFonts w:hint="default" w:eastAsia="楷体"/>
          <w:color w:val="auto"/>
          <w:szCs w:val="30"/>
          <w:u w:val="none"/>
          <w:lang w:val="en-US" w:eastAsia="zh-CN"/>
        </w:rPr>
      </w:pPr>
      <w:r>
        <w:rPr>
          <w:rFonts w:eastAsia="楷体"/>
          <w:color w:val="auto"/>
          <w:szCs w:val="30"/>
          <w:u w:val="none"/>
        </w:rPr>
        <w:t>注：收入中包括的具体内容，按本部门《收入</w:t>
      </w:r>
      <w:r>
        <w:rPr>
          <w:rFonts w:hint="eastAsia" w:eastAsia="楷体"/>
          <w:color w:val="auto"/>
          <w:szCs w:val="30"/>
          <w:u w:val="none"/>
        </w:rPr>
        <w:t>总</w:t>
      </w:r>
      <w:r>
        <w:rPr>
          <w:rFonts w:eastAsia="楷体"/>
          <w:color w:val="auto"/>
          <w:szCs w:val="30"/>
          <w:u w:val="none"/>
        </w:rPr>
        <w:t>表》反映的实际情况取舍。</w:t>
      </w:r>
      <w:r>
        <w:rPr>
          <w:rFonts w:hint="eastAsia" w:eastAsia="楷体"/>
          <w:color w:val="auto"/>
          <w:szCs w:val="30"/>
          <w:u w:val="none"/>
          <w:lang w:val="en-US" w:eastAsia="zh-CN"/>
        </w:rPr>
        <w:t>未涉及到的资金填“0”。</w:t>
      </w:r>
    </w:p>
    <w:p>
      <w:pPr>
        <w:ind w:firstLine="640" w:firstLineChars="200"/>
        <w:rPr>
          <w:rFonts w:hint="eastAsia" w:ascii="黑体" w:hAnsi="黑体" w:eastAsia="黑体" w:cs="黑体"/>
          <w:color w:val="auto"/>
          <w:szCs w:val="32"/>
          <w:u w:val="none"/>
        </w:rPr>
      </w:pPr>
      <w:r>
        <w:rPr>
          <w:rFonts w:eastAsia="楷体"/>
          <w:color w:val="auto"/>
          <w:szCs w:val="30"/>
          <w:u w:val="none"/>
        </w:rPr>
        <w:br w:type="page"/>
      </w:r>
      <w:r>
        <w:rPr>
          <w:rFonts w:hint="eastAsia" w:ascii="黑体" w:hAnsi="黑体" w:eastAsia="黑体" w:cs="黑体"/>
          <w:color w:val="auto"/>
          <w:szCs w:val="32"/>
          <w:u w:val="none"/>
        </w:rPr>
        <w:t>三、</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年支出预算情况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年支出预算</w:t>
      </w:r>
      <w:r>
        <w:rPr>
          <w:rFonts w:hint="eastAsia" w:ascii="仿宋_GB2312" w:hAnsi="仿宋_GB2312" w:cs="仿宋_GB2312"/>
          <w:color w:val="auto"/>
          <w:szCs w:val="32"/>
          <w:u w:val="none"/>
          <w:lang w:val="en-US" w:eastAsia="zh-CN"/>
        </w:rPr>
        <w:t>202.43万元</w:t>
      </w:r>
      <w:r>
        <w:rPr>
          <w:rFonts w:hint="eastAsia" w:ascii="仿宋_GB2312" w:hAnsi="仿宋_GB2312" w:eastAsia="仿宋_GB2312" w:cs="仿宋_GB2312"/>
          <w:color w:val="auto"/>
          <w:szCs w:val="32"/>
          <w:u w:val="none"/>
        </w:rPr>
        <w:t>，其中：基本支出</w:t>
      </w:r>
      <w:r>
        <w:rPr>
          <w:rFonts w:hint="eastAsia" w:ascii="仿宋_GB2312" w:hAnsi="仿宋_GB2312" w:cs="仿宋_GB2312"/>
          <w:color w:val="auto"/>
          <w:szCs w:val="32"/>
          <w:u w:val="none"/>
          <w:lang w:val="en-US" w:eastAsia="zh-CN"/>
        </w:rPr>
        <w:t>141.63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69.96</w:t>
      </w:r>
      <w:r>
        <w:rPr>
          <w:rFonts w:hint="eastAsia" w:ascii="仿宋_GB2312" w:hAnsi="仿宋_GB2312" w:eastAsia="仿宋_GB2312" w:cs="仿宋_GB2312"/>
          <w:color w:val="auto"/>
          <w:szCs w:val="32"/>
          <w:u w:val="none"/>
        </w:rPr>
        <w:t>%；项目支出</w:t>
      </w:r>
      <w:r>
        <w:rPr>
          <w:rFonts w:hint="eastAsia" w:ascii="仿宋_GB2312" w:hAnsi="仿宋_GB2312" w:cs="仿宋_GB2312"/>
          <w:color w:val="auto"/>
          <w:szCs w:val="32"/>
          <w:u w:val="none"/>
          <w:lang w:val="en-US" w:eastAsia="zh-CN"/>
        </w:rPr>
        <w:t>60.8</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30.04</w:t>
      </w:r>
      <w:r>
        <w:rPr>
          <w:rFonts w:hint="eastAsia" w:ascii="仿宋_GB2312" w:hAnsi="仿宋_GB2312" w:eastAsia="仿宋_GB2312" w:cs="仿宋_GB2312"/>
          <w:color w:val="auto"/>
          <w:szCs w:val="32"/>
          <w:u w:val="none"/>
        </w:rPr>
        <w:t>%；事业单位经营支出_______万元，占_______%；上缴上级支出_______万元，占_______%；对附属单位补助支出_______万元，占_______%。</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注：支出中包括的具体内容，按本部门《支出</w:t>
      </w:r>
      <w:r>
        <w:rPr>
          <w:rFonts w:hint="eastAsia" w:eastAsia="楷体"/>
          <w:color w:val="auto"/>
          <w:szCs w:val="32"/>
          <w:u w:val="none"/>
        </w:rPr>
        <w:t>总</w:t>
      </w:r>
      <w:r>
        <w:rPr>
          <w:rFonts w:eastAsia="楷体"/>
          <w:color w:val="auto"/>
          <w:szCs w:val="32"/>
          <w:u w:val="none"/>
        </w:rPr>
        <w:t>表》反映的实际情况取舍。</w:t>
      </w:r>
    </w:p>
    <w:p>
      <w:pPr>
        <w:ind w:firstLine="6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四、</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年财政拨款收支预算情况</w:t>
      </w:r>
    </w:p>
    <w:p>
      <w:pPr>
        <w:ind w:firstLine="600"/>
        <w:rPr>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年财政拨款收支总预算</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rPr>
        <w:t>万元，其中：本年收入</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rPr>
        <w:t>万元。支出包括：</w:t>
      </w:r>
      <w:r>
        <w:rPr>
          <w:rFonts w:hint="eastAsia" w:ascii="仿宋_GB2312" w:hAnsi="仿宋_GB2312" w:eastAsia="仿宋_GB2312" w:cs="仿宋_GB2312"/>
          <w:color w:val="auto"/>
          <w:kern w:val="0"/>
          <w:szCs w:val="32"/>
          <w:u w:val="none"/>
        </w:rPr>
        <w:t>一般公共服务支出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国防支出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公共安全支出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教育支出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科学技术支出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文化旅游体育与传媒支出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社会保障和就业支出</w:t>
      </w:r>
      <w:r>
        <w:rPr>
          <w:rFonts w:hint="eastAsia" w:ascii="仿宋_GB2312" w:hAnsi="仿宋_GB2312" w:cs="仿宋_GB2312"/>
          <w:color w:val="auto"/>
          <w:szCs w:val="32"/>
          <w:u w:val="none"/>
          <w:lang w:val="en-US" w:eastAsia="zh-CN"/>
        </w:rPr>
        <w:t>15.91</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社会保险基金支出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卫生健康支出</w:t>
      </w:r>
      <w:r>
        <w:rPr>
          <w:rFonts w:hint="eastAsia" w:ascii="仿宋_GB2312" w:hAnsi="仿宋_GB2312" w:cs="仿宋_GB2312"/>
          <w:color w:val="auto"/>
          <w:szCs w:val="32"/>
          <w:u w:val="none"/>
          <w:lang w:val="en-US" w:eastAsia="zh-CN"/>
        </w:rPr>
        <w:t>5.78</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节能环保支出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城乡社区支出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农林水支出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交通运输支出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资源勘探信息等支出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商业服务业等支出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金融支出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援助其他地区支出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自然资源海洋气象等支出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住房保障支出</w:t>
      </w:r>
      <w:r>
        <w:rPr>
          <w:rFonts w:hint="eastAsia" w:ascii="仿宋_GB2312" w:hAnsi="仿宋_GB2312" w:cs="仿宋_GB2312"/>
          <w:color w:val="auto"/>
          <w:szCs w:val="32"/>
          <w:u w:val="none"/>
          <w:lang w:val="en-US" w:eastAsia="zh-CN"/>
        </w:rPr>
        <w:t>9.62</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粮油物资储备支出</w:t>
      </w:r>
      <w:r>
        <w:rPr>
          <w:rFonts w:hint="eastAsia" w:ascii="仿宋_GB2312" w:hAnsi="仿宋_GB2312" w:eastAsia="仿宋_GB2312" w:cs="仿宋_GB2312"/>
          <w:color w:val="auto"/>
          <w:szCs w:val="32"/>
          <w:u w:val="none"/>
        </w:rPr>
        <w:t>_______万元，灾害防治及应急管理支出</w:t>
      </w:r>
      <w:r>
        <w:rPr>
          <w:rFonts w:hint="eastAsia" w:ascii="仿宋_GB2312" w:hAnsi="仿宋_GB2312" w:cs="仿宋_GB2312"/>
          <w:color w:val="auto"/>
          <w:szCs w:val="32"/>
          <w:u w:val="none"/>
          <w:lang w:val="en-US" w:eastAsia="zh-CN"/>
        </w:rPr>
        <w:t>171.13</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kern w:val="0"/>
          <w:szCs w:val="32"/>
          <w:u w:val="none"/>
        </w:rPr>
        <w:t>其他支出</w:t>
      </w:r>
      <w:r>
        <w:rPr>
          <w:rFonts w:hint="eastAsia" w:ascii="仿宋_GB2312" w:hAnsi="仿宋_GB2312" w:eastAsia="仿宋_GB2312" w:cs="仿宋_GB2312"/>
          <w:color w:val="auto"/>
          <w:szCs w:val="32"/>
          <w:u w:val="none"/>
        </w:rPr>
        <w:t>_______万元，</w:t>
      </w:r>
      <w:r>
        <w:rPr>
          <w:rFonts w:hint="eastAsia" w:ascii="仿宋_GB2312" w:hAnsi="仿宋_GB2312" w:eastAsia="仿宋_GB2312" w:cs="仿宋_GB2312"/>
          <w:color w:val="auto"/>
          <w:kern w:val="0"/>
          <w:szCs w:val="32"/>
          <w:u w:val="none"/>
        </w:rPr>
        <w:t>结转下年支出</w:t>
      </w:r>
      <w:r>
        <w:rPr>
          <w:rFonts w:hint="eastAsia" w:ascii="仿宋_GB2312" w:hAnsi="仿宋_GB2312" w:eastAsia="仿宋_GB2312" w:cs="仿宋_GB2312"/>
          <w:color w:val="auto"/>
          <w:szCs w:val="32"/>
          <w:u w:val="none"/>
        </w:rPr>
        <w:t>_______万元。</w:t>
      </w:r>
    </w:p>
    <w:p>
      <w:pPr>
        <w:ind w:firstLine="600"/>
        <w:rPr>
          <w:color w:val="auto"/>
          <w:szCs w:val="32"/>
          <w:u w:val="none"/>
        </w:rPr>
      </w:pPr>
    </w:p>
    <w:p>
      <w:pPr>
        <w:ind w:firstLine="600"/>
        <w:rPr>
          <w:color w:val="auto"/>
          <w:szCs w:val="32"/>
          <w:u w:val="none"/>
        </w:rPr>
      </w:pPr>
    </w:p>
    <w:p>
      <w:pPr>
        <w:ind w:firstLine="600"/>
        <w:rPr>
          <w:color w:val="auto"/>
          <w:szCs w:val="32"/>
          <w:u w:val="none"/>
        </w:rPr>
      </w:pPr>
    </w:p>
    <w:p>
      <w:pPr>
        <w:ind w:firstLine="600"/>
        <w:rPr>
          <w:rFonts w:eastAsia="楷体"/>
          <w:color w:val="auto"/>
          <w:szCs w:val="32"/>
          <w:u w:val="none"/>
        </w:rPr>
      </w:pPr>
      <w:r>
        <w:rPr>
          <w:rFonts w:eastAsia="楷体"/>
          <w:color w:val="auto"/>
          <w:szCs w:val="32"/>
          <w:u w:val="none"/>
        </w:rPr>
        <w:t>注：财政拨款收支中包括的具体内容，按本部门《</w:t>
      </w:r>
      <w:r>
        <w:rPr>
          <w:rFonts w:hint="eastAsia" w:eastAsia="楷体"/>
          <w:color w:val="auto"/>
          <w:szCs w:val="32"/>
          <w:u w:val="none"/>
        </w:rPr>
        <w:t>财政拨款收支总表</w:t>
      </w:r>
      <w:r>
        <w:rPr>
          <w:rFonts w:eastAsia="楷体"/>
          <w:color w:val="auto"/>
          <w:szCs w:val="32"/>
          <w:u w:val="none"/>
        </w:rPr>
        <w:t>》反映的实际情况取舍。</w:t>
      </w:r>
      <w:r>
        <w:rPr>
          <w:rFonts w:hint="eastAsia" w:eastAsia="楷体"/>
          <w:color w:val="auto"/>
          <w:szCs w:val="30"/>
          <w:u w:val="none"/>
          <w:lang w:val="en-US" w:eastAsia="zh-CN"/>
        </w:rPr>
        <w:t>未涉及到的资金填“0”。</w:t>
      </w:r>
    </w:p>
    <w:p>
      <w:pPr>
        <w:ind w:firstLine="6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五、</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年一般公共预算支出情况</w:t>
      </w:r>
    </w:p>
    <w:p>
      <w:pPr>
        <w:spacing w:line="52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年一般公共预算拨款</w:t>
      </w:r>
      <w:r>
        <w:rPr>
          <w:rFonts w:hint="eastAsia" w:ascii="仿宋_GB2312" w:hAnsi="仿宋_GB2312" w:cs="仿宋_GB2312"/>
          <w:color w:val="auto"/>
          <w:szCs w:val="32"/>
          <w:u w:val="none"/>
          <w:lang w:val="en-US" w:eastAsia="zh-CN"/>
        </w:rPr>
        <w:t>202.43</w:t>
      </w:r>
      <w:r>
        <w:rPr>
          <w:rFonts w:hint="eastAsia" w:ascii="仿宋_GB2312" w:hAnsi="仿宋_GB2312" w:eastAsia="仿宋_GB2312" w:cs="仿宋_GB2312"/>
          <w:color w:val="auto"/>
          <w:szCs w:val="32"/>
          <w:u w:val="none"/>
        </w:rPr>
        <w:t>万元，其中：基本支出</w:t>
      </w:r>
      <w:r>
        <w:rPr>
          <w:rFonts w:hint="eastAsia" w:ascii="仿宋_GB2312" w:hAnsi="仿宋_GB2312" w:cs="仿宋_GB2312"/>
          <w:color w:val="auto"/>
          <w:szCs w:val="32"/>
          <w:u w:val="none"/>
          <w:lang w:val="en-US" w:eastAsia="zh-CN"/>
        </w:rPr>
        <w:t>141.63</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69.96</w:t>
      </w:r>
      <w:r>
        <w:rPr>
          <w:rFonts w:hint="eastAsia" w:ascii="仿宋_GB2312" w:hAnsi="仿宋_GB2312" w:eastAsia="仿宋_GB2312" w:cs="仿宋_GB2312"/>
          <w:color w:val="auto"/>
          <w:szCs w:val="32"/>
          <w:u w:val="none"/>
        </w:rPr>
        <w:t>%；项目支出</w:t>
      </w:r>
      <w:r>
        <w:rPr>
          <w:rFonts w:hint="eastAsia" w:ascii="仿宋_GB2312" w:hAnsi="仿宋_GB2312" w:cs="仿宋_GB2312"/>
          <w:color w:val="auto"/>
          <w:szCs w:val="32"/>
          <w:u w:val="none"/>
          <w:lang w:val="en-US" w:eastAsia="zh-CN"/>
        </w:rPr>
        <w:t>60.8</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30.04</w:t>
      </w:r>
      <w:r>
        <w:rPr>
          <w:rFonts w:hint="eastAsia" w:ascii="仿宋_GB2312" w:hAnsi="仿宋_GB2312" w:eastAsia="仿宋_GB2312" w:cs="仿宋_GB2312"/>
          <w:color w:val="auto"/>
          <w:szCs w:val="32"/>
          <w:u w:val="none"/>
        </w:rPr>
        <w:t>%。基本支出中，人员经费</w:t>
      </w:r>
      <w:r>
        <w:rPr>
          <w:rFonts w:hint="eastAsia" w:ascii="仿宋_GB2312" w:hAnsi="仿宋_GB2312" w:cs="仿宋_GB2312"/>
          <w:color w:val="auto"/>
          <w:szCs w:val="32"/>
          <w:u w:val="none"/>
          <w:lang w:val="en-US" w:eastAsia="zh-CN"/>
        </w:rPr>
        <w:t>124.41</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87.84</w:t>
      </w:r>
      <w:r>
        <w:rPr>
          <w:rFonts w:hint="eastAsia" w:ascii="仿宋_GB2312" w:hAnsi="仿宋_GB2312" w:eastAsia="仿宋_GB2312" w:cs="仿宋_GB2312"/>
          <w:color w:val="auto"/>
          <w:szCs w:val="32"/>
          <w:u w:val="none"/>
        </w:rPr>
        <w:t>%；公用经费</w:t>
      </w:r>
      <w:r>
        <w:rPr>
          <w:rFonts w:hint="eastAsia" w:ascii="仿宋_GB2312" w:hAnsi="仿宋_GB2312" w:cs="仿宋_GB2312"/>
          <w:color w:val="auto"/>
          <w:szCs w:val="32"/>
          <w:u w:val="none"/>
          <w:lang w:val="en-US" w:eastAsia="zh-CN"/>
        </w:rPr>
        <w:t>17.22</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12.16</w:t>
      </w:r>
      <w:r>
        <w:rPr>
          <w:rFonts w:hint="eastAsia" w:ascii="仿宋_GB2312" w:hAnsi="仿宋_GB2312" w:eastAsia="仿宋_GB2312" w:cs="仿宋_GB2312"/>
          <w:color w:val="auto"/>
          <w:szCs w:val="32"/>
          <w:u w:val="none"/>
        </w:rPr>
        <w:t>%。</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一般公共服务（类）支出_____万元，占_____%，主要用于_____________________。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国防（类）支出_____万元，占_____%，主要用于_____________________。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教育（类）支出_____万元，占_____%，主要用于_____________________。</w:t>
      </w:r>
    </w:p>
    <w:p>
      <w:pPr>
        <w:spacing w:line="520" w:lineRule="exact"/>
        <w:ind w:firstLine="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社会保障和就业（类）支出</w:t>
      </w:r>
      <w:r>
        <w:rPr>
          <w:rFonts w:hint="eastAsia" w:ascii="仿宋_GB2312" w:hAnsi="仿宋_GB2312" w:cs="仿宋_GB2312"/>
          <w:color w:val="auto"/>
          <w:szCs w:val="32"/>
          <w:u w:val="none"/>
          <w:lang w:val="en-US" w:eastAsia="zh-CN"/>
        </w:rPr>
        <w:t>15.91</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7.86</w:t>
      </w:r>
      <w:r>
        <w:rPr>
          <w:rFonts w:hint="eastAsia" w:ascii="仿宋_GB2312" w:hAnsi="仿宋_GB2312" w:eastAsia="仿宋_GB2312" w:cs="仿宋_GB2312"/>
          <w:color w:val="auto"/>
          <w:szCs w:val="32"/>
          <w:u w:val="none"/>
        </w:rPr>
        <w:t>%，主要用于</w:t>
      </w:r>
      <w:r>
        <w:rPr>
          <w:rFonts w:hint="eastAsia"/>
          <w:color w:val="auto"/>
          <w:szCs w:val="32"/>
          <w:u w:val="none"/>
          <w:lang w:eastAsia="zh-CN"/>
        </w:rPr>
        <w:t>通榆县应急管理局在职人员的社保，职业年金及其他社会保障缴费</w:t>
      </w:r>
      <w:r>
        <w:rPr>
          <w:rFonts w:hint="eastAsia" w:ascii="仿宋_GB2312" w:hAnsi="仿宋_GB2312" w:eastAsia="仿宋_GB2312" w:cs="仿宋_GB2312"/>
          <w:color w:val="auto"/>
          <w:szCs w:val="32"/>
          <w:u w:val="none"/>
        </w:rPr>
        <w:t>。</w:t>
      </w:r>
    </w:p>
    <w:p>
      <w:pPr>
        <w:spacing w:line="520" w:lineRule="exact"/>
        <w:ind w:firstLine="200"/>
        <w:rPr>
          <w:color w:val="auto"/>
          <w:szCs w:val="32"/>
          <w:u w:val="none"/>
        </w:rPr>
      </w:pPr>
      <w:r>
        <w:rPr>
          <w:rFonts w:hint="eastAsia"/>
          <w:color w:val="auto"/>
          <w:szCs w:val="32"/>
          <w:u w:val="none"/>
          <w:lang w:eastAsia="zh-CN"/>
        </w:rPr>
        <w:t>卫生健康支出</w:t>
      </w:r>
      <w:r>
        <w:rPr>
          <w:rFonts w:hint="eastAsia"/>
          <w:color w:val="auto"/>
          <w:szCs w:val="32"/>
          <w:u w:val="none"/>
          <w:lang w:val="en-US" w:eastAsia="zh-CN"/>
        </w:rPr>
        <w:t>5.78万元，</w:t>
      </w:r>
      <w:r>
        <w:rPr>
          <w:rFonts w:hint="eastAsia" w:ascii="仿宋_GB2312" w:hAnsi="仿宋_GB2312" w:eastAsia="仿宋_GB2312" w:cs="仿宋_GB2312"/>
          <w:color w:val="auto"/>
          <w:szCs w:val="32"/>
          <w:u w:val="none"/>
        </w:rPr>
        <w:t>占</w:t>
      </w:r>
      <w:r>
        <w:rPr>
          <w:rFonts w:hint="eastAsia" w:ascii="仿宋_GB2312" w:hAnsi="仿宋_GB2312" w:cs="仿宋_GB2312"/>
          <w:color w:val="auto"/>
          <w:szCs w:val="32"/>
          <w:u w:val="none"/>
          <w:lang w:val="en-US" w:eastAsia="zh-CN"/>
        </w:rPr>
        <w:t>2.86</w:t>
      </w:r>
      <w:r>
        <w:rPr>
          <w:rFonts w:hint="eastAsia" w:ascii="仿宋_GB2312" w:hAnsi="仿宋_GB2312" w:eastAsia="仿宋_GB2312" w:cs="仿宋_GB2312"/>
          <w:color w:val="auto"/>
          <w:szCs w:val="32"/>
          <w:u w:val="none"/>
        </w:rPr>
        <w:t>%，主要用于</w:t>
      </w:r>
      <w:r>
        <w:rPr>
          <w:rFonts w:hint="eastAsia"/>
          <w:color w:val="auto"/>
          <w:szCs w:val="32"/>
          <w:u w:val="none"/>
          <w:lang w:eastAsia="zh-CN"/>
        </w:rPr>
        <w:t>通榆县应急管理局在职人员的医疗保险缴费</w:t>
      </w:r>
      <w:r>
        <w:rPr>
          <w:color w:val="auto"/>
          <w:szCs w:val="32"/>
          <w:u w:val="none"/>
        </w:rPr>
        <w:t>。</w:t>
      </w:r>
    </w:p>
    <w:p>
      <w:pPr>
        <w:spacing w:line="520" w:lineRule="exact"/>
        <w:ind w:firstLine="320" w:firstLineChars="100"/>
        <w:rPr>
          <w:color w:val="auto"/>
          <w:szCs w:val="32"/>
          <w:u w:val="none"/>
        </w:rPr>
      </w:pPr>
      <w:r>
        <w:rPr>
          <w:rFonts w:hint="eastAsia"/>
          <w:color w:val="auto"/>
          <w:szCs w:val="32"/>
          <w:u w:val="none"/>
        </w:rPr>
        <w:t>灾害防治及应急管理支出</w:t>
      </w:r>
      <w:r>
        <w:rPr>
          <w:rFonts w:hint="eastAsia"/>
          <w:color w:val="auto"/>
          <w:szCs w:val="32"/>
          <w:u w:val="none"/>
          <w:lang w:val="en-US" w:eastAsia="zh-CN"/>
        </w:rPr>
        <w:t>171.13</w:t>
      </w:r>
      <w:r>
        <w:rPr>
          <w:color w:val="auto"/>
          <w:szCs w:val="32"/>
          <w:u w:val="none"/>
        </w:rPr>
        <w:t>万元</w:t>
      </w:r>
      <w:r>
        <w:rPr>
          <w:rFonts w:hint="eastAsia"/>
          <w:color w:val="auto"/>
          <w:szCs w:val="32"/>
          <w:u w:val="none"/>
          <w:lang w:eastAsia="zh-CN"/>
        </w:rPr>
        <w:t>，</w:t>
      </w:r>
      <w:r>
        <w:rPr>
          <w:color w:val="auto"/>
          <w:szCs w:val="32"/>
          <w:u w:val="none"/>
        </w:rPr>
        <w:t>，占</w:t>
      </w:r>
      <w:r>
        <w:rPr>
          <w:rFonts w:hint="eastAsia"/>
          <w:color w:val="auto"/>
          <w:szCs w:val="32"/>
          <w:u w:val="none"/>
          <w:lang w:val="en-US" w:eastAsia="zh-CN"/>
        </w:rPr>
        <w:t>84.54</w:t>
      </w:r>
      <w:r>
        <w:rPr>
          <w:color w:val="auto"/>
          <w:szCs w:val="32"/>
          <w:u w:val="none"/>
        </w:rPr>
        <w:t>%，主要用于</w:t>
      </w:r>
      <w:r>
        <w:rPr>
          <w:rFonts w:hint="eastAsia"/>
          <w:color w:val="auto"/>
          <w:szCs w:val="32"/>
          <w:u w:val="none"/>
          <w:lang w:eastAsia="zh-CN"/>
        </w:rPr>
        <w:t>通榆县应急管理局在职人员经费及办公费用</w:t>
      </w:r>
      <w:r>
        <w:rPr>
          <w:color w:val="auto"/>
          <w:szCs w:val="32"/>
          <w:u w:val="none"/>
        </w:rPr>
        <w:t>。</w:t>
      </w:r>
    </w:p>
    <w:p>
      <w:pPr>
        <w:spacing w:line="520" w:lineRule="exact"/>
        <w:ind w:firstLine="200"/>
        <w:rPr>
          <w:rFonts w:hint="eastAsia"/>
          <w:color w:val="auto"/>
          <w:szCs w:val="32"/>
          <w:u w:val="none"/>
        </w:rPr>
      </w:pPr>
      <w:r>
        <w:rPr>
          <w:rFonts w:hint="eastAsia" w:ascii="仿宋_GB2312" w:hAnsi="仿宋_GB2312" w:eastAsia="仿宋_GB2312" w:cs="仿宋_GB2312"/>
          <w:color w:val="auto"/>
          <w:szCs w:val="32"/>
          <w:u w:val="none"/>
        </w:rPr>
        <w:t>住房保障（类）支出</w:t>
      </w:r>
      <w:r>
        <w:rPr>
          <w:rFonts w:hint="eastAsia" w:ascii="仿宋_GB2312" w:hAnsi="仿宋_GB2312" w:cs="仿宋_GB2312"/>
          <w:color w:val="auto"/>
          <w:szCs w:val="32"/>
          <w:u w:val="none"/>
          <w:lang w:val="en-US" w:eastAsia="zh-CN"/>
        </w:rPr>
        <w:t>9.62</w:t>
      </w:r>
      <w:r>
        <w:rPr>
          <w:rFonts w:hint="eastAsia" w:ascii="仿宋_GB2312" w:hAnsi="仿宋_GB2312" w:eastAsia="仿宋_GB2312" w:cs="仿宋_GB2312"/>
          <w:color w:val="auto"/>
          <w:szCs w:val="32"/>
          <w:u w:val="none"/>
        </w:rPr>
        <w:t>万元，占</w:t>
      </w:r>
      <w:r>
        <w:rPr>
          <w:rFonts w:hint="eastAsia" w:ascii="仿宋_GB2312" w:hAnsi="仿宋_GB2312" w:cs="仿宋_GB2312"/>
          <w:color w:val="auto"/>
          <w:szCs w:val="32"/>
          <w:u w:val="none"/>
          <w:lang w:val="en-US" w:eastAsia="zh-CN"/>
        </w:rPr>
        <w:t>4.75</w:t>
      </w:r>
      <w:r>
        <w:rPr>
          <w:rFonts w:hint="eastAsia" w:ascii="仿宋_GB2312" w:hAnsi="仿宋_GB2312" w:eastAsia="仿宋_GB2312" w:cs="仿宋_GB2312"/>
          <w:color w:val="auto"/>
          <w:szCs w:val="32"/>
          <w:u w:val="none"/>
        </w:rPr>
        <w:t>%，主要用于_</w:t>
      </w:r>
      <w:r>
        <w:rPr>
          <w:rFonts w:hint="eastAsia" w:ascii="仿宋_GB2312" w:hAnsi="仿宋_GB2312" w:cs="仿宋_GB2312"/>
          <w:color w:val="auto"/>
          <w:szCs w:val="32"/>
          <w:u w:val="none"/>
          <w:lang w:eastAsia="zh-CN"/>
        </w:rPr>
        <w:t>通榆县应急管理局在职人员住房公积金缴费</w:t>
      </w:r>
      <w:r>
        <w:rPr>
          <w:rFonts w:hint="eastAsia" w:ascii="仿宋_GB2312" w:hAnsi="仿宋_GB2312" w:eastAsia="仿宋_GB2312" w:cs="仿宋_GB2312"/>
          <w:color w:val="auto"/>
          <w:szCs w:val="32"/>
          <w:u w:val="none"/>
        </w:rPr>
        <w:t>。</w:t>
      </w:r>
    </w:p>
    <w:p>
      <w:pPr>
        <w:spacing w:line="520" w:lineRule="exact"/>
        <w:ind w:firstLine="640" w:firstLineChars="200"/>
        <w:rPr>
          <w:rFonts w:eastAsia="楷体"/>
          <w:color w:val="auto"/>
          <w:szCs w:val="32"/>
          <w:u w:val="none"/>
        </w:rPr>
      </w:pPr>
      <w:r>
        <w:rPr>
          <w:rFonts w:eastAsia="楷体"/>
          <w:color w:val="auto"/>
          <w:szCs w:val="32"/>
          <w:u w:val="none"/>
        </w:rPr>
        <w:t>注：一般公共预算拨款中包括的具体内容，按本部门《</w:t>
      </w:r>
      <w:r>
        <w:rPr>
          <w:rFonts w:hint="eastAsia" w:eastAsia="楷体"/>
          <w:color w:val="auto"/>
          <w:szCs w:val="32"/>
          <w:u w:val="none"/>
        </w:rPr>
        <w:t>一般公共预算支出表</w:t>
      </w:r>
      <w:r>
        <w:rPr>
          <w:rFonts w:eastAsia="楷体"/>
          <w:color w:val="auto"/>
          <w:szCs w:val="32"/>
          <w:u w:val="none"/>
        </w:rPr>
        <w:t>》反映的实际情况取舍。没有一般公共预算拨款的，直接表述为“本部门无一般公共预算拨款”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spacing w:line="520" w:lineRule="exact"/>
        <w:ind w:firstLine="640" w:firstLineChars="200"/>
        <w:rPr>
          <w:rFonts w:hint="eastAsia" w:ascii="黑体" w:hAnsi="黑体" w:eastAsia="黑体" w:cs="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六、</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年一般公共预算基本支出情况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年一般公共预算基本支出</w:t>
      </w:r>
      <w:r>
        <w:rPr>
          <w:rFonts w:hint="eastAsia" w:ascii="仿宋_GB2312" w:hAnsi="仿宋_GB2312" w:cs="仿宋_GB2312"/>
          <w:color w:val="auto"/>
          <w:szCs w:val="32"/>
          <w:u w:val="none"/>
          <w:lang w:val="en-US" w:eastAsia="zh-CN"/>
        </w:rPr>
        <w:t>141.63</w:t>
      </w:r>
      <w:r>
        <w:rPr>
          <w:rFonts w:hint="eastAsia" w:ascii="仿宋_GB2312" w:hAnsi="仿宋_GB2312" w:eastAsia="仿宋_GB2312" w:cs="仿宋_GB2312"/>
          <w:color w:val="auto"/>
          <w:szCs w:val="32"/>
          <w:u w:val="none"/>
        </w:rPr>
        <w:t>万元，其中：</w:t>
      </w:r>
    </w:p>
    <w:p>
      <w:pPr>
        <w:ind w:firstLine="640" w:firstLineChars="200"/>
        <w:rPr>
          <w:rFonts w:hint="eastAsia" w:ascii="仿宋_GB2312" w:hAnsi="仿宋_GB2312" w:eastAsia="仿宋_GB2312" w:cs="仿宋_GB2312"/>
          <w:color w:val="auto"/>
          <w:kern w:val="0"/>
          <w:szCs w:val="32"/>
          <w:u w:val="none"/>
        </w:rPr>
      </w:pPr>
      <w:r>
        <w:rPr>
          <w:rFonts w:hint="eastAsia" w:ascii="仿宋_GB2312" w:hAnsi="仿宋_GB2312" w:eastAsia="仿宋_GB2312" w:cs="仿宋_GB2312"/>
          <w:color w:val="auto"/>
          <w:szCs w:val="32"/>
          <w:u w:val="none"/>
        </w:rPr>
        <w:t>人员经费</w:t>
      </w:r>
      <w:r>
        <w:rPr>
          <w:rFonts w:hint="eastAsia" w:ascii="仿宋_GB2312" w:hAnsi="仿宋_GB2312" w:cs="仿宋_GB2312"/>
          <w:color w:val="auto"/>
          <w:szCs w:val="32"/>
          <w:u w:val="none"/>
          <w:lang w:val="en-US" w:eastAsia="zh-CN"/>
        </w:rPr>
        <w:t>124.41</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基本工资、津贴补贴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奖金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社会保障缴费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其他工资福利支出</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离休费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退休费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抚恤金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生活补助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助学金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住房公积金</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采暖补贴</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其他对个人和家庭的补助支出。</w:t>
      </w:r>
    </w:p>
    <w:p>
      <w:pPr>
        <w:ind w:firstLine="640" w:firstLineChars="200"/>
        <w:rPr>
          <w:color w:val="auto"/>
          <w:szCs w:val="32"/>
          <w:u w:val="none"/>
        </w:rPr>
      </w:pPr>
      <w:r>
        <w:rPr>
          <w:rFonts w:hint="eastAsia" w:ascii="仿宋_GB2312" w:hAnsi="仿宋_GB2312" w:eastAsia="仿宋_GB2312" w:cs="仿宋_GB2312"/>
          <w:color w:val="auto"/>
          <w:kern w:val="0"/>
          <w:szCs w:val="32"/>
          <w:u w:val="none"/>
        </w:rPr>
        <w:t>公用经费</w:t>
      </w:r>
      <w:r>
        <w:rPr>
          <w:rFonts w:hint="eastAsia" w:ascii="仿宋_GB2312" w:hAnsi="仿宋_GB2312" w:cs="仿宋_GB2312"/>
          <w:color w:val="auto"/>
          <w:szCs w:val="32"/>
          <w:u w:val="none"/>
          <w:lang w:val="en-US" w:eastAsia="zh-CN"/>
        </w:rPr>
        <w:t>17.22</w:t>
      </w:r>
      <w:r>
        <w:rPr>
          <w:rFonts w:hint="eastAsia" w:ascii="仿宋_GB2312" w:hAnsi="仿宋_GB2312" w:eastAsia="仿宋_GB2312" w:cs="仿宋_GB2312"/>
          <w:color w:val="auto"/>
          <w:szCs w:val="32"/>
          <w:u w:val="none"/>
        </w:rPr>
        <w:t>万元，主要包括：</w:t>
      </w:r>
      <w:r>
        <w:rPr>
          <w:rFonts w:hint="eastAsia" w:ascii="仿宋_GB2312" w:hAnsi="仿宋_GB2312" w:eastAsia="仿宋_GB2312" w:cs="仿宋_GB2312"/>
          <w:color w:val="auto"/>
          <w:kern w:val="0"/>
          <w:szCs w:val="32"/>
          <w:u w:val="none"/>
        </w:rPr>
        <w:t>办公费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印刷费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水费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邮电费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取暖费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物业管理费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差旅费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维修（护）费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会议费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培训费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公务接待费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工会经费、福利费</w:t>
      </w:r>
      <w:r>
        <w:rPr>
          <w:rFonts w:hint="eastAsia" w:ascii="仿宋_GB2312" w:hAnsi="仿宋_GB2312" w:eastAsia="仿宋_GB2312" w:cs="仿宋_GB2312"/>
          <w:color w:val="auto"/>
          <w:szCs w:val="32"/>
          <w:u w:val="none"/>
        </w:rPr>
        <w:t>、公</w:t>
      </w:r>
      <w:r>
        <w:rPr>
          <w:rFonts w:hint="eastAsia" w:ascii="仿宋_GB2312" w:hAnsi="仿宋_GB2312" w:eastAsia="仿宋_GB2312" w:cs="仿宋_GB2312"/>
          <w:color w:val="auto"/>
          <w:kern w:val="0"/>
          <w:szCs w:val="32"/>
          <w:u w:val="none"/>
        </w:rPr>
        <w:t>务用车运行维护费</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其他交通补助</w:t>
      </w:r>
      <w:r>
        <w:rPr>
          <w:rFonts w:hint="eastAsia" w:ascii="仿宋_GB2312" w:hAnsi="仿宋_GB2312" w:eastAsia="仿宋_GB2312" w:cs="仿宋_GB2312"/>
          <w:color w:val="auto"/>
          <w:szCs w:val="32"/>
          <w:u w:val="none"/>
        </w:rPr>
        <w:t>、</w:t>
      </w:r>
      <w:r>
        <w:rPr>
          <w:rFonts w:hint="eastAsia" w:ascii="仿宋_GB2312" w:hAnsi="仿宋_GB2312" w:eastAsia="仿宋_GB2312" w:cs="仿宋_GB2312"/>
          <w:color w:val="auto"/>
          <w:kern w:val="0"/>
          <w:szCs w:val="32"/>
          <w:u w:val="none"/>
        </w:rPr>
        <w:t>其他商品和服务支出。</w:t>
      </w: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color w:val="auto"/>
          <w:szCs w:val="32"/>
          <w:u w:val="none"/>
        </w:rPr>
      </w:pPr>
    </w:p>
    <w:p>
      <w:pPr>
        <w:ind w:firstLine="640" w:firstLineChars="200"/>
        <w:rPr>
          <w:rFonts w:eastAsia="楷体"/>
          <w:color w:val="auto"/>
          <w:szCs w:val="32"/>
          <w:u w:val="none"/>
        </w:rPr>
      </w:pPr>
      <w:r>
        <w:rPr>
          <w:rFonts w:eastAsia="楷体"/>
          <w:color w:val="auto"/>
          <w:szCs w:val="32"/>
          <w:u w:val="none"/>
        </w:rPr>
        <w:t>注：一般公共预算基本支出中包括的具体内容，按本部门《</w:t>
      </w:r>
      <w:r>
        <w:rPr>
          <w:rFonts w:hint="eastAsia" w:eastAsia="楷体"/>
          <w:color w:val="auto"/>
          <w:szCs w:val="32"/>
          <w:u w:val="none"/>
        </w:rPr>
        <w:t>一般公共预算基本支出表</w:t>
      </w:r>
      <w:r>
        <w:rPr>
          <w:rFonts w:eastAsia="楷体"/>
          <w:color w:val="auto"/>
          <w:szCs w:val="32"/>
          <w:u w:val="none"/>
        </w:rPr>
        <w:t>》反映的</w:t>
      </w:r>
      <w:r>
        <w:rPr>
          <w:rFonts w:hint="eastAsia" w:eastAsia="楷体"/>
          <w:color w:val="auto"/>
          <w:szCs w:val="32"/>
          <w:u w:val="none"/>
        </w:rPr>
        <w:t>基本支出</w:t>
      </w:r>
      <w:r>
        <w:rPr>
          <w:rFonts w:eastAsia="楷体"/>
          <w:color w:val="auto"/>
          <w:szCs w:val="32"/>
          <w:u w:val="none"/>
        </w:rPr>
        <w:t>实际情况取舍。没有一般公共预算拨款的，直接表述为“本部门无一般公共预算拨款”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0"/>
          <w:u w:val="none"/>
        </w:rPr>
      </w:pPr>
      <w:r>
        <w:rPr>
          <w:rFonts w:eastAsia="楷体"/>
          <w:color w:val="auto"/>
          <w:szCs w:val="32"/>
          <w:u w:val="none"/>
        </w:rPr>
        <w:br w:type="page"/>
      </w:r>
      <w:r>
        <w:rPr>
          <w:rFonts w:hint="eastAsia" w:ascii="黑体" w:hAnsi="黑体" w:eastAsia="黑体" w:cs="黑体"/>
          <w:color w:val="auto"/>
          <w:szCs w:val="30"/>
          <w:u w:val="none"/>
        </w:rPr>
        <w:t>七、</w:t>
      </w:r>
      <w:r>
        <w:rPr>
          <w:rFonts w:hint="eastAsia" w:ascii="黑体" w:hAnsi="黑体" w:eastAsia="黑体" w:cs="黑体"/>
          <w:color w:val="auto"/>
          <w:szCs w:val="30"/>
          <w:u w:val="none"/>
          <w:lang w:eastAsia="zh-CN"/>
        </w:rPr>
        <w:t>2024</w:t>
      </w:r>
      <w:r>
        <w:rPr>
          <w:rFonts w:hint="eastAsia" w:ascii="黑体" w:hAnsi="黑体" w:eastAsia="黑体" w:cs="黑体"/>
          <w:color w:val="auto"/>
          <w:szCs w:val="30"/>
          <w:u w:val="none"/>
        </w:rPr>
        <w:t>年一般公共预算财政拨款“三公”经费情况</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年“三公”经费预算数为</w:t>
      </w:r>
      <w:r>
        <w:rPr>
          <w:rFonts w:hint="eastAsia" w:ascii="仿宋_GB2312" w:hAnsi="仿宋_GB2312" w:cs="仿宋_GB2312"/>
          <w:color w:val="auto"/>
          <w:szCs w:val="32"/>
          <w:u w:val="none"/>
          <w:lang w:val="en-US" w:eastAsia="zh-CN"/>
        </w:rPr>
        <w:t>1.7</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w:t>
      </w:r>
      <w:r>
        <w:rPr>
          <w:rFonts w:hint="eastAsia" w:ascii="仿宋_GB2312" w:hAnsi="仿宋_GB2312" w:eastAsia="仿宋_GB2312" w:cs="仿宋_GB2312"/>
          <w:color w:val="auto"/>
          <w:szCs w:val="32"/>
          <w:u w:val="none"/>
          <w:lang w:val="en-US" w:eastAsia="zh-CN"/>
        </w:rPr>
        <w:t>:</w:t>
      </w:r>
      <w:r>
        <w:rPr>
          <w:rFonts w:hint="eastAsia" w:ascii="仿宋_GB2312" w:hAnsi="仿宋_GB2312" w:eastAsia="仿宋_GB2312" w:cs="仿宋_GB2312"/>
          <w:color w:val="auto"/>
          <w:szCs w:val="32"/>
          <w:u w:val="none"/>
          <w:lang w:eastAsia="zh-CN"/>
        </w:rPr>
        <w:t>当年预算</w:t>
      </w:r>
      <w:r>
        <w:rPr>
          <w:rFonts w:hint="eastAsia" w:ascii="仿宋_GB2312" w:hAnsi="仿宋_GB2312" w:cs="仿宋_GB2312"/>
          <w:color w:val="auto"/>
          <w:szCs w:val="32"/>
          <w:u w:val="none"/>
          <w:lang w:val="en-US" w:eastAsia="zh-CN"/>
        </w:rPr>
        <w:t>1.7</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0.73</w:t>
      </w:r>
      <w:r>
        <w:rPr>
          <w:rFonts w:hint="eastAsia" w:ascii="仿宋_GB2312" w:hAnsi="仿宋_GB2312" w:eastAsia="仿宋_GB2312" w:cs="仿宋_GB2312"/>
          <w:color w:val="auto"/>
          <w:szCs w:val="32"/>
          <w:u w:val="none"/>
        </w:rPr>
        <w:t>万元。其中：</w:t>
      </w:r>
    </w:p>
    <w:p>
      <w:pPr>
        <w:ind w:firstLine="640" w:firstLineChars="200"/>
        <w:jc w:val="both"/>
        <w:rPr>
          <w:rFonts w:hint="eastAsia" w:ascii="仿宋_GB2312" w:hAnsi="仿宋_GB2312" w:eastAsia="仿宋_GB2312" w:cs="仿宋_GB2312"/>
          <w:color w:val="auto"/>
          <w:szCs w:val="32"/>
          <w:u w:val="none"/>
          <w:lang w:val="en-US" w:eastAsia="zh-CN"/>
        </w:rPr>
      </w:pPr>
      <w:r>
        <w:rPr>
          <w:rFonts w:hint="eastAsia" w:ascii="仿宋_GB2312" w:hAnsi="仿宋_GB2312" w:eastAsia="仿宋_GB2312" w:cs="仿宋_GB2312"/>
          <w:color w:val="auto"/>
          <w:szCs w:val="32"/>
          <w:u w:val="none"/>
        </w:rPr>
        <w:t>1.因公出国（境）费_______万元，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年预算数增加（减少）_____万元，主要原因是_______________</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lang w:eastAsia="zh-CN"/>
        </w:rPr>
      </w:pPr>
      <w:r>
        <w:rPr>
          <w:rFonts w:hint="eastAsia" w:ascii="仿宋_GB2312" w:hAnsi="仿宋_GB2312" w:eastAsia="仿宋_GB2312" w:cs="仿宋_GB2312"/>
          <w:color w:val="auto"/>
          <w:szCs w:val="32"/>
          <w:u w:val="none"/>
        </w:rPr>
        <w:t>2.公务接待费</w:t>
      </w:r>
      <w:r>
        <w:rPr>
          <w:rFonts w:hint="eastAsia" w:ascii="仿宋_GB2312" w:hAnsi="仿宋_GB2312" w:cs="仿宋_GB2312"/>
          <w:color w:val="auto"/>
          <w:szCs w:val="32"/>
          <w:u w:val="none"/>
          <w:lang w:val="en-US" w:eastAsia="zh-CN"/>
        </w:rPr>
        <w:t>0.5</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0.5</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w:t>
      </w:r>
      <w:r>
        <w:rPr>
          <w:rFonts w:hint="eastAsia" w:ascii="仿宋_GB2312" w:hAnsi="仿宋_GB2312" w:cs="仿宋_GB2312"/>
          <w:color w:val="auto"/>
          <w:szCs w:val="32"/>
          <w:u w:val="none"/>
          <w:lang w:val="en-US" w:eastAsia="zh-CN"/>
        </w:rPr>
        <w:t>0.5</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结合</w:t>
      </w:r>
      <w:r>
        <w:rPr>
          <w:rFonts w:hint="eastAsia" w:ascii="仿宋_GB2312" w:hAnsi="仿宋_GB2312" w:cs="仿宋_GB2312"/>
          <w:color w:val="auto"/>
          <w:szCs w:val="32"/>
          <w:u w:val="none"/>
          <w:lang w:val="en-US" w:eastAsia="zh-CN"/>
        </w:rPr>
        <w:t>2023年度公务接待费使用情况进行调整</w:t>
      </w:r>
      <w:r>
        <w:rPr>
          <w:rFonts w:hint="eastAsia" w:ascii="仿宋_GB2312" w:hAnsi="仿宋_GB2312" w:eastAsia="仿宋_GB2312" w:cs="仿宋_GB2312"/>
          <w:color w:val="auto"/>
          <w:szCs w:val="32"/>
          <w:u w:val="none"/>
          <w:lang w:eastAsia="zh-CN"/>
        </w:rPr>
        <w:t>。</w:t>
      </w:r>
    </w:p>
    <w:p>
      <w:pPr>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3.公务用车购置及运行费</w:t>
      </w:r>
      <w:r>
        <w:rPr>
          <w:rFonts w:hint="eastAsia" w:ascii="仿宋_GB2312" w:hAnsi="仿宋_GB2312" w:cs="仿宋_GB2312"/>
          <w:color w:val="auto"/>
          <w:szCs w:val="32"/>
          <w:u w:val="none"/>
          <w:lang w:val="en-US" w:eastAsia="zh-CN"/>
        </w:rPr>
        <w:t>1.2</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cs="仿宋_GB2312"/>
          <w:color w:val="auto"/>
          <w:szCs w:val="32"/>
          <w:u w:val="none"/>
          <w:lang w:val="en-US" w:eastAsia="zh-CN"/>
        </w:rPr>
        <w:t>1.2</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1.23</w:t>
      </w:r>
      <w:r>
        <w:rPr>
          <w:rFonts w:hint="eastAsia" w:ascii="仿宋_GB2312" w:hAnsi="仿宋_GB2312" w:eastAsia="仿宋_GB2312" w:cs="仿宋_GB2312"/>
          <w:color w:val="auto"/>
          <w:szCs w:val="32"/>
          <w:u w:val="none"/>
        </w:rPr>
        <w:t>万元。公务用车运行维护费</w:t>
      </w:r>
      <w:r>
        <w:rPr>
          <w:rFonts w:hint="eastAsia" w:ascii="仿宋_GB2312" w:hAnsi="仿宋_GB2312" w:cs="仿宋_GB2312"/>
          <w:color w:val="auto"/>
          <w:szCs w:val="32"/>
          <w:u w:val="none"/>
          <w:lang w:val="en-US" w:eastAsia="zh-CN"/>
        </w:rPr>
        <w:t>1.2</w:t>
      </w:r>
      <w:r>
        <w:rPr>
          <w:rFonts w:hint="eastAsia" w:ascii="仿宋_GB2312" w:hAnsi="仿宋_GB2312" w:eastAsia="仿宋_GB2312" w:cs="仿宋_GB2312"/>
          <w:color w:val="auto"/>
          <w:szCs w:val="32"/>
          <w:u w:val="none"/>
        </w:rPr>
        <w:t>万元，</w:t>
      </w:r>
      <w:r>
        <w:rPr>
          <w:rFonts w:hint="eastAsia" w:ascii="仿宋_GB2312" w:hAnsi="仿宋_GB2312" w:eastAsia="仿宋_GB2312" w:cs="仿宋_GB2312"/>
          <w:color w:val="auto"/>
          <w:szCs w:val="32"/>
          <w:u w:val="none"/>
          <w:lang w:eastAsia="zh-CN"/>
        </w:rPr>
        <w:t>其中：当年预</w:t>
      </w:r>
      <w:r>
        <w:rPr>
          <w:rFonts w:hint="eastAsia" w:ascii="仿宋_GB2312" w:hAnsi="仿宋_GB2312" w:cs="仿宋_GB2312"/>
          <w:color w:val="auto"/>
          <w:szCs w:val="32"/>
          <w:u w:val="none"/>
          <w:lang w:val="en-US" w:eastAsia="zh-CN"/>
        </w:rPr>
        <w:t>1.2</w:t>
      </w:r>
      <w:r>
        <w:rPr>
          <w:rFonts w:hint="eastAsia" w:ascii="仿宋_GB2312" w:hAnsi="仿宋_GB2312" w:eastAsia="仿宋_GB2312" w:cs="仿宋_GB2312"/>
          <w:color w:val="auto"/>
          <w:szCs w:val="32"/>
          <w:u w:val="none"/>
          <w:lang w:eastAsia="zh-CN"/>
        </w:rPr>
        <w:t>万元；上年结转</w:t>
      </w:r>
      <w:r>
        <w:rPr>
          <w:rFonts w:hint="eastAsia" w:ascii="仿宋_GB2312" w:hAnsi="仿宋_GB2312" w:cs="仿宋_GB2312"/>
          <w:color w:val="auto"/>
          <w:szCs w:val="32"/>
          <w:u w:val="none"/>
          <w:lang w:val="en-US" w:eastAsia="zh-CN"/>
        </w:rPr>
        <w:t>0</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年预算数减少</w:t>
      </w:r>
      <w:r>
        <w:rPr>
          <w:rFonts w:hint="eastAsia" w:ascii="仿宋_GB2312" w:hAnsi="仿宋_GB2312" w:cs="仿宋_GB2312"/>
          <w:color w:val="auto"/>
          <w:szCs w:val="32"/>
          <w:u w:val="none"/>
          <w:lang w:val="en-US" w:eastAsia="zh-CN"/>
        </w:rPr>
        <w:t>1.23</w:t>
      </w:r>
      <w:r>
        <w:rPr>
          <w:rFonts w:hint="eastAsia" w:ascii="仿宋_GB2312" w:hAnsi="仿宋_GB2312" w:eastAsia="仿宋_GB2312" w:cs="仿宋_GB2312"/>
          <w:color w:val="auto"/>
          <w:szCs w:val="32"/>
          <w:u w:val="none"/>
        </w:rPr>
        <w:t>万元，主要原因是</w:t>
      </w:r>
      <w:r>
        <w:rPr>
          <w:rFonts w:hint="eastAsia" w:ascii="仿宋_GB2312" w:hAnsi="仿宋_GB2312" w:cs="仿宋_GB2312"/>
          <w:color w:val="auto"/>
          <w:szCs w:val="32"/>
          <w:u w:val="none"/>
          <w:lang w:eastAsia="zh-CN"/>
        </w:rPr>
        <w:t>结合</w:t>
      </w:r>
      <w:r>
        <w:rPr>
          <w:rFonts w:hint="eastAsia" w:ascii="仿宋_GB2312" w:hAnsi="仿宋_GB2312" w:cs="仿宋_GB2312"/>
          <w:color w:val="auto"/>
          <w:szCs w:val="32"/>
          <w:u w:val="none"/>
          <w:lang w:val="en-US" w:eastAsia="zh-CN"/>
        </w:rPr>
        <w:t>2023年度公车运行维护费使用情况进行调整</w:t>
      </w:r>
      <w:r>
        <w:rPr>
          <w:rFonts w:hint="eastAsia" w:ascii="仿宋_GB2312" w:hAnsi="仿宋_GB2312" w:eastAsia="仿宋_GB2312" w:cs="仿宋_GB2312"/>
          <w:color w:val="auto"/>
          <w:szCs w:val="32"/>
          <w:u w:val="none"/>
        </w:rPr>
        <w:t>；公务用车购置费_____万元，</w:t>
      </w:r>
      <w:r>
        <w:rPr>
          <w:rFonts w:hint="eastAsia" w:ascii="仿宋_GB2312" w:hAnsi="仿宋_GB2312" w:eastAsia="仿宋_GB2312" w:cs="仿宋_GB2312"/>
          <w:color w:val="auto"/>
          <w:szCs w:val="32"/>
          <w:u w:val="none"/>
          <w:lang w:eastAsia="zh-CN"/>
        </w:rPr>
        <w:t>其中：当年预算</w:t>
      </w:r>
      <w:r>
        <w:rPr>
          <w:rFonts w:hint="eastAsia" w:ascii="仿宋_GB2312" w:hAnsi="仿宋_GB2312" w:eastAsia="仿宋_GB2312" w:cs="仿宋_GB2312"/>
          <w:color w:val="auto"/>
          <w:szCs w:val="32"/>
          <w:u w:val="none"/>
        </w:rPr>
        <w:t>_______</w:t>
      </w:r>
      <w:r>
        <w:rPr>
          <w:rFonts w:hint="eastAsia" w:ascii="仿宋_GB2312" w:hAnsi="仿宋_GB2312" w:eastAsia="仿宋_GB2312" w:cs="仿宋_GB2312"/>
          <w:color w:val="auto"/>
          <w:szCs w:val="32"/>
          <w:u w:val="none"/>
          <w:lang w:eastAsia="zh-CN"/>
        </w:rPr>
        <w:t>万元；上年结转</w:t>
      </w:r>
      <w:r>
        <w:rPr>
          <w:rFonts w:hint="eastAsia" w:ascii="仿宋_GB2312" w:hAnsi="仿宋_GB2312" w:eastAsia="仿宋_GB2312" w:cs="仿宋_GB2312"/>
          <w:color w:val="auto"/>
          <w:szCs w:val="32"/>
          <w:u w:val="none"/>
        </w:rPr>
        <w:t>_____</w:t>
      </w:r>
      <w:r>
        <w:rPr>
          <w:rFonts w:hint="eastAsia" w:ascii="仿宋_GB2312" w:hAnsi="仿宋_GB2312" w:eastAsia="仿宋_GB2312" w:cs="仿宋_GB2312"/>
          <w:color w:val="auto"/>
          <w:szCs w:val="32"/>
          <w:u w:val="none"/>
          <w:lang w:eastAsia="zh-CN"/>
        </w:rPr>
        <w:t>万元。</w:t>
      </w:r>
      <w:r>
        <w:rPr>
          <w:rFonts w:hint="eastAsia" w:ascii="仿宋_GB2312" w:hAnsi="仿宋_GB2312" w:cs="仿宋_GB2312"/>
          <w:color w:val="auto"/>
          <w:szCs w:val="32"/>
          <w:u w:val="none"/>
          <w:lang w:val="en-US" w:eastAsia="zh-CN"/>
        </w:rPr>
        <w:t>2024</w:t>
      </w:r>
      <w:r>
        <w:rPr>
          <w:rFonts w:hint="eastAsia" w:ascii="仿宋_GB2312" w:hAnsi="仿宋_GB2312" w:eastAsia="仿宋_GB2312" w:cs="仿宋_GB2312"/>
          <w:color w:val="auto"/>
          <w:szCs w:val="32"/>
          <w:u w:val="none"/>
          <w:lang w:val="en-US" w:eastAsia="zh-CN"/>
        </w:rPr>
        <w:t>年当年预算数</w:t>
      </w:r>
      <w:r>
        <w:rPr>
          <w:rFonts w:hint="eastAsia" w:ascii="仿宋_GB2312" w:hAnsi="仿宋_GB2312" w:eastAsia="仿宋_GB2312" w:cs="仿宋_GB2312"/>
          <w:color w:val="auto"/>
          <w:szCs w:val="32"/>
          <w:u w:val="none"/>
        </w:rPr>
        <w:t>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年预算数增加（减少）_____万元，主要原因是_____________。</w:t>
      </w:r>
    </w:p>
    <w:p>
      <w:pPr>
        <w:ind w:firstLine="640" w:firstLineChars="200"/>
        <w:rPr>
          <w:rFonts w:eastAsia="楷体"/>
          <w:color w:val="auto"/>
          <w:szCs w:val="32"/>
          <w:u w:val="none"/>
        </w:rPr>
      </w:pPr>
      <w:r>
        <w:rPr>
          <w:rFonts w:eastAsia="楷体"/>
          <w:color w:val="auto"/>
          <w:szCs w:val="32"/>
          <w:u w:val="none"/>
        </w:rPr>
        <w:t>注：“三公”经费中包括的具体内容，按本部门《一般公共预算“三公”经费支出表》反映的实际情况</w:t>
      </w:r>
      <w:r>
        <w:rPr>
          <w:rFonts w:hint="eastAsia" w:eastAsia="楷体"/>
          <w:color w:val="auto"/>
          <w:szCs w:val="32"/>
          <w:u w:val="none"/>
        </w:rPr>
        <w:t>填写</w:t>
      </w:r>
      <w:r>
        <w:rPr>
          <w:rFonts w:eastAsia="楷体"/>
          <w:color w:val="auto"/>
          <w:szCs w:val="32"/>
          <w:u w:val="none"/>
        </w:rPr>
        <w:t>。</w:t>
      </w:r>
      <w:r>
        <w:rPr>
          <w:rFonts w:hint="eastAsia" w:eastAsia="楷体"/>
          <w:color w:val="auto"/>
          <w:szCs w:val="32"/>
          <w:u w:val="none"/>
          <w:lang w:eastAsia="zh-CN"/>
        </w:rPr>
        <w:t>2024</w:t>
      </w:r>
      <w:r>
        <w:rPr>
          <w:rFonts w:eastAsia="楷体"/>
          <w:color w:val="auto"/>
          <w:szCs w:val="32"/>
          <w:u w:val="none"/>
        </w:rPr>
        <w:t>年预算数要与当年公开数额保持一致。没有一般公共预算拨款的，直接表述为“本部门无一般公共预算拨款”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黑体"/>
          <w:color w:val="auto"/>
          <w:szCs w:val="32"/>
          <w:u w:val="none"/>
        </w:rPr>
      </w:pPr>
      <w:r>
        <w:rPr>
          <w:rFonts w:eastAsia="楷体"/>
          <w:color w:val="auto"/>
          <w:szCs w:val="32"/>
          <w:u w:val="none"/>
        </w:rPr>
        <w:br w:type="page"/>
      </w:r>
      <w:r>
        <w:rPr>
          <w:rFonts w:hint="eastAsia" w:ascii="黑体" w:hAnsi="黑体" w:eastAsia="黑体" w:cs="黑体"/>
          <w:color w:val="auto"/>
          <w:szCs w:val="32"/>
          <w:u w:val="none"/>
        </w:rPr>
        <w:t>八、</w:t>
      </w:r>
      <w:r>
        <w:rPr>
          <w:rFonts w:hint="eastAsia" w:ascii="黑体" w:hAnsi="黑体" w:eastAsia="黑体" w:cs="黑体"/>
          <w:color w:val="auto"/>
          <w:szCs w:val="32"/>
          <w:u w:val="none"/>
          <w:lang w:eastAsia="zh-CN"/>
        </w:rPr>
        <w:t>2024</w:t>
      </w:r>
      <w:r>
        <w:rPr>
          <w:rFonts w:hint="eastAsia" w:ascii="黑体" w:hAnsi="黑体" w:eastAsia="黑体" w:cs="黑体"/>
          <w:color w:val="auto"/>
          <w:szCs w:val="32"/>
          <w:u w:val="none"/>
        </w:rPr>
        <w:t>年政府性基金预算支出情况</w:t>
      </w:r>
    </w:p>
    <w:p>
      <w:pPr>
        <w:ind w:firstLine="64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科学技术（类）支出________万元，占________%，主要用于_____________________。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文化旅游体育与传媒（类）支出________万元，占________%，主要用于_____________________。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社会保障和就业（类）支出________万元，占________%，主要用于_____________________。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农林水支出（类）支出________万元，占________%，主要用于_____________________。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firstLineChars="200"/>
        <w:rPr>
          <w:rFonts w:eastAsia="楷体"/>
          <w:color w:val="auto"/>
          <w:szCs w:val="32"/>
          <w:u w:val="none"/>
        </w:rPr>
      </w:pPr>
      <w:r>
        <w:rPr>
          <w:rFonts w:eastAsia="楷体"/>
          <w:color w:val="auto"/>
          <w:szCs w:val="32"/>
          <w:u w:val="none"/>
        </w:rPr>
        <w:t>注：政府性基金预算支出中包括的具体内容，按本部门《</w:t>
      </w:r>
      <w:r>
        <w:rPr>
          <w:rFonts w:hint="eastAsia" w:eastAsia="楷体"/>
          <w:color w:val="auto"/>
          <w:szCs w:val="32"/>
          <w:u w:val="none"/>
        </w:rPr>
        <w:t>政府性基金预算支出表</w:t>
      </w:r>
      <w:r>
        <w:rPr>
          <w:rFonts w:eastAsia="楷体"/>
          <w:color w:val="auto"/>
          <w:szCs w:val="32"/>
          <w:u w:val="none"/>
        </w:rPr>
        <w:t>》反映的实际情况取舍。没有政府性基金预算拨款的，直接表述为“本部门无政府性基金预算拨款”</w:t>
      </w:r>
      <w:r>
        <w:rPr>
          <w:rFonts w:hint="eastAsia" w:eastAsia="楷体"/>
          <w:color w:val="auto"/>
          <w:szCs w:val="32"/>
          <w:u w:val="none"/>
        </w:rPr>
        <w:t>，不得直接删除</w:t>
      </w:r>
      <w:r>
        <w:rPr>
          <w:rFonts w:eastAsia="楷体"/>
          <w:color w:val="auto"/>
          <w:szCs w:val="32"/>
          <w:u w:val="none"/>
        </w:rPr>
        <w:t>。</w:t>
      </w:r>
    </w:p>
    <w:p>
      <w:pPr>
        <w:ind w:firstLine="640" w:firstLineChars="200"/>
        <w:rPr>
          <w:rFonts w:eastAsia="楷体"/>
          <w:color w:val="auto"/>
          <w:szCs w:val="32"/>
          <w:u w:val="none"/>
        </w:rPr>
      </w:pPr>
    </w:p>
    <w:p>
      <w:pPr>
        <w:ind w:firstLine="640" w:firstLineChars="200"/>
        <w:rPr>
          <w:rFonts w:hint="eastAsia" w:ascii="黑体" w:hAnsi="黑体" w:eastAsia="黑体" w:cs="黑体"/>
          <w:color w:val="auto"/>
          <w:szCs w:val="32"/>
          <w:highlight w:val="none"/>
          <w:u w:val="none"/>
        </w:rPr>
      </w:pPr>
      <w:r>
        <w:rPr>
          <w:rFonts w:hint="eastAsia" w:ascii="黑体" w:hAnsi="黑体" w:eastAsia="黑体" w:cs="黑体"/>
          <w:color w:val="auto"/>
          <w:szCs w:val="32"/>
          <w:highlight w:val="none"/>
          <w:u w:val="none"/>
        </w:rPr>
        <w:t>九、</w:t>
      </w:r>
      <w:r>
        <w:rPr>
          <w:rFonts w:hint="eastAsia" w:ascii="黑体" w:hAnsi="黑体" w:eastAsia="黑体" w:cs="黑体"/>
          <w:color w:val="auto"/>
          <w:szCs w:val="32"/>
          <w:highlight w:val="none"/>
          <w:u w:val="none"/>
          <w:lang w:eastAsia="zh-CN"/>
        </w:rPr>
        <w:t>2024</w:t>
      </w:r>
      <w:r>
        <w:rPr>
          <w:rFonts w:hint="eastAsia" w:ascii="黑体" w:hAnsi="黑体" w:eastAsia="黑体" w:cs="黑体"/>
          <w:color w:val="auto"/>
          <w:szCs w:val="32"/>
          <w:highlight w:val="none"/>
          <w:u w:val="none"/>
        </w:rPr>
        <w:t>年国有资本经营预算支出情况</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cs="仿宋_GB2312"/>
          <w:color w:val="auto"/>
          <w:szCs w:val="32"/>
          <w:highlight w:val="none"/>
          <w:u w:val="none"/>
          <w:lang w:eastAsia="zh-CN"/>
        </w:rPr>
        <w:t>2024</w:t>
      </w:r>
      <w:r>
        <w:rPr>
          <w:rFonts w:hint="eastAsia" w:ascii="仿宋_GB2312" w:hAnsi="仿宋_GB2312" w:eastAsia="仿宋_GB2312" w:cs="仿宋_GB2312"/>
          <w:color w:val="auto"/>
          <w:szCs w:val="32"/>
          <w:highlight w:val="none"/>
          <w:u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解决历史遗留问题及改革（款）支出________万元，占________%，主要用于_____________________。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国有企业资本金注入（款）支出________万元，占________%，主要用于_____________________。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国有企业政策性补贴（款）支出________万元，占________%，主要用于_____________________。</w:t>
      </w:r>
    </w:p>
    <w:p>
      <w:pPr>
        <w:ind w:firstLine="640"/>
        <w:rPr>
          <w:rFonts w:hint="eastAsia" w:ascii="仿宋_GB2312" w:hAnsi="仿宋_GB2312" w:eastAsia="仿宋_GB2312" w:cs="仿宋_GB2312"/>
          <w:color w:val="auto"/>
          <w:szCs w:val="32"/>
          <w:highlight w:val="none"/>
          <w:u w:val="none"/>
        </w:rPr>
      </w:pPr>
      <w:r>
        <w:rPr>
          <w:rFonts w:hint="eastAsia" w:ascii="仿宋_GB2312" w:hAnsi="仿宋_GB2312" w:eastAsia="仿宋_GB2312" w:cs="仿宋_GB2312"/>
          <w:color w:val="auto"/>
          <w:szCs w:val="32"/>
          <w:highlight w:val="none"/>
          <w:u w:val="none"/>
        </w:rPr>
        <w:t>其他国有资本经营预算（款）支出________万元，占________%，主要用于_____________________。</w:t>
      </w: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color w:val="auto"/>
          <w:szCs w:val="32"/>
          <w:u w:val="none"/>
        </w:rPr>
      </w:pPr>
    </w:p>
    <w:p>
      <w:pPr>
        <w:ind w:firstLine="640"/>
        <w:rPr>
          <w:rFonts w:eastAsia="楷体"/>
          <w:color w:val="auto"/>
          <w:szCs w:val="32"/>
          <w:u w:val="none"/>
        </w:rPr>
      </w:pPr>
    </w:p>
    <w:p>
      <w:pPr>
        <w:ind w:firstLine="640"/>
        <w:rPr>
          <w:rFonts w:eastAsia="楷体"/>
          <w:color w:val="auto"/>
          <w:szCs w:val="32"/>
          <w:u w:val="none"/>
        </w:rPr>
      </w:pPr>
      <w:r>
        <w:rPr>
          <w:rFonts w:eastAsia="楷体"/>
          <w:color w:val="auto"/>
          <w:szCs w:val="32"/>
          <w:u w:val="none"/>
        </w:rPr>
        <w:t>注：</w:t>
      </w:r>
      <w:r>
        <w:rPr>
          <w:rFonts w:hint="eastAsia" w:eastAsia="楷体"/>
          <w:color w:val="auto"/>
          <w:szCs w:val="32"/>
          <w:u w:val="none"/>
        </w:rPr>
        <w:t>国有资本经营预算</w:t>
      </w:r>
      <w:r>
        <w:rPr>
          <w:rFonts w:eastAsia="楷体"/>
          <w:color w:val="auto"/>
          <w:szCs w:val="32"/>
          <w:u w:val="none"/>
        </w:rPr>
        <w:t>支出中包括的具体内容，按本部门《</w:t>
      </w:r>
      <w:r>
        <w:rPr>
          <w:rFonts w:hint="eastAsia" w:eastAsia="楷体"/>
          <w:color w:val="auto"/>
          <w:szCs w:val="32"/>
          <w:u w:val="none"/>
        </w:rPr>
        <w:t>国有资本经营预算支出表</w:t>
      </w:r>
      <w:r>
        <w:rPr>
          <w:rFonts w:eastAsia="楷体"/>
          <w:color w:val="auto"/>
          <w:szCs w:val="32"/>
          <w:u w:val="none"/>
        </w:rPr>
        <w:t>》反映的实际情况取舍。没有</w:t>
      </w:r>
      <w:r>
        <w:rPr>
          <w:rFonts w:hint="eastAsia" w:eastAsia="楷体"/>
          <w:color w:val="auto"/>
          <w:szCs w:val="32"/>
          <w:u w:val="none"/>
        </w:rPr>
        <w:t>国有资本经营</w:t>
      </w:r>
      <w:r>
        <w:rPr>
          <w:rFonts w:eastAsia="楷体"/>
          <w:color w:val="auto"/>
          <w:szCs w:val="32"/>
          <w:u w:val="none"/>
        </w:rPr>
        <w:t>预算拨款的，直接表述为“本部门无</w:t>
      </w:r>
      <w:r>
        <w:rPr>
          <w:rFonts w:hint="eastAsia" w:eastAsia="楷体"/>
          <w:color w:val="auto"/>
          <w:szCs w:val="32"/>
          <w:u w:val="none"/>
        </w:rPr>
        <w:t>国有资本经营</w:t>
      </w:r>
      <w:r>
        <w:rPr>
          <w:rFonts w:eastAsia="楷体"/>
          <w:color w:val="auto"/>
          <w:szCs w:val="32"/>
          <w:u w:val="none"/>
        </w:rPr>
        <w:t>预算拨款”</w:t>
      </w:r>
      <w:r>
        <w:rPr>
          <w:rFonts w:hint="eastAsia" w:eastAsia="楷体"/>
          <w:color w:val="auto"/>
          <w:szCs w:val="32"/>
          <w:u w:val="none"/>
        </w:rPr>
        <w:t>，不得直接删除</w:t>
      </w:r>
      <w:r>
        <w:rPr>
          <w:rFonts w:eastAsia="楷体"/>
          <w:color w:val="auto"/>
          <w:szCs w:val="32"/>
          <w:u w:val="none"/>
        </w:rPr>
        <w:t>。</w:t>
      </w:r>
    </w:p>
    <w:p>
      <w:pPr>
        <w:rPr>
          <w:rFonts w:eastAsia="楷体"/>
          <w:color w:val="auto"/>
          <w:szCs w:val="32"/>
          <w:u w:val="none"/>
        </w:rPr>
      </w:pPr>
    </w:p>
    <w:p>
      <w:pPr>
        <w:ind w:firstLine="640"/>
        <w:rPr>
          <w:rFonts w:eastAsia="黑体"/>
          <w:color w:val="auto"/>
          <w:szCs w:val="32"/>
          <w:u w:val="none"/>
        </w:rPr>
      </w:pPr>
      <w:r>
        <w:rPr>
          <w:rFonts w:hint="eastAsia" w:eastAsia="黑体"/>
          <w:color w:val="auto"/>
          <w:szCs w:val="32"/>
          <w:u w:val="none"/>
        </w:rPr>
        <w:t>十</w:t>
      </w:r>
      <w:r>
        <w:rPr>
          <w:rFonts w:eastAsia="黑体"/>
          <w:color w:val="auto"/>
          <w:szCs w:val="32"/>
          <w:u w:val="none"/>
        </w:rPr>
        <w:t>、其他重要事项的说明情况</w:t>
      </w:r>
    </w:p>
    <w:p>
      <w:pPr>
        <w:spacing w:line="540" w:lineRule="exact"/>
        <w:ind w:firstLine="640" w:firstLineChars="200"/>
        <w:rPr>
          <w:rFonts w:eastAsia="楷体"/>
          <w:color w:val="auto"/>
          <w:szCs w:val="32"/>
          <w:u w:val="none"/>
        </w:rPr>
      </w:pPr>
      <w:r>
        <w:rPr>
          <w:rFonts w:eastAsia="楷体"/>
          <w:color w:val="auto"/>
          <w:szCs w:val="32"/>
          <w:u w:val="none"/>
        </w:rPr>
        <w:t>（一）机关运行经费</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年部门本级、_______等____家行政单位以及_______等____家参公管理事业单位的机关运行经费财政拨款预算_______万元，比</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（二）政府采购情况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color w:val="auto"/>
          <w:szCs w:val="32"/>
          <w:u w:val="none"/>
        </w:rPr>
      </w:pPr>
      <w:r>
        <w:rPr>
          <w:rFonts w:eastAsia="楷体"/>
          <w:color w:val="auto"/>
          <w:szCs w:val="32"/>
          <w:u w:val="none"/>
        </w:rPr>
        <w:t>（三）国有资产占有使用情况</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szCs w:val="32"/>
          <w:u w:val="none"/>
        </w:rPr>
        <w:t>截至</w:t>
      </w:r>
      <w:r>
        <w:rPr>
          <w:rFonts w:hint="eastAsia" w:ascii="仿宋_GB2312" w:hAnsi="仿宋_GB2312" w:cs="仿宋_GB2312"/>
          <w:color w:val="auto"/>
          <w:szCs w:val="32"/>
          <w:u w:val="none"/>
          <w:lang w:eastAsia="zh-CN"/>
        </w:rPr>
        <w:t>2023</w:t>
      </w:r>
      <w:r>
        <w:rPr>
          <w:rFonts w:hint="eastAsia" w:ascii="仿宋_GB2312" w:hAnsi="仿宋_GB2312" w:eastAsia="仿宋_GB2312" w:cs="仿宋_GB2312"/>
          <w:color w:val="auto"/>
          <w:szCs w:val="32"/>
          <w:u w:val="none"/>
        </w:rPr>
        <w:t>年8月底，部门本级和所属各预算单位共有车辆</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szCs w:val="32"/>
          <w:u w:val="none"/>
        </w:rPr>
        <w:t>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color w:val="auto"/>
          <w:szCs w:val="32"/>
          <w:u w:val="none"/>
        </w:rPr>
      </w:pPr>
      <w:r>
        <w:rPr>
          <w:rFonts w:hint="eastAsia" w:ascii="仿宋_GB2312" w:hAnsi="仿宋_GB2312" w:cs="仿宋_GB2312"/>
          <w:color w:val="auto"/>
          <w:szCs w:val="32"/>
          <w:u w:val="none"/>
          <w:lang w:eastAsia="zh-CN"/>
        </w:rPr>
        <w:t>2024</w:t>
      </w:r>
      <w:r>
        <w:rPr>
          <w:rFonts w:hint="eastAsia" w:ascii="仿宋_GB2312" w:hAnsi="仿宋_GB2312" w:eastAsia="仿宋_GB2312" w:cs="仿宋_GB2312"/>
          <w:color w:val="auto"/>
          <w:szCs w:val="32"/>
          <w:u w:val="none"/>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color w:val="auto"/>
          <w:szCs w:val="32"/>
          <w:highlight w:val="none"/>
          <w:u w:val="none"/>
        </w:rPr>
      </w:pPr>
      <w:r>
        <w:rPr>
          <w:rFonts w:hint="eastAsia" w:eastAsia="楷体"/>
          <w:color w:val="auto"/>
          <w:szCs w:val="32"/>
          <w:highlight w:val="none"/>
          <w:u w:val="none"/>
        </w:rPr>
        <w:t>项目支出情况说明</w:t>
      </w:r>
    </w:p>
    <w:p>
      <w:pPr>
        <w:spacing w:line="540" w:lineRule="exact"/>
        <w:ind w:firstLine="640" w:firstLineChars="200"/>
        <w:rPr>
          <w:rFonts w:hint="eastAsia" w:ascii="仿宋_GB2312" w:hAnsi="仿宋_GB2312" w:eastAsia="仿宋_GB2312" w:cs="仿宋_GB2312"/>
          <w:color w:val="auto"/>
          <w:highlight w:val="none"/>
          <w:u w:val="none"/>
        </w:rPr>
      </w:pPr>
      <w:r>
        <w:rPr>
          <w:rFonts w:hint="eastAsia" w:ascii="仿宋_GB2312" w:hAnsi="仿宋_GB2312" w:cs="仿宋_GB2312"/>
          <w:color w:val="auto"/>
          <w:highlight w:val="none"/>
          <w:u w:val="none"/>
          <w:lang w:eastAsia="zh-CN"/>
        </w:rPr>
        <w:t>2024</w:t>
      </w:r>
      <w:r>
        <w:rPr>
          <w:rFonts w:hint="eastAsia" w:ascii="仿宋_GB2312" w:hAnsi="仿宋_GB2312" w:eastAsia="仿宋_GB2312" w:cs="仿宋_GB2312"/>
          <w:color w:val="auto"/>
          <w:highlight w:val="none"/>
          <w:u w:val="none"/>
        </w:rPr>
        <w:t>年部门项目支出</w:t>
      </w:r>
      <w:r>
        <w:rPr>
          <w:rFonts w:hint="eastAsia" w:ascii="仿宋_GB2312" w:hAnsi="仿宋_GB2312" w:cs="仿宋_GB2312"/>
          <w:color w:val="auto"/>
          <w:szCs w:val="32"/>
          <w:highlight w:val="none"/>
          <w:u w:val="none"/>
          <w:lang w:val="en-US" w:eastAsia="zh-CN"/>
        </w:rPr>
        <w:t>60.8</w:t>
      </w:r>
      <w:r>
        <w:rPr>
          <w:rFonts w:hint="eastAsia" w:ascii="仿宋_GB2312" w:hAnsi="仿宋_GB2312" w:eastAsia="仿宋_GB2312" w:cs="仿宋_GB2312"/>
          <w:color w:val="auto"/>
          <w:szCs w:val="32"/>
          <w:highlight w:val="none"/>
          <w:u w:val="none"/>
        </w:rPr>
        <w:t>万元，其中：一级项目</w:t>
      </w:r>
      <w:r>
        <w:rPr>
          <w:rFonts w:hint="eastAsia" w:ascii="仿宋_GB2312" w:hAnsi="仿宋_GB2312" w:cs="仿宋_GB2312"/>
          <w:color w:val="auto"/>
          <w:szCs w:val="32"/>
          <w:highlight w:val="none"/>
          <w:u w:val="none"/>
          <w:lang w:val="en-US" w:eastAsia="zh-CN"/>
        </w:rPr>
        <w:t>2</w:t>
      </w:r>
      <w:r>
        <w:rPr>
          <w:rFonts w:hint="eastAsia" w:ascii="仿宋_GB2312" w:hAnsi="仿宋_GB2312" w:eastAsia="仿宋_GB2312" w:cs="仿宋_GB2312"/>
          <w:color w:val="auto"/>
          <w:szCs w:val="32"/>
          <w:highlight w:val="none"/>
          <w:u w:val="none"/>
        </w:rPr>
        <w:t>个，二级项目</w:t>
      </w:r>
      <w:r>
        <w:rPr>
          <w:rFonts w:hint="eastAsia" w:ascii="仿宋_GB2312" w:hAnsi="仿宋_GB2312" w:cs="仿宋_GB2312"/>
          <w:color w:val="auto"/>
          <w:szCs w:val="32"/>
          <w:highlight w:val="none"/>
          <w:u w:val="none"/>
          <w:lang w:val="en-US" w:eastAsia="zh-CN"/>
        </w:rPr>
        <w:t>2</w:t>
      </w:r>
      <w:r>
        <w:rPr>
          <w:rFonts w:hint="eastAsia" w:ascii="仿宋_GB2312" w:hAnsi="仿宋_GB2312" w:eastAsia="仿宋_GB2312" w:cs="仿宋_GB2312"/>
          <w:color w:val="auto"/>
          <w:szCs w:val="32"/>
          <w:highlight w:val="none"/>
          <w:u w:val="none"/>
        </w:rPr>
        <w:t>个；使用本年拨款</w:t>
      </w:r>
      <w:r>
        <w:rPr>
          <w:rFonts w:hint="eastAsia" w:ascii="仿宋_GB2312" w:hAnsi="仿宋_GB2312" w:cs="仿宋_GB2312"/>
          <w:color w:val="auto"/>
          <w:szCs w:val="32"/>
          <w:highlight w:val="none"/>
          <w:u w:val="none"/>
          <w:lang w:val="en-US" w:eastAsia="zh-CN"/>
        </w:rPr>
        <w:t>60.8</w:t>
      </w:r>
      <w:r>
        <w:rPr>
          <w:rFonts w:hint="eastAsia" w:ascii="仿宋_GB2312" w:hAnsi="仿宋_GB2312" w:eastAsia="仿宋_GB2312" w:cs="仿宋_GB2312"/>
          <w:color w:val="auto"/>
          <w:szCs w:val="32"/>
          <w:highlight w:val="none"/>
          <w:u w:val="none"/>
        </w:rPr>
        <w:t>万元，财政拨款结转</w:t>
      </w:r>
      <w:r>
        <w:rPr>
          <w:rFonts w:hint="eastAsia" w:ascii="仿宋_GB2312" w:hAnsi="仿宋_GB2312" w:cs="仿宋_GB2312"/>
          <w:color w:val="auto"/>
          <w:szCs w:val="32"/>
          <w:highlight w:val="none"/>
          <w:u w:val="none"/>
          <w:lang w:val="en-US" w:eastAsia="zh-CN"/>
        </w:rPr>
        <w:t>0</w:t>
      </w:r>
      <w:r>
        <w:rPr>
          <w:rFonts w:hint="eastAsia" w:ascii="仿宋_GB2312" w:hAnsi="仿宋_GB2312" w:eastAsia="仿宋_GB2312" w:cs="仿宋_GB2312"/>
          <w:color w:val="auto"/>
          <w:szCs w:val="32"/>
          <w:highlight w:val="none"/>
          <w:u w:val="none"/>
        </w:rPr>
        <w:t>万元。</w:t>
      </w:r>
    </w:p>
    <w:p>
      <w:pPr>
        <w:spacing w:line="540" w:lineRule="exact"/>
        <w:ind w:firstLine="640" w:firstLineChars="200"/>
        <w:rPr>
          <w:rFonts w:eastAsia="楷体"/>
          <w:color w:val="auto"/>
          <w:szCs w:val="32"/>
          <w:u w:val="none"/>
        </w:rPr>
      </w:pPr>
      <w:r>
        <w:rPr>
          <w:rFonts w:hint="eastAsia" w:eastAsia="楷体"/>
          <w:color w:val="auto"/>
          <w:szCs w:val="32"/>
          <w:u w:val="none"/>
        </w:rPr>
        <w:t>（五）项目支出绩效目标情况说明</w:t>
      </w:r>
    </w:p>
    <w:p>
      <w:pPr>
        <w:ind w:firstLine="645"/>
        <w:rPr>
          <w:rFonts w:hint="eastAsia" w:ascii="仿宋_GB2312" w:hAnsi="仿宋_GB2312" w:eastAsia="仿宋_GB2312" w:cs="仿宋_GB2312"/>
          <w:color w:val="auto"/>
          <w:szCs w:val="32"/>
          <w:u w:val="none"/>
        </w:rPr>
      </w:pPr>
      <w:r>
        <w:rPr>
          <w:rFonts w:hint="eastAsia" w:ascii="仿宋_GB2312" w:hAnsi="仿宋_GB2312" w:eastAsia="仿宋_GB2312" w:cs="仿宋_GB2312"/>
          <w:color w:val="auto"/>
          <w:u w:val="none"/>
        </w:rPr>
        <w:t>按照全面实施预算绩效管理的要求，结合本部门职能和重点工作，</w:t>
      </w:r>
      <w:r>
        <w:rPr>
          <w:rFonts w:hint="eastAsia" w:ascii="仿宋_GB2312" w:hAnsi="仿宋_GB2312" w:cs="仿宋_GB2312"/>
          <w:color w:val="auto"/>
          <w:u w:val="none"/>
          <w:lang w:eastAsia="zh-CN"/>
        </w:rPr>
        <w:t>2024</w:t>
      </w:r>
      <w:r>
        <w:rPr>
          <w:rFonts w:hint="eastAsia" w:ascii="仿宋_GB2312" w:hAnsi="仿宋_GB2312" w:eastAsia="仿宋_GB2312" w:cs="仿宋_GB2312"/>
          <w:color w:val="auto"/>
          <w:u w:val="none"/>
        </w:rPr>
        <w:t>年确定</w:t>
      </w:r>
      <w:r>
        <w:rPr>
          <w:rFonts w:hint="eastAsia" w:ascii="仿宋_GB2312" w:hAnsi="仿宋_GB2312" w:cs="仿宋_GB2312"/>
          <w:color w:val="auto"/>
          <w:szCs w:val="32"/>
          <w:u w:val="none"/>
          <w:lang w:val="en-US" w:eastAsia="zh-CN"/>
        </w:rPr>
        <w:t>2</w:t>
      </w:r>
      <w:r>
        <w:rPr>
          <w:rFonts w:hint="eastAsia" w:ascii="仿宋_GB2312" w:hAnsi="仿宋_GB2312" w:eastAsia="仿宋_GB2312" w:cs="仿宋_GB2312"/>
          <w:color w:val="auto"/>
          <w:u w:val="none"/>
        </w:rPr>
        <w:t>个一级项目支出的绩效目标和指标向社会公开，涉及金额</w:t>
      </w:r>
      <w:r>
        <w:rPr>
          <w:rFonts w:hint="eastAsia" w:ascii="仿宋_GB2312" w:hAnsi="仿宋_GB2312" w:cs="仿宋_GB2312"/>
          <w:color w:val="auto"/>
          <w:szCs w:val="32"/>
          <w:u w:val="none"/>
          <w:lang w:val="en-US" w:eastAsia="zh-CN"/>
        </w:rPr>
        <w:t>60.8</w:t>
      </w:r>
      <w:r>
        <w:rPr>
          <w:rFonts w:hint="eastAsia" w:ascii="仿宋_GB2312" w:hAnsi="仿宋_GB2312" w:eastAsia="仿宋_GB2312" w:cs="仿宋_GB2312"/>
          <w:color w:val="auto"/>
          <w:u w:val="none"/>
        </w:rPr>
        <w:t>万元。</w:t>
      </w:r>
    </w:p>
    <w:p>
      <w:pPr>
        <w:ind w:firstLine="645"/>
        <w:rPr>
          <w:rFonts w:eastAsia="楷体"/>
          <w:color w:val="auto"/>
          <w:szCs w:val="32"/>
          <w:u w:val="none"/>
        </w:rPr>
      </w:pPr>
    </w:p>
    <w:p>
      <w:pPr>
        <w:spacing w:line="540" w:lineRule="exact"/>
        <w:ind w:firstLine="640" w:firstLineChars="200"/>
        <w:rPr>
          <w:rFonts w:eastAsia="楷体"/>
          <w:color w:val="auto"/>
          <w:szCs w:val="32"/>
          <w:u w:val="none"/>
        </w:rPr>
      </w:pPr>
      <w:r>
        <w:rPr>
          <w:rFonts w:eastAsia="楷体"/>
          <w:color w:val="auto"/>
          <w:szCs w:val="32"/>
          <w:u w:val="none"/>
        </w:rPr>
        <w:t>注：没有需要按规定说明情况的，直接表述为“本部门无______”，不得直接删除。</w:t>
      </w:r>
    </w:p>
    <w:p>
      <w:pPr>
        <w:spacing w:line="540" w:lineRule="exact"/>
        <w:ind w:firstLine="640" w:firstLineChars="200"/>
        <w:rPr>
          <w:color w:val="auto"/>
          <w:szCs w:val="32"/>
          <w:u w:val="none"/>
        </w:rPr>
      </w:pPr>
      <w:r>
        <w:rPr>
          <w:rFonts w:eastAsia="楷体"/>
          <w:color w:val="auto"/>
          <w:szCs w:val="32"/>
          <w:u w:val="none"/>
        </w:rPr>
        <w:br w:type="page"/>
      </w:r>
    </w:p>
    <w:p>
      <w:pPr>
        <w:ind w:firstLine="640" w:firstLineChars="200"/>
        <w:jc w:val="center"/>
        <w:rPr>
          <w:rFonts w:eastAsia="黑体"/>
          <w:color w:val="auto"/>
          <w:u w:val="none"/>
        </w:rPr>
      </w:pPr>
      <w:r>
        <w:rPr>
          <w:rFonts w:eastAsia="黑体"/>
          <w:color w:val="auto"/>
          <w:u w:val="none"/>
        </w:rPr>
        <w:t>第四部分 名词解释</w:t>
      </w:r>
    </w:p>
    <w:p>
      <w:pPr>
        <w:ind w:firstLine="640" w:firstLineChars="200"/>
        <w:jc w:val="center"/>
        <w:rPr>
          <w:rFonts w:eastAsia="黑体"/>
          <w:color w:val="auto"/>
          <w:u w:val="none"/>
        </w:rPr>
      </w:pPr>
    </w:p>
    <w:p>
      <w:pPr>
        <w:ind w:firstLine="640" w:firstLineChars="200"/>
        <w:rPr>
          <w:color w:val="auto"/>
          <w:szCs w:val="32"/>
          <w:u w:val="none"/>
        </w:rPr>
      </w:pPr>
      <w:r>
        <w:rPr>
          <w:rFonts w:eastAsia="楷体"/>
          <w:color w:val="auto"/>
          <w:szCs w:val="32"/>
          <w:u w:val="none"/>
        </w:rPr>
        <w:t>（一）一般公共预算拨款收入：</w:t>
      </w:r>
      <w:r>
        <w:rPr>
          <w:color w:val="auto"/>
          <w:szCs w:val="32"/>
          <w:u w:val="none"/>
        </w:rPr>
        <w:t>指省级财政通过当年一般公共预算拨付的资金。</w:t>
      </w:r>
    </w:p>
    <w:p>
      <w:pPr>
        <w:ind w:firstLine="640" w:firstLineChars="200"/>
        <w:rPr>
          <w:color w:val="auto"/>
          <w:szCs w:val="32"/>
          <w:u w:val="none"/>
        </w:rPr>
      </w:pPr>
      <w:r>
        <w:rPr>
          <w:rFonts w:eastAsia="楷体"/>
          <w:color w:val="auto"/>
          <w:szCs w:val="32"/>
          <w:u w:val="none"/>
        </w:rPr>
        <w:t>（二）</w:t>
      </w:r>
      <w:r>
        <w:rPr>
          <w:rFonts w:hint="eastAsia" w:eastAsia="楷体"/>
          <w:color w:val="auto"/>
          <w:szCs w:val="32"/>
          <w:u w:val="none"/>
        </w:rPr>
        <w:t>政府性基金预算拨款收入：</w:t>
      </w:r>
      <w:r>
        <w:rPr>
          <w:color w:val="auto"/>
          <w:szCs w:val="32"/>
          <w:u w:val="none"/>
        </w:rPr>
        <w:t>指省级财政通过当年</w:t>
      </w:r>
      <w:r>
        <w:rPr>
          <w:rFonts w:hint="eastAsia"/>
          <w:color w:val="auto"/>
          <w:szCs w:val="32"/>
          <w:u w:val="none"/>
        </w:rPr>
        <w:t>政府性基金</w:t>
      </w:r>
      <w:r>
        <w:rPr>
          <w:color w:val="auto"/>
          <w:szCs w:val="32"/>
          <w:u w:val="none"/>
        </w:rPr>
        <w:t>预算拨付的资金。</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三</w:t>
      </w:r>
      <w:r>
        <w:rPr>
          <w:rFonts w:eastAsia="楷体"/>
          <w:color w:val="auto"/>
          <w:szCs w:val="32"/>
          <w:u w:val="none"/>
        </w:rPr>
        <w:t>）</w:t>
      </w:r>
      <w:r>
        <w:rPr>
          <w:rFonts w:hint="eastAsia" w:eastAsia="楷体"/>
          <w:color w:val="auto"/>
          <w:szCs w:val="32"/>
          <w:u w:val="none"/>
        </w:rPr>
        <w:t>国有资本经营预算拨款收入：</w:t>
      </w:r>
      <w:r>
        <w:rPr>
          <w:color w:val="auto"/>
          <w:szCs w:val="32"/>
          <w:u w:val="none"/>
        </w:rPr>
        <w:t>指省级财政通过当年</w:t>
      </w:r>
      <w:r>
        <w:rPr>
          <w:rFonts w:hint="eastAsia"/>
          <w:color w:val="auto"/>
          <w:szCs w:val="32"/>
          <w:u w:val="none"/>
        </w:rPr>
        <w:t>国有资本经营</w:t>
      </w:r>
      <w:r>
        <w:rPr>
          <w:color w:val="auto"/>
          <w:szCs w:val="32"/>
          <w:u w:val="none"/>
        </w:rPr>
        <w:t>预算拨付的资金。</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四</w:t>
      </w:r>
      <w:r>
        <w:rPr>
          <w:rFonts w:eastAsia="楷体"/>
          <w:color w:val="auto"/>
          <w:szCs w:val="32"/>
          <w:u w:val="none"/>
        </w:rPr>
        <w:t>）</w:t>
      </w:r>
      <w:r>
        <w:rPr>
          <w:rFonts w:hint="eastAsia" w:eastAsia="楷体"/>
          <w:color w:val="auto"/>
          <w:szCs w:val="32"/>
          <w:u w:val="none"/>
        </w:rPr>
        <w:t>财政专户管理资金收入</w:t>
      </w:r>
      <w:r>
        <w:rPr>
          <w:rFonts w:eastAsia="楷体"/>
          <w:color w:val="auto"/>
          <w:szCs w:val="32"/>
          <w:u w:val="none"/>
        </w:rPr>
        <w:t>：</w:t>
      </w:r>
      <w:r>
        <w:rPr>
          <w:rFonts w:hint="eastAsia"/>
          <w:color w:val="auto"/>
          <w:szCs w:val="32"/>
          <w:u w:val="none"/>
        </w:rPr>
        <w:t>指未纳入预算并实行财政专户管理的资金收入。</w:t>
      </w:r>
    </w:p>
    <w:p>
      <w:pPr>
        <w:ind w:firstLine="640"/>
        <w:rPr>
          <w:color w:val="auto"/>
          <w:szCs w:val="32"/>
          <w:u w:val="none"/>
        </w:rPr>
      </w:pPr>
      <w:r>
        <w:rPr>
          <w:rFonts w:hint="eastAsia" w:eastAsia="楷体"/>
          <w:color w:val="auto"/>
          <w:szCs w:val="32"/>
          <w:u w:val="none"/>
        </w:rPr>
        <w:t>（五）</w:t>
      </w:r>
      <w:r>
        <w:rPr>
          <w:rFonts w:eastAsia="楷体"/>
          <w:color w:val="auto"/>
          <w:szCs w:val="32"/>
          <w:u w:val="none"/>
        </w:rPr>
        <w:t>事业收入：</w:t>
      </w:r>
      <w:r>
        <w:rPr>
          <w:color w:val="auto"/>
          <w:szCs w:val="32"/>
          <w:u w:val="none"/>
        </w:rPr>
        <w:t>指事业单位开展专业业务活动及辅助活动所取得的收入。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六</w:t>
      </w:r>
      <w:r>
        <w:rPr>
          <w:rFonts w:eastAsia="楷体"/>
          <w:color w:val="auto"/>
          <w:szCs w:val="32"/>
          <w:u w:val="none"/>
        </w:rPr>
        <w:t>）</w:t>
      </w:r>
      <w:r>
        <w:rPr>
          <w:rFonts w:hint="eastAsia" w:eastAsia="楷体"/>
          <w:color w:val="auto"/>
          <w:szCs w:val="32"/>
          <w:u w:val="none"/>
        </w:rPr>
        <w:t>上级补助收入：</w:t>
      </w:r>
      <w:r>
        <w:rPr>
          <w:rFonts w:hint="eastAsia"/>
          <w:color w:val="auto"/>
          <w:szCs w:val="32"/>
          <w:u w:val="none"/>
        </w:rPr>
        <w:t>指预算单位从主管部门或上级单位取得的非财政拨款补助收入。</w:t>
      </w:r>
    </w:p>
    <w:p>
      <w:pPr>
        <w:ind w:firstLine="640"/>
        <w:rPr>
          <w:rFonts w:hint="eastAsia"/>
          <w:color w:val="auto"/>
          <w:szCs w:val="32"/>
          <w:u w:val="none"/>
        </w:rPr>
      </w:pPr>
      <w:r>
        <w:rPr>
          <w:rFonts w:eastAsia="楷体"/>
          <w:color w:val="auto"/>
          <w:szCs w:val="32"/>
          <w:u w:val="none"/>
        </w:rPr>
        <w:t>（</w:t>
      </w:r>
      <w:r>
        <w:rPr>
          <w:rFonts w:hint="eastAsia" w:eastAsia="楷体"/>
          <w:color w:val="auto"/>
          <w:szCs w:val="32"/>
          <w:u w:val="none"/>
        </w:rPr>
        <w:t>七</w:t>
      </w:r>
      <w:r>
        <w:rPr>
          <w:rFonts w:eastAsia="楷体"/>
          <w:color w:val="auto"/>
          <w:szCs w:val="32"/>
          <w:u w:val="none"/>
        </w:rPr>
        <w:t>）</w:t>
      </w:r>
      <w:r>
        <w:rPr>
          <w:rFonts w:hint="eastAsia" w:eastAsia="楷体"/>
          <w:color w:val="auto"/>
          <w:szCs w:val="32"/>
          <w:u w:val="none"/>
        </w:rPr>
        <w:t>附属单位上缴收入：</w:t>
      </w:r>
      <w:r>
        <w:rPr>
          <w:rFonts w:hint="eastAsia"/>
          <w:color w:val="auto"/>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bookmarkStart w:id="0" w:name="_GoBack"/>
      <w:bookmarkEnd w:id="0"/>
      <w:r>
        <w:rPr>
          <w:rFonts w:hint="eastAsia"/>
          <w:color w:val="auto"/>
          <w:szCs w:val="32"/>
          <w:u w:val="none"/>
        </w:rPr>
        <w:t>。</w:t>
      </w:r>
    </w:p>
    <w:p>
      <w:pPr>
        <w:ind w:firstLine="640"/>
        <w:rPr>
          <w:color w:val="auto"/>
          <w:szCs w:val="32"/>
          <w:u w:val="none"/>
        </w:rPr>
      </w:pPr>
      <w:r>
        <w:rPr>
          <w:rFonts w:eastAsia="楷体"/>
          <w:color w:val="auto"/>
          <w:szCs w:val="32"/>
          <w:u w:val="none"/>
        </w:rPr>
        <w:t>（</w:t>
      </w:r>
      <w:r>
        <w:rPr>
          <w:rFonts w:hint="eastAsia" w:eastAsia="楷体"/>
          <w:color w:val="auto"/>
          <w:szCs w:val="32"/>
          <w:u w:val="none"/>
        </w:rPr>
        <w:t>八</w:t>
      </w:r>
      <w:r>
        <w:rPr>
          <w:rFonts w:eastAsia="楷体"/>
          <w:color w:val="auto"/>
          <w:szCs w:val="32"/>
          <w:u w:val="none"/>
        </w:rPr>
        <w:t>）事业单位经营收入：</w:t>
      </w:r>
      <w:r>
        <w:rPr>
          <w:color w:val="auto"/>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九</w:t>
      </w:r>
      <w:r>
        <w:rPr>
          <w:rFonts w:eastAsia="楷体"/>
          <w:color w:val="auto"/>
          <w:szCs w:val="32"/>
          <w:u w:val="none"/>
        </w:rPr>
        <w:t>）其他收入：</w:t>
      </w:r>
      <w:r>
        <w:rPr>
          <w:rFonts w:hint="eastAsia" w:ascii="仿宋_GB2312" w:hAnsi="仿宋_GB2312" w:eastAsia="仿宋_GB2312" w:cs="仿宋_GB2312"/>
          <w:color w:val="auto"/>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color w:val="auto"/>
          <w:szCs w:val="32"/>
          <w:u w:val="none"/>
        </w:rPr>
      </w:pPr>
      <w:r>
        <w:rPr>
          <w:rFonts w:eastAsia="楷体"/>
          <w:color w:val="auto"/>
          <w:szCs w:val="32"/>
          <w:u w:val="none"/>
        </w:rPr>
        <w:t>（</w:t>
      </w:r>
      <w:r>
        <w:rPr>
          <w:rFonts w:hint="eastAsia" w:eastAsia="楷体"/>
          <w:color w:val="auto"/>
          <w:szCs w:val="32"/>
          <w:u w:val="none"/>
        </w:rPr>
        <w:t>十</w:t>
      </w:r>
      <w:r>
        <w:rPr>
          <w:rFonts w:eastAsia="楷体"/>
          <w:color w:val="auto"/>
          <w:szCs w:val="32"/>
          <w:u w:val="none"/>
        </w:rPr>
        <w:t>）用事业基金弥补收支差额：</w:t>
      </w:r>
      <w:r>
        <w:rPr>
          <w:rFonts w:hint="eastAsia" w:ascii="仿宋_GB2312" w:hAnsi="仿宋_GB2312" w:eastAsia="仿宋_GB2312" w:cs="仿宋_GB2312"/>
          <w:color w:val="auto"/>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color w:val="auto"/>
          <w:szCs w:val="32"/>
          <w:u w:val="none"/>
        </w:rPr>
      </w:pPr>
      <w:r>
        <w:rPr>
          <w:rFonts w:eastAsia="楷体"/>
          <w:color w:val="auto"/>
          <w:szCs w:val="32"/>
          <w:u w:val="none"/>
        </w:rPr>
        <w:t>（十</w:t>
      </w:r>
      <w:r>
        <w:rPr>
          <w:rFonts w:hint="eastAsia" w:eastAsia="楷体"/>
          <w:color w:val="auto"/>
          <w:szCs w:val="32"/>
          <w:u w:val="none"/>
        </w:rPr>
        <w:t>一</w:t>
      </w:r>
      <w:r>
        <w:rPr>
          <w:rFonts w:eastAsia="楷体"/>
          <w:color w:val="auto"/>
          <w:szCs w:val="32"/>
          <w:u w:val="none"/>
        </w:rPr>
        <w:t>）上年结转：</w:t>
      </w:r>
      <w:r>
        <w:rPr>
          <w:color w:val="auto"/>
          <w:szCs w:val="32"/>
          <w:u w:val="none"/>
        </w:rPr>
        <w:t>指以前年度尚未完成、结转到本年仍按原规定用途继续使用的资金。</w:t>
      </w:r>
    </w:p>
    <w:p>
      <w:pPr>
        <w:ind w:firstLine="640"/>
        <w:rPr>
          <w:color w:val="auto"/>
          <w:szCs w:val="32"/>
          <w:u w:val="none"/>
        </w:rPr>
      </w:pPr>
      <w:r>
        <w:rPr>
          <w:rFonts w:eastAsia="楷体"/>
          <w:color w:val="auto"/>
          <w:szCs w:val="32"/>
          <w:u w:val="none"/>
        </w:rPr>
        <w:t>（十二）结转下年：</w:t>
      </w:r>
      <w:r>
        <w:rPr>
          <w:color w:val="auto"/>
          <w:szCs w:val="32"/>
          <w:u w:val="none"/>
        </w:rPr>
        <w:t>指以前年度预算安排、因客观条件发生变化无法按原计划实施，需延迟到以后年度按原规定用途继续使用的资金。</w:t>
      </w:r>
    </w:p>
    <w:p>
      <w:pPr>
        <w:ind w:firstLine="640"/>
        <w:rPr>
          <w:color w:val="auto"/>
          <w:szCs w:val="32"/>
          <w:u w:val="none"/>
        </w:rPr>
      </w:pPr>
      <w:r>
        <w:rPr>
          <w:rFonts w:eastAsia="楷体"/>
          <w:color w:val="auto"/>
          <w:szCs w:val="32"/>
          <w:u w:val="none"/>
        </w:rPr>
        <w:t>（十三）基本支出：</w:t>
      </w:r>
      <w:r>
        <w:rPr>
          <w:color w:val="auto"/>
          <w:szCs w:val="32"/>
          <w:u w:val="none"/>
        </w:rPr>
        <w:t>指为保障机构正常运转、完成日常工作任务而发生的人员支出和公用支出。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四</w:t>
      </w:r>
      <w:r>
        <w:rPr>
          <w:rFonts w:eastAsia="楷体"/>
          <w:color w:val="auto"/>
          <w:szCs w:val="32"/>
          <w:u w:val="none"/>
        </w:rPr>
        <w:t>）项目支出：</w:t>
      </w:r>
      <w:r>
        <w:rPr>
          <w:color w:val="auto"/>
          <w:szCs w:val="32"/>
          <w:u w:val="none"/>
        </w:rPr>
        <w:t>指在基本支出之外为完成特定行政任务和事业发展目标所发生的支出。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五</w:t>
      </w:r>
      <w:r>
        <w:rPr>
          <w:rFonts w:eastAsia="楷体"/>
          <w:color w:val="auto"/>
          <w:szCs w:val="32"/>
          <w:u w:val="none"/>
        </w:rPr>
        <w:t>）上缴上级支出：</w:t>
      </w:r>
      <w:r>
        <w:rPr>
          <w:color w:val="auto"/>
          <w:szCs w:val="32"/>
          <w:u w:val="none"/>
        </w:rPr>
        <w:t>指附属单位上缴上级的支出。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六</w:t>
      </w:r>
      <w:r>
        <w:rPr>
          <w:rFonts w:eastAsia="楷体"/>
          <w:color w:val="auto"/>
          <w:szCs w:val="32"/>
          <w:u w:val="none"/>
        </w:rPr>
        <w:t>）事业单位经营支出：</w:t>
      </w:r>
      <w:r>
        <w:rPr>
          <w:color w:val="auto"/>
          <w:szCs w:val="32"/>
          <w:u w:val="none"/>
        </w:rPr>
        <w:t>指事业单位在专业业务活动及其辅助活动之外开展非独立核算经营活动发生的支出。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七</w:t>
      </w:r>
      <w:r>
        <w:rPr>
          <w:rFonts w:eastAsia="楷体"/>
          <w:color w:val="auto"/>
          <w:szCs w:val="32"/>
          <w:u w:val="none"/>
        </w:rPr>
        <w:t>）对附属单位补助支出：</w:t>
      </w:r>
      <w:r>
        <w:rPr>
          <w:color w:val="auto"/>
          <w:szCs w:val="32"/>
          <w:u w:val="none"/>
        </w:rPr>
        <w:t>指对附属单位补助发生的支出。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八</w:t>
      </w:r>
      <w:r>
        <w:rPr>
          <w:rFonts w:eastAsia="楷体"/>
          <w:color w:val="auto"/>
          <w:szCs w:val="32"/>
          <w:u w:val="none"/>
        </w:rPr>
        <w:t>）“三公”经费：</w:t>
      </w:r>
      <w:r>
        <w:rPr>
          <w:color w:val="auto"/>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color w:val="auto"/>
          <w:szCs w:val="32"/>
          <w:u w:val="none"/>
        </w:rPr>
      </w:pPr>
      <w:r>
        <w:rPr>
          <w:rFonts w:eastAsia="楷体"/>
          <w:color w:val="auto"/>
          <w:szCs w:val="32"/>
          <w:u w:val="none"/>
        </w:rPr>
        <w:t>（十</w:t>
      </w:r>
      <w:r>
        <w:rPr>
          <w:rFonts w:hint="eastAsia" w:eastAsia="楷体"/>
          <w:color w:val="auto"/>
          <w:szCs w:val="32"/>
          <w:u w:val="none"/>
        </w:rPr>
        <w:t>九</w:t>
      </w:r>
      <w:r>
        <w:rPr>
          <w:rFonts w:eastAsia="楷体"/>
          <w:color w:val="auto"/>
          <w:szCs w:val="32"/>
          <w:u w:val="none"/>
        </w:rPr>
        <w:t>）机关运行经费：</w:t>
      </w:r>
      <w:r>
        <w:rPr>
          <w:color w:val="auto"/>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color w:val="auto"/>
          <w:szCs w:val="32"/>
          <w:u w:val="none"/>
        </w:rPr>
      </w:pPr>
      <w:r>
        <w:rPr>
          <w:rFonts w:eastAsia="楷体"/>
          <w:color w:val="auto"/>
          <w:szCs w:val="32"/>
          <w:u w:val="none"/>
        </w:rPr>
        <w:t>（</w:t>
      </w:r>
      <w:r>
        <w:rPr>
          <w:rFonts w:hint="eastAsia" w:eastAsia="楷体"/>
          <w:color w:val="auto"/>
          <w:szCs w:val="32"/>
          <w:u w:val="none"/>
        </w:rPr>
        <w:t>二十</w:t>
      </w:r>
      <w:r>
        <w:rPr>
          <w:rFonts w:eastAsia="楷体"/>
          <w:color w:val="auto"/>
          <w:szCs w:val="32"/>
          <w:u w:val="none"/>
        </w:rPr>
        <w:t>）</w:t>
      </w:r>
      <w:r>
        <w:rPr>
          <w:rFonts w:hint="eastAsia" w:eastAsia="楷体"/>
          <w:color w:val="auto"/>
          <w:szCs w:val="32"/>
          <w:u w:val="none"/>
        </w:rPr>
        <w:t>项目支出绩效目标：</w:t>
      </w:r>
      <w:r>
        <w:rPr>
          <w:rFonts w:hint="eastAsia"/>
          <w:color w:val="auto"/>
          <w:u w:val="none"/>
        </w:rPr>
        <w:t>项目支出绩效目标是指部门预算安排的项目支出在一定期限内预期达到的产出和效果。</w:t>
      </w:r>
    </w:p>
    <w:p>
      <w:pPr>
        <w:ind w:firstLine="640"/>
        <w:rPr>
          <w:color w:val="auto"/>
          <w:szCs w:val="32"/>
          <w:u w:val="none"/>
        </w:rPr>
      </w:pPr>
    </w:p>
    <w:p>
      <w:pPr>
        <w:ind w:firstLine="640"/>
        <w:rPr>
          <w:color w:val="auto"/>
          <w:szCs w:val="32"/>
          <w:u w:val="none"/>
        </w:rPr>
      </w:pPr>
    </w:p>
    <w:p>
      <w:pPr>
        <w:rPr>
          <w:color w:val="auto"/>
          <w:szCs w:val="32"/>
          <w:u w:val="none"/>
        </w:rPr>
      </w:pPr>
    </w:p>
    <w:p>
      <w:pPr>
        <w:spacing w:line="700" w:lineRule="exact"/>
        <w:rPr>
          <w:color w:val="auto"/>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zNDUwNDZmNTM0ZDk2MzdhY2NkY2Q1ODZhOTY5O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7F29F7"/>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217712"/>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A24E6D"/>
    <w:rsid w:val="27B04AB3"/>
    <w:rsid w:val="27CE5C62"/>
    <w:rsid w:val="28A63332"/>
    <w:rsid w:val="29171B75"/>
    <w:rsid w:val="29C45F24"/>
    <w:rsid w:val="2DF8796C"/>
    <w:rsid w:val="2E8A1F61"/>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D031F3"/>
    <w:rsid w:val="3EE8108D"/>
    <w:rsid w:val="405745EF"/>
    <w:rsid w:val="40B80EFF"/>
    <w:rsid w:val="413C5593"/>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3A39A5"/>
    <w:rsid w:val="4AF16062"/>
    <w:rsid w:val="4B646DDD"/>
    <w:rsid w:val="4B7F44F8"/>
    <w:rsid w:val="4BAC24C5"/>
    <w:rsid w:val="4BFA0656"/>
    <w:rsid w:val="4C120237"/>
    <w:rsid w:val="4C5567C9"/>
    <w:rsid w:val="4D730507"/>
    <w:rsid w:val="4D741DD3"/>
    <w:rsid w:val="4DA90454"/>
    <w:rsid w:val="4DC93207"/>
    <w:rsid w:val="4E2A22FD"/>
    <w:rsid w:val="4E8D5761"/>
    <w:rsid w:val="4EF54A85"/>
    <w:rsid w:val="4F6F75D9"/>
    <w:rsid w:val="501B3C66"/>
    <w:rsid w:val="504B40C5"/>
    <w:rsid w:val="50987DC2"/>
    <w:rsid w:val="50A4703E"/>
    <w:rsid w:val="5136104F"/>
    <w:rsid w:val="51E55C99"/>
    <w:rsid w:val="52071113"/>
    <w:rsid w:val="52447C09"/>
    <w:rsid w:val="525A440D"/>
    <w:rsid w:val="53CD1CA2"/>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3EC6526"/>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072C18"/>
    <w:rsid w:val="714213DD"/>
    <w:rsid w:val="717F272E"/>
    <w:rsid w:val="728027C6"/>
    <w:rsid w:val="72D54D7C"/>
    <w:rsid w:val="737664E0"/>
    <w:rsid w:val="73FE7ACC"/>
    <w:rsid w:val="74053F35"/>
    <w:rsid w:val="74556746"/>
    <w:rsid w:val="74AB7A24"/>
    <w:rsid w:val="76BB79B1"/>
    <w:rsid w:val="76C17E06"/>
    <w:rsid w:val="76CA67BD"/>
    <w:rsid w:val="77470561"/>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List Paragraph"/>
    <w:basedOn w:val="1"/>
    <w:autoRedefine/>
    <w:qFormat/>
    <w:uiPriority w:val="0"/>
    <w:pPr>
      <w:ind w:firstLine="420" w:firstLineChars="200"/>
    </w:pPr>
    <w:rPr>
      <w:rFonts w:ascii="Calibri" w:hAnsi="Calibri" w:eastAsia="宋体"/>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37</Pages>
  <Words>9310</Words>
  <Characters>11803</Characters>
  <Lines>71</Lines>
  <Paragraphs>20</Paragraphs>
  <TotalTime>10</TotalTime>
  <ScaleCrop>false</ScaleCrop>
  <LinksUpToDate>false</LinksUpToDate>
  <CharactersWithSpaces>12385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可期</cp:lastModifiedBy>
  <cp:lastPrinted>2022-02-21T08:08:00Z</cp:lastPrinted>
  <dcterms:modified xsi:type="dcterms:W3CDTF">2024-01-31T01:17:38Z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9BA4B70F61884C1C94BF526762B91D33_13</vt:lpwstr>
  </property>
</Properties>
</file>