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通榆县医疗保险经办中心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ascii="仿宋" w:hAnsi="仿宋" w:eastAsia="仿宋" w:cs="仿宋"/>
        </w:rPr>
      </w:pPr>
      <w:r>
        <w:rPr>
          <w:rFonts w:hint="eastAsia" w:ascii="仿宋" w:hAnsi="仿宋" w:eastAsia="仿宋" w:cs="仿宋"/>
        </w:rPr>
        <w:t>一、主要职能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负责医疗保险经办工作</w:t>
      </w:r>
    </w:p>
    <w:p>
      <w:pPr>
        <w:ind w:firstLine="640" w:firstLineChars="200"/>
        <w:rPr>
          <w:rFonts w:hint="eastAsia" w:ascii="仿宋" w:hAnsi="仿宋" w:eastAsia="仿宋" w:cs="仿宋"/>
        </w:rPr>
      </w:pPr>
      <w:r>
        <w:rPr>
          <w:rFonts w:hint="eastAsia" w:ascii="仿宋" w:hAnsi="仿宋" w:eastAsia="仿宋" w:cs="仿宋"/>
        </w:rPr>
        <w:t>二、机构设置</w:t>
      </w:r>
    </w:p>
    <w:p>
      <w:pPr>
        <w:pStyle w:val="51"/>
        <w:ind w:firstLine="640" w:firstLineChars="200"/>
        <w:rPr>
          <w:rFonts w:hint="eastAsia" w:ascii="仿宋" w:hAnsi="仿宋" w:eastAsia="仿宋" w:cs="仿宋"/>
          <w:sz w:val="32"/>
          <w:szCs w:val="32"/>
        </w:rPr>
      </w:pPr>
      <w:r>
        <w:rPr>
          <w:rFonts w:hint="eastAsia" w:ascii="仿宋" w:hAnsi="仿宋" w:eastAsia="仿宋" w:cs="仿宋"/>
          <w:sz w:val="32"/>
          <w:szCs w:val="32"/>
        </w:rPr>
        <w:t>根据上述职责，通榆县医疗保险经办中心内设8个科室，分别为办公室、登记审核科、基金财务科、费用结算、稽核审计科、协议管理科、统计信息科、城乡居民科。</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420.37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420.37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420.37</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55.51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55.51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32.31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32.31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332.55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332.55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420.37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420.37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909"/>
        <w:gridCol w:w="570"/>
        <w:gridCol w:w="615"/>
        <w:gridCol w:w="600"/>
        <w:gridCol w:w="345"/>
        <w:gridCol w:w="315"/>
        <w:gridCol w:w="405"/>
        <w:gridCol w:w="371"/>
        <w:gridCol w:w="364"/>
        <w:gridCol w:w="420"/>
        <w:gridCol w:w="277"/>
        <w:gridCol w:w="113"/>
        <w:gridCol w:w="418"/>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3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7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43"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778"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3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7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337"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val="en-US" w:eastAsia="zh-CN"/>
              </w:rPr>
              <w:t>通榆县医疗保险经办中心</w:t>
            </w:r>
          </w:p>
        </w:tc>
        <w:tc>
          <w:tcPr>
            <w:tcW w:w="5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420.37</w:t>
            </w:r>
          </w:p>
        </w:tc>
        <w:tc>
          <w:tcPr>
            <w:tcW w:w="61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420.37</w:t>
            </w:r>
          </w:p>
        </w:tc>
        <w:tc>
          <w:tcPr>
            <w:tcW w:w="6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420.37</w:t>
            </w:r>
          </w:p>
        </w:tc>
        <w:tc>
          <w:tcPr>
            <w:tcW w:w="34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1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5"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7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33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420.37</w:t>
            </w:r>
          </w:p>
        </w:tc>
        <w:tc>
          <w:tcPr>
            <w:tcW w:w="6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420.37</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420.37</w:t>
            </w:r>
          </w:p>
        </w:tc>
        <w:tc>
          <w:tcPr>
            <w:tcW w:w="34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7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机关事业单位养老社会保障和就业支出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机关事业单位养老缴费支出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其他机关事业养老支出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332.55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321.34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314.78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303.57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409.15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vAlign w:val="center"/>
                </w:tcPr>
                <w:p>
                  <w:pPr>
                    <w:widowControl/>
                    <w:jc w:val="center"/>
                    <w:rPr>
                      <w:rFonts w:hint="eastAsia" w:eastAsia="宋体"/>
                      <w:color w:val="000000"/>
                      <w:kern w:val="0"/>
                      <w:sz w:val="20"/>
                      <w:lang w:val="en-US" w:eastAsia="zh-CN"/>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27"/>
              <w:gridCol w:w="824"/>
              <w:gridCol w:w="688"/>
              <w:gridCol w:w="1721"/>
              <w:gridCol w:w="864"/>
              <w:gridCol w:w="853"/>
              <w:gridCol w:w="63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2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2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420.37</w:t>
                  </w: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420.37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55.51</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55.51</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332.55</w:t>
                  </w: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332.55</w:t>
                  </w: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32.31</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32.31</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420.37</w:t>
                  </w: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机关事业单位养老社会保障和就业支出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43"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机关事业单位养老缴费支出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其他机关事业养老支出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332.55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321.34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73"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314.78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409.16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11.21</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378.56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sz w:val="20"/>
                <w:szCs w:val="20"/>
                <w:lang w:val="en-US" w:eastAsia="zh-CN"/>
              </w:rPr>
              <w:t>378.56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147.38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147.38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82.02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82.02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252.97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252.97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27.84</w:t>
            </w:r>
          </w:p>
        </w:tc>
      </w:tr>
      <w:tr>
        <w:tblPrEx>
          <w:tblCellMar>
            <w:top w:w="0" w:type="dxa"/>
            <w:left w:w="108" w:type="dxa"/>
            <w:bottom w:w="0" w:type="dxa"/>
            <w:right w:w="108" w:type="dxa"/>
          </w:tblCellMar>
        </w:tblPrEx>
        <w:trPr>
          <w:trHeight w:val="46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17.47</w:t>
            </w:r>
          </w:p>
        </w:tc>
      </w:tr>
      <w:tr>
        <w:tblPrEx>
          <w:tblCellMar>
            <w:top w:w="0" w:type="dxa"/>
            <w:left w:w="108" w:type="dxa"/>
            <w:bottom w:w="0" w:type="dxa"/>
            <w:right w:w="108" w:type="dxa"/>
          </w:tblCellMar>
        </w:tblPrEx>
        <w:trPr>
          <w:trHeight w:val="4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hint="default"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hint="default" w:eastAsia="宋体"/>
                <w:color w:val="000000"/>
                <w:kern w:val="0"/>
                <w:sz w:val="20"/>
                <w:lang w:val="en-US" w:eastAsia="zh-CN"/>
              </w:rPr>
            </w:pPr>
            <w:r>
              <w:rPr>
                <w:rFonts w:hint="eastAsia" w:eastAsia="宋体"/>
                <w:color w:val="000000"/>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5.57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5.57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both"/>
              <w:textAlignment w:val="center"/>
              <w:rPr>
                <w:rFonts w:hint="default" w:eastAsia="宋体"/>
                <w:color w:val="000000"/>
                <w:kern w:val="0"/>
                <w:sz w:val="20"/>
                <w:lang w:val="en-US" w:eastAsia="zh-CN"/>
              </w:rPr>
            </w:pPr>
            <w:r>
              <w:rPr>
                <w:rFonts w:hint="eastAsia" w:eastAsia="宋体"/>
                <w:color w:val="000000"/>
                <w:kern w:val="0"/>
                <w:sz w:val="20"/>
                <w:lang w:val="en-US" w:eastAsia="zh-CN"/>
              </w:rPr>
              <w:t>三、对个人和家庭补助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2.76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hint="default" w:eastAsia="宋体"/>
                <w:color w:val="000000"/>
                <w:kern w:val="0"/>
                <w:sz w:val="20"/>
                <w:lang w:val="en-US" w:eastAsia="zh-CN"/>
              </w:rPr>
            </w:pPr>
            <w:r>
              <w:rPr>
                <w:rFonts w:hint="eastAsia" w:eastAsia="宋体"/>
                <w:color w:val="000000"/>
                <w:kern w:val="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35</w:t>
            </w:r>
            <w:r>
              <w:rPr>
                <w:color w:val="000000"/>
                <w:kern w:val="0"/>
                <w:sz w:val="28"/>
                <w:szCs w:val="28"/>
              </w:rPr>
              <w:t>人，其中：在职人员</w:t>
            </w:r>
            <w:r>
              <w:rPr>
                <w:rFonts w:hint="eastAsia" w:eastAsia="宋体"/>
                <w:color w:val="000000"/>
                <w:kern w:val="0"/>
                <w:sz w:val="28"/>
                <w:szCs w:val="28"/>
                <w:u w:val="single"/>
                <w:lang w:val="en-US" w:eastAsia="zh-CN"/>
              </w:rPr>
              <w:t>29</w:t>
            </w:r>
            <w:r>
              <w:rPr>
                <w:color w:val="000000"/>
                <w:kern w:val="0"/>
                <w:sz w:val="28"/>
                <w:szCs w:val="28"/>
              </w:rPr>
              <w:t>人，离退休人员</w:t>
            </w:r>
            <w:r>
              <w:rPr>
                <w:rFonts w:hint="eastAsia" w:eastAsia="宋体"/>
                <w:color w:val="000000"/>
                <w:kern w:val="0"/>
                <w:sz w:val="28"/>
                <w:szCs w:val="28"/>
                <w:u w:val="single"/>
                <w:lang w:val="en-US" w:eastAsia="zh-CN"/>
              </w:rPr>
              <w:t>6</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213"/>
        <w:gridCol w:w="1107"/>
        <w:gridCol w:w="855"/>
        <w:gridCol w:w="641"/>
        <w:gridCol w:w="654"/>
        <w:gridCol w:w="423"/>
        <w:gridCol w:w="417"/>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0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5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4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94"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0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2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5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4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09" w:type="dxa"/>
            <w:vMerge w:val="continue"/>
            <w:noWrap w:val="0"/>
            <w:vAlign w:val="center"/>
          </w:tcPr>
          <w:p>
            <w:pPr>
              <w:autoSpaceDN w:val="0"/>
              <w:jc w:val="center"/>
              <w:textAlignment w:val="center"/>
              <w:rPr>
                <w:rFonts w:ascii="Calibri" w:hAnsi="Calibri" w:eastAsia="华文细黑"/>
                <w:color w:val="000000"/>
                <w:sz w:val="20"/>
                <w:szCs w:val="22"/>
              </w:rPr>
            </w:pPr>
          </w:p>
        </w:tc>
        <w:tc>
          <w:tcPr>
            <w:tcW w:w="121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55" w:type="dxa"/>
            <w:vMerge w:val="continue"/>
            <w:noWrap w:val="0"/>
            <w:vAlign w:val="center"/>
          </w:tcPr>
          <w:p>
            <w:pPr>
              <w:autoSpaceDN w:val="0"/>
              <w:jc w:val="center"/>
              <w:textAlignment w:val="center"/>
              <w:rPr>
                <w:rFonts w:ascii="Calibri" w:hAnsi="Calibri" w:eastAsia="华文细黑"/>
                <w:color w:val="000000"/>
                <w:sz w:val="20"/>
                <w:szCs w:val="22"/>
              </w:rPr>
            </w:pPr>
          </w:p>
        </w:tc>
        <w:tc>
          <w:tcPr>
            <w:tcW w:w="641" w:type="dxa"/>
            <w:vMerge w:val="continue"/>
            <w:noWrap w:val="0"/>
            <w:vAlign w:val="center"/>
          </w:tcPr>
          <w:p>
            <w:pPr>
              <w:autoSpaceDN w:val="0"/>
              <w:jc w:val="center"/>
              <w:textAlignment w:val="center"/>
              <w:rPr>
                <w:rFonts w:ascii="Calibri" w:hAnsi="Calibri" w:eastAsia="华文细黑"/>
                <w:color w:val="000000"/>
                <w:sz w:val="20"/>
                <w:szCs w:val="22"/>
              </w:rPr>
            </w:pPr>
          </w:p>
        </w:tc>
        <w:tc>
          <w:tcPr>
            <w:tcW w:w="6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exact"/>
          <w:jc w:val="center"/>
        </w:trPr>
        <w:tc>
          <w:tcPr>
            <w:tcW w:w="609" w:type="dxa"/>
            <w:noWrap w:val="0"/>
            <w:vAlign w:val="center"/>
          </w:tcPr>
          <w:p>
            <w:pPr>
              <w:spacing w:line="700" w:lineRule="exact"/>
              <w:jc w:val="both"/>
              <w:rPr>
                <w:rFonts w:hint="default"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专项支出</w:t>
            </w:r>
          </w:p>
        </w:tc>
        <w:tc>
          <w:tcPr>
            <w:tcW w:w="1213" w:type="dxa"/>
            <w:noWrap w:val="0"/>
            <w:vAlign w:val="center"/>
          </w:tcPr>
          <w:p>
            <w:pPr>
              <w:autoSpaceDN w:val="0"/>
              <w:jc w:val="left"/>
              <w:textAlignment w:val="center"/>
              <w:rPr>
                <w:rFonts w:hint="eastAsia" w:ascii="宋体" w:hAnsi="宋体" w:eastAsia="宋体" w:cs="宋体"/>
                <w:b w:val="0"/>
                <w:bCs w:val="0"/>
                <w:kern w:val="0"/>
                <w:sz w:val="18"/>
                <w:szCs w:val="18"/>
              </w:rPr>
            </w:pPr>
            <w:r>
              <w:rPr>
                <w:rFonts w:hint="eastAsia" w:ascii="宋体" w:hAnsi="宋体" w:eastAsia="宋体" w:cs="宋体"/>
                <w:b w:val="0"/>
                <w:bCs w:val="0"/>
                <w:color w:val="000000"/>
                <w:sz w:val="18"/>
                <w:szCs w:val="18"/>
                <w:lang w:val="en-US" w:eastAsia="zh-CN"/>
              </w:rPr>
              <w:t>通榆县医疗保障局2024年部门预算</w:t>
            </w:r>
          </w:p>
        </w:tc>
        <w:tc>
          <w:tcPr>
            <w:tcW w:w="1107" w:type="dxa"/>
            <w:noWrap w:val="0"/>
            <w:vAlign w:val="center"/>
          </w:tcPr>
          <w:p>
            <w:pPr>
              <w:numPr>
                <w:ilvl w:val="0"/>
                <w:numId w:val="0"/>
              </w:numPr>
              <w:spacing w:line="240" w:lineRule="auto"/>
              <w:ind w:left="0" w:leftChars="0" w:firstLine="0" w:firstLineChars="0"/>
              <w:jc w:val="center"/>
              <w:rPr>
                <w:rFonts w:hint="default"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通榆县医疗保险经办中心驻村工作队生活补贴36000元</w:t>
            </w:r>
          </w:p>
        </w:tc>
        <w:tc>
          <w:tcPr>
            <w:tcW w:w="855" w:type="dxa"/>
            <w:noWrap w:val="0"/>
            <w:vAlign w:val="center"/>
          </w:tcPr>
          <w:p>
            <w:pPr>
              <w:numPr>
                <w:ilvl w:val="0"/>
                <w:numId w:val="0"/>
              </w:numPr>
              <w:spacing w:line="240" w:lineRule="auto"/>
              <w:ind w:left="0" w:leftChars="0" w:firstLine="0" w:firstLineChars="0"/>
              <w:jc w:val="center"/>
              <w:rPr>
                <w:rFonts w:ascii="Calibri" w:hAnsi="Calibri" w:eastAsia="楷体"/>
                <w:kern w:val="0"/>
                <w:szCs w:val="32"/>
              </w:rPr>
            </w:pPr>
            <w:r>
              <w:rPr>
                <w:rFonts w:hint="eastAsia" w:ascii="宋体" w:hAnsi="宋体" w:eastAsia="宋体" w:cs="宋体"/>
                <w:b w:val="0"/>
                <w:bCs w:val="0"/>
                <w:kern w:val="0"/>
                <w:sz w:val="18"/>
                <w:szCs w:val="18"/>
                <w:lang w:val="en-US" w:eastAsia="zh-CN"/>
              </w:rPr>
              <w:t>通榆县医疗保险经办中心</w:t>
            </w:r>
          </w:p>
        </w:tc>
        <w:tc>
          <w:tcPr>
            <w:tcW w:w="641" w:type="dxa"/>
            <w:noWrap w:val="0"/>
            <w:vAlign w:val="center"/>
          </w:tcPr>
          <w:p>
            <w:pPr>
              <w:numPr>
                <w:ilvl w:val="0"/>
                <w:numId w:val="0"/>
              </w:numPr>
              <w:spacing w:line="240" w:lineRule="auto"/>
              <w:ind w:left="0" w:leftChars="0" w:firstLine="0" w:firstLineChars="0"/>
              <w:jc w:val="both"/>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7.61</w:t>
            </w:r>
          </w:p>
        </w:tc>
        <w:tc>
          <w:tcPr>
            <w:tcW w:w="654"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7.61</w:t>
            </w:r>
          </w:p>
        </w:tc>
        <w:tc>
          <w:tcPr>
            <w:tcW w:w="423"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417"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exact"/>
          <w:jc w:val="center"/>
        </w:trPr>
        <w:tc>
          <w:tcPr>
            <w:tcW w:w="609" w:type="dxa"/>
            <w:noWrap w:val="0"/>
            <w:vAlign w:val="center"/>
          </w:tcPr>
          <w:p>
            <w:pPr>
              <w:autoSpaceDN w:val="0"/>
              <w:jc w:val="left"/>
              <w:textAlignment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kern w:val="0"/>
                <w:sz w:val="18"/>
                <w:szCs w:val="18"/>
                <w:lang w:val="en-US" w:eastAsia="zh-CN"/>
              </w:rPr>
              <w:t>专项支出</w:t>
            </w:r>
          </w:p>
        </w:tc>
        <w:tc>
          <w:tcPr>
            <w:tcW w:w="1213" w:type="dxa"/>
            <w:noWrap w:val="0"/>
            <w:vAlign w:val="center"/>
          </w:tcPr>
          <w:p>
            <w:pPr>
              <w:autoSpaceDN w:val="0"/>
              <w:jc w:val="left"/>
              <w:textAlignment w:val="center"/>
              <w:rPr>
                <w:rFonts w:hint="eastAsia" w:ascii="宋体" w:hAnsi="宋体" w:eastAsia="宋体" w:cs="宋体"/>
                <w:b w:val="0"/>
                <w:bCs w:val="0"/>
                <w:color w:val="000000"/>
                <w:sz w:val="18"/>
                <w:szCs w:val="18"/>
                <w:lang w:val="en-US" w:eastAsia="zh-CN"/>
              </w:rPr>
            </w:pPr>
            <w:r>
              <w:rPr>
                <w:rFonts w:hint="eastAsia" w:ascii="宋体" w:hAnsi="宋体" w:eastAsia="宋体" w:cs="宋体"/>
                <w:b w:val="0"/>
                <w:bCs w:val="0"/>
                <w:color w:val="000000"/>
                <w:sz w:val="18"/>
                <w:szCs w:val="18"/>
                <w:lang w:val="en-US" w:eastAsia="zh-CN"/>
              </w:rPr>
              <w:t>通榆县医疗保障局2024年部门预算</w:t>
            </w:r>
          </w:p>
        </w:tc>
        <w:tc>
          <w:tcPr>
            <w:tcW w:w="1107" w:type="dxa"/>
            <w:noWrap w:val="0"/>
            <w:vAlign w:val="center"/>
          </w:tcPr>
          <w:p>
            <w:pPr>
              <w:numPr>
                <w:ilvl w:val="0"/>
                <w:numId w:val="0"/>
              </w:numPr>
              <w:spacing w:line="240" w:lineRule="auto"/>
              <w:ind w:leftChars="0"/>
              <w:jc w:val="center"/>
              <w:rPr>
                <w:rFonts w:hint="eastAsia" w:ascii="宋体" w:hAnsi="宋体" w:eastAsia="宋体" w:cs="宋体"/>
                <w:b w:val="0"/>
                <w:bCs w:val="0"/>
                <w:kern w:val="0"/>
                <w:sz w:val="18"/>
                <w:szCs w:val="18"/>
                <w:lang w:val="en-US" w:eastAsia="zh-CN"/>
              </w:rPr>
            </w:pPr>
            <w:r>
              <w:rPr>
                <w:rFonts w:hint="eastAsia" w:ascii="宋体" w:hAnsi="宋体" w:eastAsia="宋体" w:cs="宋体"/>
                <w:b w:val="0"/>
                <w:bCs w:val="0"/>
                <w:kern w:val="0"/>
                <w:sz w:val="18"/>
                <w:szCs w:val="18"/>
                <w:lang w:val="en-US" w:eastAsia="zh-CN"/>
              </w:rPr>
              <w:t>通榆县医疗保险经办中心辅助岗人员2024年工资预算</w:t>
            </w:r>
          </w:p>
        </w:tc>
        <w:tc>
          <w:tcPr>
            <w:tcW w:w="855" w:type="dxa"/>
            <w:noWrap w:val="0"/>
            <w:vAlign w:val="center"/>
          </w:tcPr>
          <w:p>
            <w:pPr>
              <w:numPr>
                <w:ilvl w:val="0"/>
                <w:numId w:val="0"/>
              </w:numPr>
              <w:spacing w:line="240" w:lineRule="auto"/>
              <w:ind w:left="0" w:leftChars="0" w:firstLine="0" w:firstLineChars="0"/>
              <w:jc w:val="center"/>
              <w:rPr>
                <w:rFonts w:ascii="Calibri" w:hAnsi="Calibri" w:eastAsia="楷体"/>
                <w:kern w:val="0"/>
                <w:szCs w:val="32"/>
              </w:rPr>
            </w:pPr>
            <w:r>
              <w:rPr>
                <w:rFonts w:hint="eastAsia" w:ascii="宋体" w:hAnsi="宋体" w:eastAsia="宋体" w:cs="宋体"/>
                <w:b w:val="0"/>
                <w:bCs w:val="0"/>
                <w:kern w:val="0"/>
                <w:sz w:val="18"/>
                <w:szCs w:val="18"/>
                <w:lang w:val="en-US" w:eastAsia="zh-CN"/>
              </w:rPr>
              <w:t>通榆县医疗保险经办中心</w:t>
            </w:r>
          </w:p>
        </w:tc>
        <w:tc>
          <w:tcPr>
            <w:tcW w:w="641" w:type="dxa"/>
            <w:noWrap w:val="0"/>
            <w:vAlign w:val="center"/>
          </w:tcPr>
          <w:p>
            <w:pPr>
              <w:numPr>
                <w:ilvl w:val="0"/>
                <w:numId w:val="0"/>
              </w:numPr>
              <w:spacing w:line="240" w:lineRule="auto"/>
              <w:ind w:left="0" w:leftChars="0" w:firstLine="0" w:firstLineChars="0"/>
              <w:jc w:val="both"/>
              <w:rPr>
                <w:rFonts w:hint="default" w:ascii="Calibri" w:hAnsi="Calibri" w:eastAsia="楷体"/>
                <w:kern w:val="0"/>
                <w:szCs w:val="32"/>
                <w:lang w:val="en-US"/>
              </w:rPr>
            </w:pPr>
            <w:r>
              <w:rPr>
                <w:rFonts w:hint="eastAsia" w:ascii="Calibri" w:hAnsi="Calibri" w:eastAsia="楷体"/>
                <w:kern w:val="0"/>
                <w:sz w:val="18"/>
                <w:szCs w:val="18"/>
                <w:lang w:val="en-US" w:eastAsia="zh-CN"/>
              </w:rPr>
              <w:t>3.6</w:t>
            </w:r>
          </w:p>
        </w:tc>
        <w:tc>
          <w:tcPr>
            <w:tcW w:w="654"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3.6</w:t>
            </w:r>
          </w:p>
        </w:tc>
        <w:tc>
          <w:tcPr>
            <w:tcW w:w="423"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417" w:type="dxa"/>
            <w:noWrap w:val="0"/>
            <w:vAlign w:val="center"/>
          </w:tcPr>
          <w:p>
            <w:pPr>
              <w:spacing w:line="700" w:lineRule="exact"/>
              <w:jc w:val="left"/>
              <w:rPr>
                <w:rFonts w:ascii="Calibri" w:hAnsi="Calibri" w:eastAsia="楷体"/>
                <w:kern w:val="0"/>
                <w:szCs w:val="32"/>
              </w:rPr>
            </w:pPr>
          </w:p>
        </w:tc>
        <w:tc>
          <w:tcPr>
            <w:tcW w:w="564" w:type="dxa"/>
            <w:noWrap w:val="0"/>
            <w:vAlign w:val="center"/>
          </w:tcPr>
          <w:p>
            <w:pPr>
              <w:spacing w:line="700" w:lineRule="exact"/>
              <w:jc w:val="left"/>
              <w:rPr>
                <w:rFonts w:ascii="Calibri" w:hAnsi="Calibri" w:eastAsia="楷体"/>
                <w:kern w:val="0"/>
                <w:szCs w:val="32"/>
              </w:rPr>
            </w:pPr>
          </w:p>
        </w:tc>
        <w:tc>
          <w:tcPr>
            <w:tcW w:w="532" w:type="dxa"/>
            <w:noWrap w:val="0"/>
            <w:vAlign w:val="center"/>
          </w:tcPr>
          <w:p>
            <w:pPr>
              <w:spacing w:line="700" w:lineRule="exact"/>
              <w:jc w:val="left"/>
              <w:rPr>
                <w:rFonts w:ascii="Calibri" w:hAnsi="Calibri" w:eastAsia="楷体"/>
                <w:kern w:val="0"/>
                <w:szCs w:val="32"/>
              </w:rPr>
            </w:pPr>
          </w:p>
        </w:tc>
        <w:tc>
          <w:tcPr>
            <w:tcW w:w="598" w:type="dxa"/>
            <w:noWrap w:val="0"/>
            <w:vAlign w:val="center"/>
          </w:tcPr>
          <w:p>
            <w:pPr>
              <w:spacing w:line="700" w:lineRule="exact"/>
              <w:jc w:val="left"/>
              <w:rPr>
                <w:rFonts w:ascii="Calibri" w:hAnsi="Calibri" w:eastAsia="楷体"/>
                <w:kern w:val="0"/>
                <w:szCs w:val="32"/>
              </w:rPr>
            </w:pPr>
          </w:p>
        </w:tc>
        <w:tc>
          <w:tcPr>
            <w:tcW w:w="443" w:type="dxa"/>
            <w:noWrap w:val="0"/>
            <w:vAlign w:val="center"/>
          </w:tcPr>
          <w:p>
            <w:pPr>
              <w:spacing w:line="700" w:lineRule="exact"/>
              <w:jc w:val="left"/>
              <w:rPr>
                <w:rFonts w:ascii="Calibri" w:hAnsi="Calibri" w:eastAsia="楷体"/>
                <w:kern w:val="0"/>
                <w:szCs w:val="32"/>
              </w:rPr>
            </w:pPr>
          </w:p>
        </w:tc>
        <w:tc>
          <w:tcPr>
            <w:tcW w:w="425" w:type="dxa"/>
            <w:noWrap w:val="0"/>
            <w:vAlign w:val="center"/>
          </w:tcPr>
          <w:p>
            <w:pPr>
              <w:spacing w:line="700" w:lineRule="exact"/>
              <w:jc w:val="left"/>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exact"/>
          <w:jc w:val="center"/>
        </w:trPr>
        <w:tc>
          <w:tcPr>
            <w:tcW w:w="60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21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55" w:type="dxa"/>
            <w:noWrap w:val="0"/>
            <w:vAlign w:val="center"/>
          </w:tcPr>
          <w:p>
            <w:pPr>
              <w:spacing w:line="700" w:lineRule="exact"/>
              <w:jc w:val="both"/>
              <w:rPr>
                <w:rFonts w:hint="default" w:ascii="Calibri" w:hAnsi="Calibri" w:eastAsia="楷体"/>
                <w:kern w:val="0"/>
                <w:szCs w:val="32"/>
                <w:lang w:val="en-US" w:eastAsia="zh-CN"/>
              </w:rPr>
            </w:pPr>
          </w:p>
        </w:tc>
        <w:tc>
          <w:tcPr>
            <w:tcW w:w="641" w:type="dxa"/>
            <w:noWrap w:val="0"/>
            <w:vAlign w:val="center"/>
          </w:tcPr>
          <w:p>
            <w:pPr>
              <w:numPr>
                <w:ilvl w:val="0"/>
                <w:numId w:val="0"/>
              </w:numPr>
              <w:spacing w:line="240" w:lineRule="auto"/>
              <w:ind w:left="0" w:leftChars="0" w:firstLine="0" w:firstLineChars="0"/>
              <w:jc w:val="both"/>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11.21</w:t>
            </w:r>
          </w:p>
        </w:tc>
        <w:tc>
          <w:tcPr>
            <w:tcW w:w="654" w:type="dxa"/>
            <w:noWrap w:val="0"/>
            <w:vAlign w:val="center"/>
          </w:tcPr>
          <w:p>
            <w:pPr>
              <w:numPr>
                <w:ilvl w:val="0"/>
                <w:numId w:val="0"/>
              </w:numPr>
              <w:spacing w:line="240" w:lineRule="auto"/>
              <w:ind w:left="0" w:leftChars="0" w:firstLine="0" w:firstLineChars="0"/>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11.21</w:t>
            </w:r>
          </w:p>
        </w:tc>
        <w:tc>
          <w:tcPr>
            <w:tcW w:w="423" w:type="dxa"/>
            <w:noWrap w:val="0"/>
            <w:vAlign w:val="center"/>
          </w:tcPr>
          <w:p>
            <w:pPr>
              <w:spacing w:line="700" w:lineRule="exact"/>
              <w:jc w:val="center"/>
              <w:rPr>
                <w:rFonts w:ascii="Calibri" w:hAnsi="Calibri" w:eastAsia="楷体" w:cs="Times New Roman"/>
                <w:kern w:val="0"/>
                <w:sz w:val="32"/>
                <w:szCs w:val="32"/>
                <w:lang w:val="en-US" w:eastAsia="zh-CN" w:bidi="ar-SA"/>
              </w:rPr>
            </w:pPr>
          </w:p>
        </w:tc>
        <w:tc>
          <w:tcPr>
            <w:tcW w:w="417"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b w:val="0"/>
                <w:bCs w:val="0"/>
                <w:kern w:val="0"/>
                <w:sz w:val="18"/>
                <w:szCs w:val="18"/>
                <w:lang w:val="en-US" w:eastAsia="zh-CN"/>
              </w:rPr>
              <w:t>通榆县医疗保险经办中心驻村工作队生活补贴3.6万元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根据通组联通{2021}2号文件要求，驻村工作队2024年生活补贴3.6万元。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驻村干部补助人均标准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b w:val="0"/>
                <w:bCs w:val="0"/>
                <w:kern w:val="0"/>
                <w:sz w:val="18"/>
                <w:szCs w:val="18"/>
                <w:lang w:val="en-US" w:eastAsia="zh-CN"/>
              </w:rPr>
              <w:t>通榆县医疗保险经办中心辅助岗人员2024年工资预算</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rPr>
            </w:pPr>
            <w:r>
              <w:rPr>
                <w:rFonts w:hint="eastAsia" w:ascii="宋体" w:hAnsi="宋体" w:eastAsia="宋体" w:cs="宋体"/>
                <w:b w:val="0"/>
                <w:bCs w:val="0"/>
                <w:kern w:val="0"/>
                <w:sz w:val="18"/>
                <w:szCs w:val="18"/>
                <w:lang w:val="en-US" w:eastAsia="zh-CN"/>
              </w:rPr>
              <w:t>通榆县医疗保险经办中心，2024年辅助岗人员工资预算。</w:t>
            </w:r>
            <w:bookmarkStart w:id="0" w:name="_GoBack"/>
            <w:bookmarkEnd w:id="0"/>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辅助岗人员人均工资成本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rPr>
          <w:rFonts w:hint="eastAsia" w:eastAsia="楷体"/>
          <w:kern w:val="0"/>
          <w:szCs w:val="32"/>
        </w:rPr>
      </w:pPr>
      <w:r>
        <w:rPr>
          <w:rFonts w:hint="eastAsia" w:eastAsia="楷体"/>
          <w:kern w:val="0"/>
          <w:szCs w:val="32"/>
        </w:rPr>
        <w:br w:type="page"/>
      </w:r>
    </w:p>
    <w:p>
      <w:pPr>
        <w:spacing w:line="700" w:lineRule="exact"/>
        <w:ind w:firstLine="640" w:firstLineChars="200"/>
        <w:rPr>
          <w:rFonts w:hint="eastAsia" w:eastAsia="楷体"/>
          <w:kern w:val="0"/>
          <w:szCs w:val="32"/>
        </w:rPr>
      </w:pPr>
    </w:p>
    <w:p>
      <w:pPr>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420.37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减少81.06</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2023年退休2人，在职死亡一人，人员减少。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占100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409.16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11.21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55.51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332.55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32.31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rPr>
          <w:szCs w:val="32"/>
        </w:rPr>
      </w:pPr>
    </w:p>
    <w:p>
      <w:pPr>
        <w:ind w:firstLine="600"/>
        <w:rPr>
          <w:rFonts w:hint="eastAsia" w:eastAsia="楷体"/>
          <w:szCs w:val="30"/>
          <w:lang w:val="en-US" w:eastAsia="zh-CN"/>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hint="eastAsia" w:eastAsia="楷体"/>
          <w:szCs w:val="30"/>
          <w:lang w:val="en-US" w:eastAsia="zh-CN"/>
        </w:rPr>
      </w:pPr>
    </w:p>
    <w:p>
      <w:pPr>
        <w:ind w:firstLine="600"/>
        <w:rPr>
          <w:rFonts w:hint="eastAsia" w:eastAsia="楷体"/>
          <w:szCs w:val="30"/>
          <w:lang w:val="en-US" w:eastAsia="zh-CN"/>
        </w:rPr>
      </w:pPr>
    </w:p>
    <w:p>
      <w:pPr>
        <w:ind w:firstLine="640" w:firstLineChars="200"/>
        <w:jc w:val="left"/>
        <w:rPr>
          <w:rFonts w:hint="eastAsia" w:ascii="黑体" w:hAnsi="黑体" w:eastAsia="黑体" w:cs="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420.37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409.16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11.21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381.32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27.84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本部门无此项</w:t>
      </w:r>
      <w:r>
        <w:rPr>
          <w:rFonts w:hint="eastAsia" w:ascii="仿宋_GB2312" w:hAnsi="仿宋_GB2312" w:eastAsia="仿宋_GB2312" w:cs="仿宋_GB2312"/>
          <w:szCs w:val="32"/>
        </w:rPr>
        <w:t>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部门无此项</w:t>
      </w:r>
      <w:r>
        <w:rPr>
          <w:rFonts w:hint="eastAsia" w:ascii="仿宋_GB2312" w:hAnsi="仿宋_GB2312" w:eastAsia="仿宋_GB2312" w:cs="仿宋_GB2312"/>
          <w:szCs w:val="32"/>
        </w:rPr>
        <w:t>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部门无此项</w:t>
      </w:r>
      <w:r>
        <w:rPr>
          <w:rFonts w:hint="eastAsia" w:ascii="仿宋_GB2312" w:hAnsi="仿宋_GB2312" w:eastAsia="仿宋_GB2312" w:cs="仿宋_GB2312"/>
          <w:szCs w:val="32"/>
        </w:rPr>
        <w:t>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部门无此项</w:t>
      </w:r>
      <w:r>
        <w:rPr>
          <w:rFonts w:hint="eastAsia" w:ascii="仿宋_GB2312" w:hAnsi="仿宋_GB2312" w:eastAsia="仿宋_GB2312" w:cs="仿宋_GB2312"/>
          <w:szCs w:val="32"/>
        </w:rPr>
        <w:t>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部门无此项</w:t>
      </w:r>
      <w:r>
        <w:rPr>
          <w:rFonts w:hint="eastAsia" w:ascii="仿宋_GB2312" w:hAnsi="仿宋_GB2312" w:eastAsia="仿宋_GB2312" w:cs="仿宋_GB2312"/>
          <w:szCs w:val="32"/>
        </w:rPr>
        <w:t>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55.51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养老保险、失业保险、工伤保险、职业年金等社会保障缴纳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部门无此项</w:t>
      </w:r>
      <w:r>
        <w:rPr>
          <w:rFonts w:hint="eastAsia" w:ascii="仿宋_GB2312" w:hAnsi="仿宋_GB2312" w:eastAsia="仿宋_GB2312" w:cs="仿宋_GB2312"/>
          <w:szCs w:val="32"/>
        </w:rPr>
        <w:t>支出。</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医疗卫生（类）支出332.55，占79%，主要用于医疗保险缴纳及日常公用经费支出。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32.31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住房公积金缴纳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409.16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409.16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27.84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rFonts w:hint="eastAsia" w:eastAsia="楷体"/>
          <w:szCs w:val="32"/>
          <w:lang w:eastAsia="zh-CN"/>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hint="eastAsia" w:eastAsia="楷体"/>
          <w:szCs w:val="32"/>
          <w:lang w:eastAsia="zh-CN"/>
        </w:rPr>
        <w:t>。</w:t>
      </w:r>
    </w:p>
    <w:p>
      <w:pPr>
        <w:rPr>
          <w:rFonts w:hint="eastAsia" w:eastAsia="楷体"/>
          <w:szCs w:val="32"/>
          <w:lang w:eastAsia="zh-CN"/>
        </w:rPr>
      </w:pPr>
    </w:p>
    <w:p>
      <w:pPr>
        <w:rPr>
          <w:rFonts w:hint="eastAsia" w:eastAsia="楷体"/>
          <w:szCs w:val="32"/>
          <w:lang w:eastAsia="zh-CN"/>
        </w:rPr>
      </w:pPr>
    </w:p>
    <w:p>
      <w:pPr>
        <w:jc w:val="center"/>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年“三公”经费预算数为</w:t>
      </w:r>
      <w:r>
        <w:rPr>
          <w:rFonts w:hint="eastAsia" w:ascii="仿宋" w:hAnsi="仿宋" w:eastAsia="仿宋" w:cs="仿宋"/>
          <w:szCs w:val="32"/>
          <w:lang w:val="en-US" w:eastAsia="zh-CN"/>
        </w:rPr>
        <w:t>0</w:t>
      </w:r>
      <w:r>
        <w:rPr>
          <w:rFonts w:hint="eastAsia" w:ascii="仿宋" w:hAnsi="仿宋" w:eastAsia="仿宋" w:cs="仿宋"/>
          <w:szCs w:val="32"/>
        </w:rPr>
        <w:t>万元，</w:t>
      </w:r>
      <w:r>
        <w:rPr>
          <w:rFonts w:hint="eastAsia" w:ascii="仿宋" w:hAnsi="仿宋" w:eastAsia="仿宋" w:cs="仿宋"/>
          <w:szCs w:val="32"/>
          <w:lang w:eastAsia="zh-CN"/>
        </w:rPr>
        <w:t>其中</w:t>
      </w:r>
      <w:r>
        <w:rPr>
          <w:rFonts w:hint="eastAsia" w:ascii="仿宋" w:hAnsi="仿宋" w:eastAsia="仿宋" w:cs="仿宋"/>
          <w:szCs w:val="32"/>
          <w:lang w:val="en-US" w:eastAsia="zh-CN"/>
        </w:rPr>
        <w:t>:</w:t>
      </w:r>
      <w:r>
        <w:rPr>
          <w:rFonts w:hint="eastAsia" w:ascii="仿宋" w:hAnsi="仿宋" w:eastAsia="仿宋" w:cs="仿宋"/>
          <w:szCs w:val="32"/>
          <w:lang w:eastAsia="zh-CN"/>
        </w:rPr>
        <w:t>当年预算</w:t>
      </w:r>
      <w:r>
        <w:rPr>
          <w:rFonts w:hint="eastAsia" w:ascii="仿宋" w:hAnsi="仿宋" w:eastAsia="仿宋" w:cs="仿宋"/>
          <w:szCs w:val="32"/>
          <w:lang w:val="en-US" w:eastAsia="zh-CN"/>
        </w:rPr>
        <w:t>0</w:t>
      </w:r>
      <w:r>
        <w:rPr>
          <w:rFonts w:hint="eastAsia" w:ascii="仿宋" w:hAnsi="仿宋" w:eastAsia="仿宋" w:cs="仿宋"/>
          <w:szCs w:val="32"/>
          <w:lang w:eastAsia="zh-CN"/>
        </w:rPr>
        <w:t>万元；上年结转</w:t>
      </w:r>
      <w:r>
        <w:rPr>
          <w:rFonts w:hint="eastAsia" w:ascii="仿宋" w:hAnsi="仿宋" w:eastAsia="仿宋" w:cs="仿宋"/>
          <w:szCs w:val="32"/>
          <w:lang w:val="en-US" w:eastAsia="zh-CN"/>
        </w:rPr>
        <w:t>0</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w:t>
      </w:r>
      <w:r>
        <w:rPr>
          <w:rFonts w:hint="eastAsia" w:ascii="仿宋" w:hAnsi="仿宋" w:eastAsia="仿宋" w:cs="仿宋"/>
          <w:szCs w:val="32"/>
          <w:lang w:val="en-US" w:eastAsia="zh-CN"/>
        </w:rPr>
        <w:t>0</w:t>
      </w:r>
      <w:r>
        <w:rPr>
          <w:rFonts w:hint="eastAsia" w:ascii="仿宋" w:hAnsi="仿宋" w:eastAsia="仿宋" w:cs="仿宋"/>
          <w:szCs w:val="32"/>
        </w:rPr>
        <w:t>万元。其中：</w:t>
      </w:r>
    </w:p>
    <w:p>
      <w:pPr>
        <w:ind w:firstLine="640" w:firstLineChars="200"/>
        <w:jc w:val="both"/>
        <w:rPr>
          <w:rFonts w:hint="eastAsia" w:ascii="仿宋" w:hAnsi="仿宋" w:eastAsia="仿宋" w:cs="仿宋"/>
          <w:szCs w:val="32"/>
          <w:lang w:val="en-US" w:eastAsia="zh-CN"/>
        </w:rPr>
      </w:pPr>
      <w:r>
        <w:rPr>
          <w:rFonts w:hint="eastAsia" w:ascii="仿宋" w:hAnsi="仿宋" w:eastAsia="仿宋" w:cs="仿宋"/>
          <w:szCs w:val="32"/>
        </w:rPr>
        <w:t>1.因公出国（境）费</w:t>
      </w:r>
      <w:r>
        <w:rPr>
          <w:rFonts w:hint="eastAsia" w:ascii="仿宋" w:hAnsi="仿宋" w:eastAsia="仿宋" w:cs="仿宋"/>
          <w:szCs w:val="32"/>
          <w:lang w:val="en-US" w:eastAsia="zh-CN"/>
        </w:rPr>
        <w:t>0</w:t>
      </w:r>
      <w:r>
        <w:rPr>
          <w:rFonts w:hint="eastAsia" w:ascii="仿宋" w:hAnsi="仿宋" w:eastAsia="仿宋" w:cs="仿宋"/>
          <w:szCs w:val="32"/>
        </w:rPr>
        <w:t>万元，</w:t>
      </w:r>
      <w:r>
        <w:rPr>
          <w:rFonts w:hint="eastAsia" w:ascii="仿宋" w:hAnsi="仿宋" w:eastAsia="仿宋" w:cs="仿宋"/>
          <w:szCs w:val="32"/>
          <w:lang w:eastAsia="zh-CN"/>
        </w:rPr>
        <w:t>其中：当年预算</w:t>
      </w:r>
      <w:r>
        <w:rPr>
          <w:rFonts w:hint="eastAsia" w:ascii="仿宋" w:hAnsi="仿宋" w:eastAsia="仿宋" w:cs="仿宋"/>
          <w:szCs w:val="32"/>
          <w:lang w:val="en-US" w:eastAsia="zh-CN"/>
        </w:rPr>
        <w:t>0</w:t>
      </w:r>
      <w:r>
        <w:rPr>
          <w:rFonts w:hint="eastAsia" w:ascii="仿宋" w:hAnsi="仿宋" w:eastAsia="仿宋" w:cs="仿宋"/>
          <w:szCs w:val="32"/>
          <w:lang w:eastAsia="zh-CN"/>
        </w:rPr>
        <w:t>万元；上年结转</w:t>
      </w:r>
      <w:r>
        <w:rPr>
          <w:rFonts w:hint="eastAsia" w:ascii="仿宋" w:hAnsi="仿宋" w:eastAsia="仿宋" w:cs="仿宋"/>
          <w:szCs w:val="32"/>
          <w:lang w:val="en-US" w:eastAsia="zh-CN"/>
        </w:rPr>
        <w:t>0</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w:t>
      </w:r>
      <w:r>
        <w:rPr>
          <w:rFonts w:hint="eastAsia" w:ascii="仿宋" w:hAnsi="仿宋" w:eastAsia="仿宋" w:cs="仿宋"/>
          <w:szCs w:val="32"/>
          <w:lang w:val="en-US" w:eastAsia="zh-CN"/>
        </w:rPr>
        <w:t>0</w:t>
      </w:r>
      <w:r>
        <w:rPr>
          <w:rFonts w:hint="eastAsia" w:ascii="仿宋" w:hAnsi="仿宋" w:eastAsia="仿宋" w:cs="仿宋"/>
          <w:szCs w:val="32"/>
        </w:rPr>
        <w:t>万元，主要原因是本部门无一般公共预算拨款</w:t>
      </w:r>
      <w:r>
        <w:rPr>
          <w:rFonts w:hint="eastAsia" w:ascii="仿宋" w:hAnsi="仿宋" w:eastAsia="仿宋" w:cs="仿宋"/>
          <w:szCs w:val="32"/>
          <w:lang w:eastAsia="zh-CN"/>
        </w:rPr>
        <w:t>。</w:t>
      </w:r>
    </w:p>
    <w:p>
      <w:pPr>
        <w:ind w:firstLine="640" w:firstLineChars="200"/>
        <w:rPr>
          <w:rFonts w:hint="eastAsia" w:ascii="仿宋" w:hAnsi="仿宋" w:eastAsia="仿宋" w:cs="仿宋"/>
          <w:szCs w:val="32"/>
          <w:lang w:eastAsia="zh-CN"/>
        </w:rPr>
      </w:pPr>
      <w:r>
        <w:rPr>
          <w:rFonts w:hint="eastAsia" w:ascii="仿宋" w:hAnsi="仿宋" w:eastAsia="仿宋" w:cs="仿宋"/>
          <w:szCs w:val="32"/>
        </w:rPr>
        <w:t>2.公务接待费</w:t>
      </w:r>
      <w:r>
        <w:rPr>
          <w:rFonts w:hint="eastAsia" w:ascii="仿宋" w:hAnsi="仿宋" w:eastAsia="仿宋" w:cs="仿宋"/>
          <w:szCs w:val="32"/>
          <w:lang w:val="en-US" w:eastAsia="zh-CN"/>
        </w:rPr>
        <w:t>0</w:t>
      </w:r>
      <w:r>
        <w:rPr>
          <w:rFonts w:hint="eastAsia" w:ascii="仿宋" w:hAnsi="仿宋" w:eastAsia="仿宋" w:cs="仿宋"/>
          <w:szCs w:val="32"/>
        </w:rPr>
        <w:t>万元，</w:t>
      </w:r>
      <w:r>
        <w:rPr>
          <w:rFonts w:hint="eastAsia" w:ascii="仿宋" w:hAnsi="仿宋" w:eastAsia="仿宋" w:cs="仿宋"/>
          <w:szCs w:val="32"/>
          <w:lang w:eastAsia="zh-CN"/>
        </w:rPr>
        <w:t>其中：当年预算</w:t>
      </w:r>
      <w:r>
        <w:rPr>
          <w:rFonts w:hint="eastAsia" w:ascii="仿宋" w:hAnsi="仿宋" w:eastAsia="仿宋" w:cs="仿宋"/>
          <w:szCs w:val="32"/>
          <w:lang w:val="en-US" w:eastAsia="zh-CN"/>
        </w:rPr>
        <w:t>0</w:t>
      </w:r>
      <w:r>
        <w:rPr>
          <w:rFonts w:hint="eastAsia" w:ascii="仿宋" w:hAnsi="仿宋" w:eastAsia="仿宋" w:cs="仿宋"/>
          <w:szCs w:val="32"/>
          <w:lang w:eastAsia="zh-CN"/>
        </w:rPr>
        <w:t>万元；上年结转</w:t>
      </w:r>
      <w:r>
        <w:rPr>
          <w:rFonts w:hint="eastAsia" w:ascii="仿宋" w:hAnsi="仿宋" w:eastAsia="仿宋" w:cs="仿宋"/>
          <w:szCs w:val="32"/>
          <w:lang w:val="en-US" w:eastAsia="zh-CN"/>
        </w:rPr>
        <w:t>0</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w:t>
      </w:r>
      <w:r>
        <w:rPr>
          <w:rFonts w:hint="eastAsia" w:ascii="仿宋" w:hAnsi="仿宋" w:eastAsia="仿宋" w:cs="仿宋"/>
          <w:szCs w:val="32"/>
          <w:lang w:val="en-US" w:eastAsia="zh-CN"/>
        </w:rPr>
        <w:t>0</w:t>
      </w:r>
      <w:r>
        <w:rPr>
          <w:rFonts w:hint="eastAsia" w:ascii="仿宋" w:hAnsi="仿宋" w:eastAsia="仿宋" w:cs="仿宋"/>
          <w:szCs w:val="32"/>
        </w:rPr>
        <w:t>万元，主要原因是本部门无一般公共预算拨款</w:t>
      </w:r>
      <w:r>
        <w:rPr>
          <w:rFonts w:hint="eastAsia" w:ascii="仿宋" w:hAnsi="仿宋" w:eastAsia="仿宋" w:cs="仿宋"/>
          <w:szCs w:val="32"/>
          <w:lang w:eastAsia="zh-CN"/>
        </w:rPr>
        <w:t>。</w:t>
      </w:r>
    </w:p>
    <w:p>
      <w:pPr>
        <w:ind w:firstLine="640" w:firstLineChars="200"/>
        <w:rPr>
          <w:rFonts w:hint="eastAsia" w:ascii="仿宋" w:hAnsi="仿宋" w:eastAsia="仿宋" w:cs="仿宋"/>
          <w:szCs w:val="32"/>
          <w:lang w:eastAsia="zh-CN"/>
        </w:rPr>
      </w:pPr>
      <w:r>
        <w:rPr>
          <w:rFonts w:hint="eastAsia" w:ascii="仿宋" w:hAnsi="仿宋" w:eastAsia="仿宋" w:cs="仿宋"/>
          <w:szCs w:val="32"/>
        </w:rPr>
        <w:t>3.公务用车购置及运行费</w:t>
      </w:r>
      <w:r>
        <w:rPr>
          <w:rFonts w:hint="eastAsia" w:ascii="仿宋" w:hAnsi="仿宋" w:eastAsia="仿宋" w:cs="仿宋"/>
          <w:szCs w:val="32"/>
          <w:lang w:val="en-US" w:eastAsia="zh-CN"/>
        </w:rPr>
        <w:t>0</w:t>
      </w:r>
      <w:r>
        <w:rPr>
          <w:rFonts w:hint="eastAsia" w:ascii="仿宋" w:hAnsi="仿宋" w:eastAsia="仿宋" w:cs="仿宋"/>
          <w:szCs w:val="32"/>
        </w:rPr>
        <w:t>万元，</w:t>
      </w:r>
      <w:r>
        <w:rPr>
          <w:rFonts w:hint="eastAsia" w:ascii="仿宋" w:hAnsi="仿宋" w:eastAsia="仿宋" w:cs="仿宋"/>
          <w:szCs w:val="32"/>
          <w:lang w:eastAsia="zh-CN"/>
        </w:rPr>
        <w:t>其中：当年预算</w:t>
      </w:r>
      <w:r>
        <w:rPr>
          <w:rFonts w:hint="eastAsia" w:ascii="仿宋" w:hAnsi="仿宋" w:eastAsia="仿宋" w:cs="仿宋"/>
          <w:szCs w:val="32"/>
          <w:lang w:val="en-US" w:eastAsia="zh-CN"/>
        </w:rPr>
        <w:t>0</w:t>
      </w:r>
      <w:r>
        <w:rPr>
          <w:rFonts w:hint="eastAsia" w:ascii="仿宋" w:hAnsi="仿宋" w:eastAsia="仿宋" w:cs="仿宋"/>
          <w:szCs w:val="32"/>
          <w:lang w:eastAsia="zh-CN"/>
        </w:rPr>
        <w:t>万元；上年结转</w:t>
      </w:r>
      <w:r>
        <w:rPr>
          <w:rFonts w:hint="eastAsia" w:ascii="仿宋" w:hAnsi="仿宋" w:eastAsia="仿宋" w:cs="仿宋"/>
          <w:szCs w:val="32"/>
          <w:lang w:val="en-US" w:eastAsia="zh-CN"/>
        </w:rPr>
        <w:t>0</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w:t>
      </w:r>
      <w:r>
        <w:rPr>
          <w:rFonts w:hint="eastAsia" w:ascii="仿宋" w:hAnsi="仿宋" w:eastAsia="仿宋" w:cs="仿宋"/>
          <w:szCs w:val="32"/>
          <w:lang w:val="en-US" w:eastAsia="zh-CN"/>
        </w:rPr>
        <w:t>0</w:t>
      </w:r>
      <w:r>
        <w:rPr>
          <w:rFonts w:hint="eastAsia" w:ascii="仿宋" w:hAnsi="仿宋" w:eastAsia="仿宋" w:cs="仿宋"/>
          <w:szCs w:val="32"/>
        </w:rPr>
        <w:t>万元。公务用车运行维护费</w:t>
      </w:r>
      <w:r>
        <w:rPr>
          <w:rFonts w:hint="eastAsia" w:ascii="仿宋" w:hAnsi="仿宋" w:eastAsia="仿宋" w:cs="仿宋"/>
          <w:szCs w:val="32"/>
          <w:lang w:val="en-US" w:eastAsia="zh-CN"/>
        </w:rPr>
        <w:t>0</w:t>
      </w:r>
      <w:r>
        <w:rPr>
          <w:rFonts w:hint="eastAsia" w:ascii="仿宋" w:hAnsi="仿宋" w:eastAsia="仿宋" w:cs="仿宋"/>
          <w:szCs w:val="32"/>
        </w:rPr>
        <w:t>万元，</w:t>
      </w:r>
      <w:r>
        <w:rPr>
          <w:rFonts w:hint="eastAsia" w:ascii="仿宋" w:hAnsi="仿宋" w:eastAsia="仿宋" w:cs="仿宋"/>
          <w:szCs w:val="32"/>
          <w:lang w:eastAsia="zh-CN"/>
        </w:rPr>
        <w:t>其中：当年预算</w:t>
      </w:r>
      <w:r>
        <w:rPr>
          <w:rFonts w:hint="eastAsia" w:ascii="仿宋" w:hAnsi="仿宋" w:eastAsia="仿宋" w:cs="仿宋"/>
          <w:szCs w:val="32"/>
          <w:lang w:val="en-US" w:eastAsia="zh-CN"/>
        </w:rPr>
        <w:t>0</w:t>
      </w:r>
      <w:r>
        <w:rPr>
          <w:rFonts w:hint="eastAsia" w:ascii="仿宋" w:hAnsi="仿宋" w:eastAsia="仿宋" w:cs="仿宋"/>
          <w:szCs w:val="32"/>
          <w:lang w:eastAsia="zh-CN"/>
        </w:rPr>
        <w:t>万元；上年结转</w:t>
      </w:r>
      <w:r>
        <w:rPr>
          <w:rFonts w:hint="eastAsia" w:ascii="仿宋" w:hAnsi="仿宋" w:eastAsia="仿宋" w:cs="仿宋"/>
          <w:szCs w:val="32"/>
          <w:lang w:val="en-US" w:eastAsia="zh-CN"/>
        </w:rPr>
        <w:t>0</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w:t>
      </w:r>
      <w:r>
        <w:rPr>
          <w:rFonts w:hint="eastAsia" w:ascii="仿宋" w:hAnsi="仿宋" w:eastAsia="仿宋" w:cs="仿宋"/>
          <w:szCs w:val="32"/>
          <w:lang w:val="en-US" w:eastAsia="zh-CN"/>
        </w:rPr>
        <w:t>0</w:t>
      </w:r>
      <w:r>
        <w:rPr>
          <w:rFonts w:hint="eastAsia" w:ascii="仿宋" w:hAnsi="仿宋" w:eastAsia="仿宋" w:cs="仿宋"/>
          <w:szCs w:val="32"/>
        </w:rPr>
        <w:t>万元，主要原因是本部门无一般公共预算拨款</w:t>
      </w:r>
      <w:r>
        <w:rPr>
          <w:rFonts w:hint="eastAsia" w:ascii="仿宋" w:hAnsi="仿宋" w:eastAsia="仿宋" w:cs="仿宋"/>
          <w:szCs w:val="32"/>
          <w:lang w:eastAsia="zh-CN"/>
        </w:rPr>
        <w:t>。</w:t>
      </w:r>
    </w:p>
    <w:p>
      <w:pPr>
        <w:ind w:firstLine="640" w:firstLineChars="200"/>
        <w:rPr>
          <w:rFonts w:hint="eastAsia" w:ascii="仿宋" w:hAnsi="仿宋" w:eastAsia="仿宋" w:cs="仿宋"/>
          <w:szCs w:val="32"/>
        </w:rPr>
      </w:pPr>
      <w:r>
        <w:rPr>
          <w:rFonts w:hint="eastAsia" w:ascii="仿宋" w:hAnsi="仿宋" w:eastAsia="仿宋" w:cs="仿宋"/>
          <w:szCs w:val="32"/>
          <w:lang w:val="en-US" w:eastAsia="zh-CN"/>
        </w:rPr>
        <w:t>4、</w:t>
      </w:r>
      <w:r>
        <w:rPr>
          <w:rFonts w:hint="eastAsia" w:ascii="仿宋" w:hAnsi="仿宋" w:eastAsia="仿宋" w:cs="仿宋"/>
          <w:szCs w:val="32"/>
        </w:rPr>
        <w:t>公务用车购置费</w:t>
      </w:r>
      <w:r>
        <w:rPr>
          <w:rFonts w:hint="eastAsia" w:ascii="仿宋" w:hAnsi="仿宋" w:eastAsia="仿宋" w:cs="仿宋"/>
          <w:szCs w:val="32"/>
          <w:lang w:val="en-US" w:eastAsia="zh-CN"/>
        </w:rPr>
        <w:t>0</w:t>
      </w:r>
      <w:r>
        <w:rPr>
          <w:rFonts w:hint="eastAsia" w:ascii="仿宋" w:hAnsi="仿宋" w:eastAsia="仿宋" w:cs="仿宋"/>
          <w:szCs w:val="32"/>
        </w:rPr>
        <w:t>万元，</w:t>
      </w:r>
      <w:r>
        <w:rPr>
          <w:rFonts w:hint="eastAsia" w:ascii="仿宋" w:hAnsi="仿宋" w:eastAsia="仿宋" w:cs="仿宋"/>
          <w:szCs w:val="32"/>
          <w:lang w:eastAsia="zh-CN"/>
        </w:rPr>
        <w:t>其中：当年预算</w:t>
      </w:r>
      <w:r>
        <w:rPr>
          <w:rFonts w:hint="eastAsia" w:ascii="仿宋" w:hAnsi="仿宋" w:eastAsia="仿宋" w:cs="仿宋"/>
          <w:szCs w:val="32"/>
          <w:lang w:val="en-US" w:eastAsia="zh-CN"/>
        </w:rPr>
        <w:t>0</w:t>
      </w:r>
      <w:r>
        <w:rPr>
          <w:rFonts w:hint="eastAsia" w:ascii="仿宋" w:hAnsi="仿宋" w:eastAsia="仿宋" w:cs="仿宋"/>
          <w:szCs w:val="32"/>
          <w:lang w:eastAsia="zh-CN"/>
        </w:rPr>
        <w:t>万元；上年结转</w:t>
      </w:r>
      <w:r>
        <w:rPr>
          <w:rFonts w:hint="eastAsia" w:ascii="仿宋" w:hAnsi="仿宋" w:eastAsia="仿宋" w:cs="仿宋"/>
          <w:szCs w:val="32"/>
          <w:lang w:val="en-US" w:eastAsia="zh-CN"/>
        </w:rPr>
        <w:t>0</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w:t>
      </w:r>
      <w:r>
        <w:rPr>
          <w:rFonts w:hint="eastAsia" w:ascii="仿宋" w:hAnsi="仿宋" w:eastAsia="仿宋" w:cs="仿宋"/>
          <w:szCs w:val="32"/>
          <w:lang w:val="en-US" w:eastAsia="zh-CN"/>
        </w:rPr>
        <w:t>0</w:t>
      </w:r>
      <w:r>
        <w:rPr>
          <w:rFonts w:hint="eastAsia" w:ascii="仿宋" w:hAnsi="仿宋" w:eastAsia="仿宋" w:cs="仿宋"/>
          <w:szCs w:val="32"/>
        </w:rPr>
        <w:t>万元，主要原因是本部门无一般公共预算拨款。</w:t>
      </w:r>
    </w:p>
    <w:p>
      <w:pPr>
        <w:ind w:firstLine="640" w:firstLineChars="200"/>
        <w:rPr>
          <w:rFonts w:hint="eastAsia" w:ascii="楷体" w:hAnsi="楷体" w:eastAsia="楷体" w:cs="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年政府性基金预算支出</w:t>
      </w:r>
      <w:r>
        <w:rPr>
          <w:rFonts w:hint="eastAsia" w:ascii="仿宋" w:hAnsi="仿宋" w:eastAsia="仿宋" w:cs="仿宋"/>
          <w:szCs w:val="32"/>
          <w:lang w:val="en-US" w:eastAsia="zh-CN"/>
        </w:rPr>
        <w:t>0</w:t>
      </w:r>
      <w:r>
        <w:rPr>
          <w:rFonts w:hint="eastAsia" w:ascii="仿宋" w:hAnsi="仿宋" w:eastAsia="仿宋" w:cs="仿宋"/>
          <w:szCs w:val="32"/>
        </w:rPr>
        <w:t>万元，其中：基本支出</w:t>
      </w:r>
      <w:r>
        <w:rPr>
          <w:rFonts w:hint="eastAsia" w:ascii="仿宋" w:hAnsi="仿宋" w:eastAsia="仿宋" w:cs="仿宋"/>
          <w:szCs w:val="32"/>
          <w:lang w:val="en-US" w:eastAsia="zh-CN"/>
        </w:rPr>
        <w:t>0</w:t>
      </w:r>
      <w:r>
        <w:rPr>
          <w:rFonts w:hint="eastAsia" w:ascii="仿宋" w:hAnsi="仿宋" w:eastAsia="仿宋" w:cs="仿宋"/>
          <w:szCs w:val="32"/>
        </w:rPr>
        <w:t>万元，占</w:t>
      </w:r>
      <w:r>
        <w:rPr>
          <w:rFonts w:hint="eastAsia" w:ascii="仿宋" w:hAnsi="仿宋" w:eastAsia="仿宋" w:cs="仿宋"/>
          <w:szCs w:val="32"/>
          <w:lang w:val="en-US" w:eastAsia="zh-CN"/>
        </w:rPr>
        <w:t>0</w:t>
      </w:r>
      <w:r>
        <w:rPr>
          <w:rFonts w:hint="eastAsia" w:ascii="仿宋" w:hAnsi="仿宋" w:eastAsia="仿宋" w:cs="仿宋"/>
          <w:szCs w:val="32"/>
        </w:rPr>
        <w:t>%；项目支出</w:t>
      </w:r>
      <w:r>
        <w:rPr>
          <w:rFonts w:hint="eastAsia" w:ascii="仿宋" w:hAnsi="仿宋" w:eastAsia="仿宋" w:cs="仿宋"/>
          <w:szCs w:val="32"/>
          <w:lang w:val="en-US" w:eastAsia="zh-CN"/>
        </w:rPr>
        <w:t>0</w:t>
      </w:r>
      <w:r>
        <w:rPr>
          <w:rFonts w:hint="eastAsia" w:ascii="仿宋" w:hAnsi="仿宋" w:eastAsia="仿宋" w:cs="仿宋"/>
          <w:szCs w:val="32"/>
        </w:rPr>
        <w:t>万元，占</w:t>
      </w:r>
      <w:r>
        <w:rPr>
          <w:rFonts w:hint="eastAsia" w:ascii="仿宋" w:hAnsi="仿宋" w:eastAsia="仿宋" w:cs="仿宋"/>
          <w:szCs w:val="32"/>
          <w:lang w:val="en-US" w:eastAsia="zh-CN"/>
        </w:rPr>
        <w:t>0</w:t>
      </w:r>
      <w:r>
        <w:rPr>
          <w:rFonts w:hint="eastAsia" w:ascii="仿宋" w:hAnsi="仿宋" w:eastAsia="仿宋" w:cs="仿宋"/>
          <w:szCs w:val="32"/>
        </w:rPr>
        <w:t>%。基本支出中，人员经费</w:t>
      </w:r>
      <w:r>
        <w:rPr>
          <w:rFonts w:hint="eastAsia" w:ascii="仿宋" w:hAnsi="仿宋" w:eastAsia="仿宋" w:cs="仿宋"/>
          <w:szCs w:val="32"/>
          <w:lang w:val="en-US" w:eastAsia="zh-CN"/>
        </w:rPr>
        <w:t>0</w:t>
      </w:r>
      <w:r>
        <w:rPr>
          <w:rFonts w:hint="eastAsia" w:ascii="仿宋" w:hAnsi="仿宋" w:eastAsia="仿宋" w:cs="仿宋"/>
          <w:szCs w:val="32"/>
        </w:rPr>
        <w:t>万元，占</w:t>
      </w:r>
      <w:r>
        <w:rPr>
          <w:rFonts w:hint="eastAsia" w:ascii="仿宋" w:hAnsi="仿宋" w:eastAsia="仿宋" w:cs="仿宋"/>
          <w:szCs w:val="32"/>
          <w:lang w:val="en-US" w:eastAsia="zh-CN"/>
        </w:rPr>
        <w:t>0</w:t>
      </w:r>
      <w:r>
        <w:rPr>
          <w:rFonts w:hint="eastAsia" w:ascii="仿宋" w:hAnsi="仿宋" w:eastAsia="仿宋" w:cs="仿宋"/>
          <w:szCs w:val="32"/>
        </w:rPr>
        <w:t>%；公用经费</w:t>
      </w:r>
      <w:r>
        <w:rPr>
          <w:rFonts w:hint="eastAsia" w:ascii="仿宋" w:hAnsi="仿宋" w:eastAsia="仿宋" w:cs="仿宋"/>
          <w:szCs w:val="32"/>
          <w:lang w:val="en-US" w:eastAsia="zh-CN"/>
        </w:rPr>
        <w:t>0</w:t>
      </w:r>
      <w:r>
        <w:rPr>
          <w:rFonts w:hint="eastAsia" w:ascii="仿宋" w:hAnsi="仿宋" w:eastAsia="仿宋" w:cs="仿宋"/>
          <w:szCs w:val="32"/>
        </w:rPr>
        <w:t>万元，占</w:t>
      </w:r>
      <w:r>
        <w:rPr>
          <w:rFonts w:hint="eastAsia" w:ascii="仿宋" w:hAnsi="仿宋" w:eastAsia="仿宋" w:cs="仿宋"/>
          <w:szCs w:val="32"/>
          <w:lang w:val="en-US" w:eastAsia="zh-CN"/>
        </w:rPr>
        <w:t>0</w:t>
      </w:r>
      <w:r>
        <w:rPr>
          <w:rFonts w:hint="eastAsia" w:ascii="仿宋" w:hAnsi="仿宋" w:eastAsia="仿宋" w:cs="仿宋"/>
          <w:szCs w:val="32"/>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科学技术（类）支出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本部门无政府性基金预算拨款</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文化旅游体育与传媒（类）支出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本部门无政府性基金预算拨款</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社会保障和就业（类）支出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本部门无政府性基金预算拨款</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农林水支出（类）支出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本部门无政府性基金预算拨款</w:t>
      </w:r>
      <w:r>
        <w:rPr>
          <w:rFonts w:hint="eastAsia" w:ascii="仿宋" w:hAnsi="仿宋" w:eastAsia="仿宋" w:cs="仿宋"/>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 w:hAnsi="仿宋" w:eastAsia="仿宋" w:cs="仿宋"/>
          <w:szCs w:val="32"/>
          <w:highlight w:val="none"/>
        </w:rPr>
      </w:pPr>
      <w:r>
        <w:rPr>
          <w:rFonts w:hint="eastAsia" w:ascii="仿宋" w:hAnsi="仿宋" w:eastAsia="仿宋" w:cs="仿宋"/>
          <w:szCs w:val="32"/>
          <w:highlight w:val="none"/>
          <w:lang w:eastAsia="zh-CN"/>
        </w:rPr>
        <w:t>2024</w:t>
      </w:r>
      <w:r>
        <w:rPr>
          <w:rFonts w:hint="eastAsia" w:ascii="仿宋" w:hAnsi="仿宋" w:eastAsia="仿宋" w:cs="仿宋"/>
          <w:szCs w:val="32"/>
          <w:highlight w:val="none"/>
        </w:rPr>
        <w:t>年国有资本经营预算支出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万元，其中：基本支出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%；项目支出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解决历史遗留问题及改革（款）支出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本部门无国有资本经营预算拨款</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国有企业资本金注入（款）支</w:t>
      </w:r>
      <w:r>
        <w:rPr>
          <w:rFonts w:hint="eastAsia" w:ascii="仿宋" w:hAnsi="仿宋" w:eastAsia="仿宋" w:cs="仿宋"/>
          <w:szCs w:val="32"/>
          <w:highlight w:val="none"/>
          <w:lang w:val="en-US" w:eastAsia="zh-CN"/>
        </w:rPr>
        <w:t>出0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本部门无国有资本经营预算拨款</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国有企业政策性补贴（款）支出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本部门无国有资本经营预算拨款</w:t>
      </w:r>
      <w:r>
        <w:rPr>
          <w:rFonts w:hint="eastAsia" w:ascii="仿宋" w:hAnsi="仿宋" w:eastAsia="仿宋" w:cs="仿宋"/>
          <w:szCs w:val="32"/>
          <w:highlight w:val="none"/>
        </w:rPr>
        <w:t>。</w:t>
      </w:r>
    </w:p>
    <w:p>
      <w:pPr>
        <w:ind w:firstLine="640"/>
        <w:rPr>
          <w:rFonts w:hint="eastAsia" w:ascii="仿宋" w:hAnsi="仿宋" w:eastAsia="仿宋" w:cs="仿宋"/>
          <w:szCs w:val="32"/>
          <w:highlight w:val="none"/>
        </w:rPr>
      </w:pPr>
      <w:r>
        <w:rPr>
          <w:rFonts w:hint="eastAsia" w:ascii="仿宋" w:hAnsi="仿宋" w:eastAsia="仿宋" w:cs="仿宋"/>
          <w:szCs w:val="32"/>
          <w:highlight w:val="none"/>
        </w:rPr>
        <w:t>其他国有资本经营预算（款）支出</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万元，占</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%，主要用于</w:t>
      </w:r>
      <w:r>
        <w:rPr>
          <w:rFonts w:hint="eastAsia" w:ascii="仿宋" w:hAnsi="仿宋" w:eastAsia="仿宋" w:cs="仿宋"/>
          <w:szCs w:val="32"/>
        </w:rPr>
        <w:t>本部门无国有资本经营预算拨款</w:t>
      </w:r>
      <w:r>
        <w:rPr>
          <w:rFonts w:hint="eastAsia" w:ascii="仿宋" w:hAnsi="仿宋" w:eastAsia="仿宋" w:cs="仿宋"/>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本部门无机关运行经费</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11.21</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11.21</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2</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11.21</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5YWZjNTY4MWIzOTQ4OWNjZWUxMWFlZGM1NGFjOD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B1941F3"/>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581009"/>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5A6F0B"/>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20B0F"/>
    <w:rsid w:val="4B7F44F8"/>
    <w:rsid w:val="4BAC24C5"/>
    <w:rsid w:val="4BFA0656"/>
    <w:rsid w:val="4C5567C9"/>
    <w:rsid w:val="4D730507"/>
    <w:rsid w:val="4D741DD3"/>
    <w:rsid w:val="4DC93207"/>
    <w:rsid w:val="4E2A22FD"/>
    <w:rsid w:val="4E8D5761"/>
    <w:rsid w:val="4EF54A85"/>
    <w:rsid w:val="4F6F75D9"/>
    <w:rsid w:val="4FBF5220"/>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F826FE2"/>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7815CD"/>
    <w:rsid w:val="79F85634"/>
    <w:rsid w:val="7A090695"/>
    <w:rsid w:val="7AE175F4"/>
    <w:rsid w:val="7B417685"/>
    <w:rsid w:val="7B5220F0"/>
    <w:rsid w:val="7BA169C0"/>
    <w:rsid w:val="7BE95D3C"/>
    <w:rsid w:val="7C6A2199"/>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7</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通榆县疾病预防控制中心</cp:lastModifiedBy>
  <cp:lastPrinted>2022-02-21T08:08:00Z</cp:lastPrinted>
  <dcterms:modified xsi:type="dcterms:W3CDTF">2024-01-29T06:13:18Z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