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bookmarkStart w:id="0" w:name="_GoBack"/>
      <w:bookmarkEnd w:id="0"/>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val="en-US" w:eastAsia="zh-CN"/>
        </w:rPr>
        <w:t>通榆县兴隆山镇人民政府</w:t>
      </w:r>
      <w:r>
        <w:rPr>
          <w:rFonts w:hint="eastAsia" w:eastAsia="方正小标宋简体"/>
          <w:sz w:val="44"/>
          <w:szCs w:val="44"/>
          <w:lang w:eastAsia="zh-CN"/>
        </w:rPr>
        <w:t>2024</w:t>
      </w:r>
      <w:r>
        <w:rPr>
          <w:rFonts w:eastAsia="方正小标宋简体"/>
          <w:sz w:val="44"/>
          <w:szCs w:val="44"/>
        </w:rPr>
        <w:t>年部门预算</w:t>
      </w:r>
    </w:p>
    <w:p>
      <w:pPr>
        <w:jc w:val="center"/>
        <w:rPr>
          <w:rFonts w:hint="default" w:eastAsia="方正小标宋简体"/>
          <w:sz w:val="44"/>
          <w:szCs w:val="44"/>
          <w:lang w:val="en-US" w:eastAsia="zh-CN"/>
        </w:rPr>
      </w:pPr>
      <w:r>
        <w:rPr>
          <w:rFonts w:hint="eastAsia" w:eastAsia="方正小标宋简体"/>
          <w:sz w:val="44"/>
          <w:szCs w:val="44"/>
          <w:lang w:eastAsia="zh-CN"/>
        </w:rPr>
        <w:t>（</w:t>
      </w:r>
      <w:r>
        <w:rPr>
          <w:rFonts w:hint="eastAsia" w:eastAsia="方正小标宋简体"/>
          <w:sz w:val="44"/>
          <w:szCs w:val="44"/>
          <w:lang w:val="en-US" w:eastAsia="zh-CN"/>
        </w:rPr>
        <w:t>本级）</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color w:val="000000"/>
          <w:szCs w:val="32"/>
        </w:rPr>
      </w:pPr>
      <w:r>
        <w:rPr>
          <w:rFonts w:hint="eastAsia"/>
          <w:color w:val="000000"/>
          <w:szCs w:val="32"/>
        </w:rPr>
        <w:t xml:space="preserve"> 中共通榆县兴隆山镇委员会（以下简称兴隆山镇党委）是镇各种组织、县级部门延伸机构和各项工作的领导核心、对镇经济、政治、文化、社会、生态文明建设实行全面领导，对镇党的建设和乡村振兴全面负责。通榆县兴隆山镇人民政府（以下简称兴隆山镇政府）根据镇经济社会发展的特点和资源禀赋，确定功能定位，加快职能转变步伐，推进区域发展。</w:t>
      </w:r>
    </w:p>
    <w:p>
      <w:pPr>
        <w:ind w:firstLine="640" w:firstLineChars="200"/>
        <w:rPr>
          <w:rFonts w:hint="eastAsia"/>
          <w:color w:val="000000"/>
          <w:szCs w:val="32"/>
        </w:rPr>
      </w:pPr>
      <w:r>
        <w:rPr>
          <w:rFonts w:hint="eastAsia"/>
          <w:color w:val="000000"/>
          <w:szCs w:val="32"/>
        </w:rPr>
        <w:t>兴隆山镇党委、政府的主要职责是：</w:t>
      </w:r>
    </w:p>
    <w:p>
      <w:pPr>
        <w:ind w:firstLine="640" w:firstLineChars="200"/>
        <w:rPr>
          <w:rFonts w:hint="eastAsia"/>
          <w:color w:val="000000"/>
          <w:szCs w:val="32"/>
        </w:rPr>
      </w:pPr>
      <w:r>
        <w:rPr>
          <w:rFonts w:hint="eastAsia"/>
          <w:color w:val="000000"/>
          <w:szCs w:val="32"/>
          <w:lang w:eastAsia="zh-CN"/>
        </w:rPr>
        <w:t>（一）</w:t>
      </w:r>
      <w:r>
        <w:rPr>
          <w:rFonts w:hint="eastAsia"/>
          <w:color w:val="000000"/>
          <w:szCs w:val="32"/>
        </w:rPr>
        <w:t>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w:t>
      </w:r>
    </w:p>
    <w:p>
      <w:pPr>
        <w:numPr>
          <w:ilvl w:val="0"/>
          <w:numId w:val="0"/>
        </w:numPr>
        <w:ind w:firstLine="640" w:firstLineChars="200"/>
        <w:rPr>
          <w:rFonts w:hint="eastAsia"/>
          <w:color w:val="000000"/>
          <w:szCs w:val="32"/>
        </w:rPr>
      </w:pPr>
      <w:r>
        <w:rPr>
          <w:rFonts w:hint="eastAsia"/>
          <w:color w:val="000000"/>
          <w:szCs w:val="32"/>
        </w:rPr>
        <w:t>（二）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pPr>
        <w:numPr>
          <w:ilvl w:val="0"/>
          <w:numId w:val="0"/>
        </w:numPr>
        <w:ind w:firstLine="640" w:firstLineChars="200"/>
        <w:rPr>
          <w:rFonts w:hint="eastAsia"/>
          <w:color w:val="000000"/>
          <w:szCs w:val="32"/>
        </w:rPr>
      </w:pPr>
      <w:r>
        <w:rPr>
          <w:rFonts w:hint="eastAsia"/>
          <w:color w:val="000000"/>
          <w:szCs w:val="32"/>
        </w:rPr>
        <w:t>（三）组织公共服务。推进政府职能由“管理型”向“服务型”转变，积极推进基本公共服务均等化。推动优质公共服务资源向村延伸。创新公共服务供给方式，加快建立政府主导、社会参与、公办民办并举的公共服务供给模式，加大政府购买服务力度。组织实施与群众生活密切相关的各项公共服务，落实人力社保、民政、教育、文化、体育、卫生健康等各领域相关政策。</w:t>
      </w:r>
    </w:p>
    <w:p>
      <w:pPr>
        <w:numPr>
          <w:ilvl w:val="0"/>
          <w:numId w:val="0"/>
        </w:numPr>
        <w:ind w:firstLine="640" w:firstLineChars="200"/>
        <w:rPr>
          <w:rFonts w:hint="eastAsia"/>
          <w:color w:val="000000"/>
          <w:szCs w:val="32"/>
          <w:lang w:val="en-US" w:eastAsia="zh-CN"/>
        </w:rPr>
      </w:pPr>
      <w:r>
        <w:rPr>
          <w:rFonts w:hint="eastAsia"/>
          <w:color w:val="000000"/>
          <w:szCs w:val="32"/>
        </w:rPr>
        <w:t>（四）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w:t>
      </w:r>
      <w:r>
        <w:rPr>
          <w:rFonts w:hint="eastAsia"/>
          <w:color w:val="000000"/>
          <w:szCs w:val="32"/>
          <w:lang w:eastAsia="zh-CN"/>
        </w:rPr>
        <w:t>。</w:t>
      </w:r>
      <w:r>
        <w:rPr>
          <w:rFonts w:hint="eastAsia"/>
          <w:color w:val="000000"/>
          <w:szCs w:val="32"/>
          <w:lang w:val="en-US" w:eastAsia="zh-CN"/>
        </w:rPr>
        <w:t xml:space="preserve"> </w:t>
      </w:r>
    </w:p>
    <w:p>
      <w:pPr>
        <w:numPr>
          <w:ilvl w:val="0"/>
          <w:numId w:val="0"/>
        </w:numPr>
        <w:ind w:firstLine="640" w:firstLineChars="200"/>
        <w:rPr>
          <w:rFonts w:hint="eastAsia"/>
          <w:color w:val="000000"/>
          <w:szCs w:val="32"/>
          <w:lang w:eastAsia="zh-CN"/>
        </w:rPr>
      </w:pPr>
      <w:r>
        <w:rPr>
          <w:rFonts w:hint="eastAsia"/>
          <w:color w:val="000000"/>
          <w:szCs w:val="32"/>
          <w:lang w:eastAsia="zh-CN"/>
        </w:rPr>
        <w:t>（五）动员社会参与。坚持以基层党建引领基层治理，动员指导辖区内各类单位、社会组织和村等社会力量参与社会治理，引导辖区单位履行社会责任，整合辖区内各种社会力量为镇、村发展服务。做实做强由党建引领的基层共治基本单元，构建党组织统一领导、各类组织积极协同、广大群众广泛参与的基层治理体系。</w:t>
      </w:r>
    </w:p>
    <w:p>
      <w:pPr>
        <w:ind w:firstLine="640" w:firstLineChars="200"/>
        <w:rPr>
          <w:rFonts w:hint="eastAsia"/>
          <w:color w:val="000000"/>
          <w:szCs w:val="32"/>
          <w:lang w:eastAsia="zh-CN"/>
        </w:rPr>
      </w:pPr>
      <w:r>
        <w:rPr>
          <w:rFonts w:hint="eastAsia"/>
          <w:color w:val="000000"/>
          <w:szCs w:val="32"/>
          <w:lang w:eastAsia="zh-CN"/>
        </w:rPr>
        <w:t>（六）领导基层自治。发挥村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pPr>
        <w:ind w:firstLine="640" w:firstLineChars="200"/>
        <w:rPr>
          <w:rFonts w:hint="eastAsia"/>
          <w:color w:val="000000"/>
          <w:szCs w:val="32"/>
          <w:lang w:eastAsia="zh-CN"/>
        </w:rPr>
      </w:pPr>
      <w:r>
        <w:rPr>
          <w:rFonts w:hint="eastAsia"/>
          <w:color w:val="000000"/>
          <w:szCs w:val="32"/>
          <w:lang w:eastAsia="zh-CN"/>
        </w:rPr>
        <w:t>（七）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pPr>
        <w:ind w:firstLine="640" w:firstLineChars="200"/>
        <w:rPr>
          <w:rFonts w:hint="eastAsia"/>
          <w:color w:val="000000"/>
          <w:szCs w:val="32"/>
          <w:lang w:eastAsia="zh-CN"/>
        </w:rPr>
      </w:pPr>
      <w:r>
        <w:rPr>
          <w:rFonts w:hint="eastAsia"/>
          <w:color w:val="000000"/>
          <w:szCs w:val="32"/>
          <w:lang w:eastAsia="zh-CN"/>
        </w:rPr>
        <w:t>（八）深化“放管服”改革和“最多跑一次”改革。依托镇便民服务平台，推进审批服务事项向便民服务中心集中，保障便民服务中心的审批服务事项到位、权限到位。推进镇便民服务平台标准化建设，加快实现政务服务马上办、网上办、就近办、一次办，提升政务服务质量。</w:t>
      </w:r>
    </w:p>
    <w:p>
      <w:pPr>
        <w:ind w:firstLine="640" w:firstLineChars="200"/>
        <w:rPr>
          <w:rFonts w:hint="eastAsia"/>
          <w:color w:val="000000"/>
          <w:szCs w:val="32"/>
          <w:lang w:eastAsia="zh-CN"/>
        </w:rPr>
      </w:pPr>
      <w:r>
        <w:rPr>
          <w:rFonts w:hint="eastAsia"/>
          <w:color w:val="000000"/>
          <w:szCs w:val="32"/>
          <w:lang w:eastAsia="zh-CN"/>
        </w:rPr>
        <w:t>（九）完成法律、法规、规章规定的其他事项和县委、县政府交办的其他任务。</w:t>
      </w:r>
    </w:p>
    <w:p>
      <w:pPr>
        <w:ind w:firstLine="640" w:firstLineChars="200"/>
      </w:pPr>
      <w:r>
        <w:rPr>
          <w:rFonts w:eastAsia="楷体_GB2312"/>
        </w:rPr>
        <w:t>二、机构设置</w:t>
      </w:r>
    </w:p>
    <w:p>
      <w:pPr>
        <w:pStyle w:val="51"/>
        <w:ind w:firstLine="640" w:firstLineChars="200"/>
        <w:rPr>
          <w:rFonts w:hint="eastAsia" w:eastAsia="仿宋_GB2312"/>
        </w:rPr>
      </w:pPr>
      <w:r>
        <w:rPr>
          <w:rFonts w:hint="eastAsia" w:eastAsia="仿宋_GB2312"/>
        </w:rPr>
        <w:t xml:space="preserve"> 兴隆山镇党委、政府设下列综合性办事机构：</w:t>
      </w:r>
    </w:p>
    <w:p>
      <w:pPr>
        <w:pStyle w:val="51"/>
        <w:numPr>
          <w:ilvl w:val="0"/>
          <w:numId w:val="1"/>
        </w:numPr>
        <w:ind w:firstLine="640" w:firstLineChars="200"/>
        <w:rPr>
          <w:rFonts w:hint="eastAsia" w:eastAsia="仿宋_GB2312"/>
        </w:rPr>
      </w:pPr>
      <w:r>
        <w:rPr>
          <w:rFonts w:hint="eastAsia" w:eastAsia="仿宋_GB2312"/>
        </w:rPr>
        <w:t>综合办公室。负责机关日常运转工作，承担机关会务、文书、信息、保密、档案、机构编制、人事、资产管理、后勤保障等工作。负责重大事项和工作部署的落实、督办、检查工作。负责牵头推进“放管服”改革和“最多跑一次”改革，统筹协调下放审批服务事项的承接工作。承办镇党委、政府交办的其他事项。</w:t>
      </w:r>
    </w:p>
    <w:p>
      <w:pPr>
        <w:pStyle w:val="51"/>
        <w:numPr>
          <w:ilvl w:val="0"/>
          <w:numId w:val="0"/>
        </w:numPr>
        <w:ind w:firstLine="640" w:firstLineChars="200"/>
        <w:jc w:val="left"/>
        <w:rPr>
          <w:rFonts w:hint="eastAsia" w:eastAsia="仿宋_GB2312"/>
        </w:rPr>
      </w:pPr>
      <w:r>
        <w:rPr>
          <w:rFonts w:hint="eastAsia" w:eastAsia="仿宋_GB2312"/>
        </w:rPr>
        <w:t>（二）党建工作办公室。负责党的政治建设、组织建设和宣传、意识形态、统战工作，统筹推进区域化党建、“两新”组织党建、村级党建工作。承担机关党务、党风廉政建设和反腐败等工作。统筹推进辖区人才工作。负责指导工会、共青团、妇联等群团工作。承办镇党委、政府交办的其他事项。</w:t>
      </w:r>
    </w:p>
    <w:p>
      <w:pPr>
        <w:pStyle w:val="51"/>
        <w:ind w:firstLine="640" w:firstLineChars="200"/>
        <w:rPr>
          <w:rFonts w:hint="eastAsia" w:eastAsia="仿宋_GB2312"/>
        </w:rPr>
      </w:pPr>
      <w:r>
        <w:rPr>
          <w:rFonts w:hint="eastAsia" w:eastAsia="仿宋_GB2312"/>
        </w:rPr>
        <w:t>（三）平安建设办公室（应急管理办公室）。负责平安建设、综合治理、维护稳定、“多网合一”等工作。协调开展邪教防范、法治宣传、社区戒毒、社区矫正、刑满释放人员安置帮教工作。指导督促辖区单位和村（居）民落实消防等工作。受理人民群众来信来访、开展矛盾纠纷调处化解。组织协调有关部门共同解决辖区内的治安问题。负责安全生产、应急事件应对预案的制订和执行等工作。承办镇党委、政府交办的其他事项。</w:t>
      </w:r>
    </w:p>
    <w:p>
      <w:pPr>
        <w:pStyle w:val="51"/>
        <w:ind w:firstLine="640" w:firstLineChars="200"/>
        <w:rPr>
          <w:rFonts w:hint="eastAsia" w:eastAsia="仿宋_GB2312"/>
        </w:rPr>
      </w:pPr>
      <w:r>
        <w:rPr>
          <w:rFonts w:hint="eastAsia" w:eastAsia="仿宋_GB2312"/>
        </w:rPr>
        <w:t>（四）社会事务办公室（退役军人事务办公室）。具体承担社会事务和公共服务等工作职责。落实人力社保、医保、退</w:t>
      </w:r>
    </w:p>
    <w:p>
      <w:pPr>
        <w:pStyle w:val="51"/>
        <w:ind w:firstLine="640" w:firstLineChars="200"/>
        <w:rPr>
          <w:rFonts w:hint="eastAsia" w:eastAsia="仿宋_GB2312"/>
        </w:rPr>
      </w:pPr>
      <w:r>
        <w:rPr>
          <w:rFonts w:hint="eastAsia" w:eastAsia="仿宋_GB2312"/>
        </w:rPr>
        <w:t>役军人、民政、教育、文化、体育、卫生健康、人口计生、残联、红十字等领域的有关政策。承办镇党委、政府交办的其他事项。</w:t>
      </w:r>
    </w:p>
    <w:p>
      <w:pPr>
        <w:pStyle w:val="51"/>
        <w:numPr>
          <w:ilvl w:val="0"/>
          <w:numId w:val="2"/>
        </w:numPr>
        <w:ind w:firstLine="640" w:firstLineChars="200"/>
        <w:rPr>
          <w:rFonts w:hint="eastAsia" w:eastAsia="仿宋_GB2312"/>
        </w:rPr>
      </w:pPr>
      <w:r>
        <w:rPr>
          <w:rFonts w:hint="eastAsia" w:eastAsia="仿宋_GB2312"/>
        </w:rPr>
        <w:t>农业农村办公室。落实农业农村发展和乡村振兴战略相关政策。推进农业、林业、水利产业发展和资源开发保护利用工作。指导监督农村“三资”管理规范化建设工作。按职责分工承担辖区内防汛抗旱、森林防火等技术服务工作。承办镇党委、政府交办的其他事项。</w:t>
      </w:r>
    </w:p>
    <w:p>
      <w:pPr>
        <w:pStyle w:val="51"/>
        <w:numPr>
          <w:ilvl w:val="0"/>
          <w:numId w:val="2"/>
        </w:numPr>
        <w:ind w:left="0" w:leftChars="0" w:firstLine="640" w:firstLineChars="200"/>
        <w:jc w:val="left"/>
        <w:rPr>
          <w:rFonts w:hint="eastAsia" w:eastAsia="仿宋_GB2312"/>
        </w:rPr>
      </w:pPr>
      <w:r>
        <w:rPr>
          <w:rFonts w:hint="eastAsia" w:eastAsia="仿宋_GB2312"/>
        </w:rPr>
        <w:t>综合行政执法办公室。负责统筹组织协调指挥辖区内派驻和基层执法力量实行综合行政执法，牵头建立综合行政执法平台工作，代表镇政府履行明确赋予或授权的行政执法职责。承办镇党委、政府交办的其他事项。</w:t>
      </w:r>
    </w:p>
    <w:p>
      <w:pPr>
        <w:pStyle w:val="51"/>
        <w:numPr>
          <w:ilvl w:val="0"/>
          <w:numId w:val="0"/>
        </w:numPr>
        <w:ind w:left="0" w:leftChars="0" w:firstLine="640" w:firstLineChars="200"/>
        <w:jc w:val="left"/>
        <w:rPr>
          <w:rFonts w:hint="eastAsia" w:eastAsia="仿宋_GB2312"/>
        </w:rPr>
      </w:pPr>
      <w:r>
        <w:rPr>
          <w:rFonts w:hint="eastAsia" w:eastAsia="仿宋_GB2312"/>
        </w:rPr>
        <w:t>（七）财政经济办公室。研究本区域经济发展战略，组织编制中长期发展规划和年度计划，立足本地资源和区位条件，优化经济发展环境，培育壮大骨干企业，形成地域产业特色。贯彻执行有关财政法律、法规和财经制度，负责编制和执行镇财政预（决）算计划，统管镇财务，指导并监督集体的财务管理。负责机关及所属单位财务运行、财务管理、惠农（扶贫）资金补贴发放等工作；承办镇党委、政府交办的其他事项。</w:t>
      </w:r>
    </w:p>
    <w:p>
      <w:pPr>
        <w:pStyle w:val="51"/>
        <w:ind w:firstLine="640" w:firstLineChars="200"/>
        <w:rPr>
          <w:rFonts w:hAnsi="楷体" w:eastAsia="楷体"/>
        </w:rPr>
      </w:pPr>
      <w:r>
        <w:rPr>
          <w:rFonts w:hint="eastAsia" w:eastAsia="仿宋_GB2312"/>
        </w:rPr>
        <w:t>（八）扶贫工作办公室。负责贯彻执行党和国家及省、市、县关于扶贫开发工作方针、政策和法律、法规；负责辖区精准扶贫工作的组织协调、指导、监督管理、统计、动态监测、脱贫巩固、宣传等工作；与行业部门积极配合，做好扶贫政策落实、脱贫攻坚项目谋划、实施等工作。承办镇党委、政府交办的其他事项。镇人大、纪检监察、人武、工会、共青团、妇联等组织按有关规定设置并开展工作。</w:t>
      </w: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638.73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keepNext w:val="0"/>
              <w:keepLines w:val="0"/>
              <w:widowControl/>
              <w:suppressLineNumbers w:val="0"/>
              <w:jc w:val="right"/>
              <w:textAlignment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557.91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638.73</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keepNext w:val="0"/>
              <w:keepLines w:val="0"/>
              <w:widowControl/>
              <w:suppressLineNumbers w:val="0"/>
              <w:jc w:val="right"/>
              <w:textAlignment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41.98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24.10</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14.74</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638.73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通榆县兴隆山镇人民政府</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638.73</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638.73</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416" w:type="dxa"/>
            <w:gridSpan w:val="2"/>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2"/>
                <w:sz w:val="20"/>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2"/>
                <w:sz w:val="20"/>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ascii="Times New Roman" w:hAnsi="Times New Roman" w:eastAsia="宋体" w:cs="Times New Roman"/>
                <w:color w:val="000000"/>
                <w:kern w:val="2"/>
                <w:sz w:val="20"/>
                <w:lang w:val="en-US" w:eastAsia="zh-CN" w:bidi="ar-SA"/>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autoSpaceDN w:val="0"/>
              <w:jc w:val="center"/>
              <w:textAlignment w:val="center"/>
              <w:rPr>
                <w:rFonts w:ascii="Times New Roman" w:hAnsi="Times New Roman" w:eastAsia="宋体" w:cs="Times New Roman"/>
                <w:color w:val="000000"/>
                <w:kern w:val="2"/>
                <w:sz w:val="20"/>
                <w:lang w:val="en-US" w:eastAsia="zh-CN" w:bidi="ar-SA"/>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557.91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279.15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278.76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557.91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279.15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278.76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557.91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279.15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278.76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557.91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279.15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278.76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41.98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41.98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41.98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41.98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33.89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33.89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14.74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14.74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14.74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14.74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24.10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24.10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5"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638.73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359.97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278.76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638.73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eastAsia="宋体"/>
                      <w:kern w:val="0"/>
                      <w:sz w:val="20"/>
                      <w:lang w:val="en-US" w:eastAsia="zh-CN"/>
                    </w:rPr>
                    <w:t>557.91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557.91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41.98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41.98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14.74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14.74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24.10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default" w:ascii="Arial" w:hAnsi="Arial" w:eastAsia="宋体" w:cs="Arial"/>
                      <w:i w:val="0"/>
                      <w:iCs w:val="0"/>
                      <w:color w:val="000000"/>
                      <w:kern w:val="0"/>
                      <w:sz w:val="20"/>
                      <w:szCs w:val="20"/>
                      <w:u w:val="none"/>
                      <w:lang w:val="en-US" w:eastAsia="zh-CN" w:bidi="ar"/>
                    </w:rPr>
                    <w:t>24.10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default" w:ascii="Arial" w:hAnsi="Arial" w:eastAsia="宋体" w:cs="Arial"/>
                      <w:i w:val="0"/>
                      <w:iCs w:val="0"/>
                      <w:color w:val="000000"/>
                      <w:kern w:val="0"/>
                      <w:sz w:val="20"/>
                      <w:szCs w:val="20"/>
                      <w:u w:val="none"/>
                      <w:lang w:val="en-US" w:eastAsia="zh-CN" w:bidi="ar"/>
                    </w:rPr>
                    <w:t>638.73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729" w:type="dxa"/>
              <w:tblLayout w:type="fixed"/>
              <w:tblCellMar>
                <w:top w:w="15" w:type="dxa"/>
                <w:left w:w="15" w:type="dxa"/>
                <w:bottom w:w="15" w:type="dxa"/>
                <w:right w:w="15" w:type="dxa"/>
              </w:tblCellMar>
            </w:tblPr>
            <w:tblGrid>
              <w:gridCol w:w="2694"/>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931"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69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69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69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一、</w:t>
                  </w: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557.91</w:t>
                  </w:r>
                  <w:r>
                    <w:rPr>
                      <w:rFonts w:hint="default" w:ascii="Arial" w:hAnsi="Arial" w:eastAsia="宋体" w:cs="Arial"/>
                      <w:i w:val="0"/>
                      <w:iCs w:val="0"/>
                      <w:color w:val="000000"/>
                      <w:kern w:val="0"/>
                      <w:sz w:val="20"/>
                      <w:szCs w:val="20"/>
                      <w:u w:val="none"/>
                      <w:lang w:val="en-US" w:eastAsia="zh-CN" w:bidi="ar"/>
                    </w:rPr>
                    <w:t>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279.15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235.17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43.98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278.76</w:t>
                  </w: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557.91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279.15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235.17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43.98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278.76</w:t>
                  </w: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557.91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279.15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235.17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43.98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278.76</w:t>
                  </w: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41.98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41.98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41.98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41.98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41.98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41.98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638.73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359.97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315.99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43.98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278.76</w:t>
                  </w: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一、</w:t>
            </w:r>
            <w:r>
              <w:rPr>
                <w:rFonts w:hint="default" w:ascii="Arial" w:hAnsi="Arial" w:eastAsia="宋体" w:cs="Arial"/>
                <w:i w:val="0"/>
                <w:iCs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304.97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304.97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97.22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97.22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81.25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81.25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43.01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43.01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33.89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33.89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8.09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8.09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14.53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14.53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0.21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0.21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24.10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24.10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2.68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2.68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41.98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41.98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5.30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5.30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15.18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15.18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5.00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11.01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11.01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10.53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10.53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0.49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0.49</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Arial" w:hAnsi="Arial" w:eastAsia="宋体" w:cs="Arial"/>
                <w:i w:val="0"/>
                <w:iCs w:val="0"/>
                <w:color w:val="000000"/>
                <w:kern w:val="0"/>
                <w:sz w:val="20"/>
                <w:szCs w:val="20"/>
                <w:u w:val="none"/>
                <w:lang w:val="en-US" w:eastAsia="zh-CN" w:bidi="ar"/>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Arial" w:hAnsi="Arial" w:eastAsia="宋体" w:cs="Arial"/>
                <w:i w:val="0"/>
                <w:iCs w:val="0"/>
                <w:color w:val="000000"/>
                <w:kern w:val="0"/>
                <w:sz w:val="20"/>
                <w:szCs w:val="20"/>
                <w:u w:val="none"/>
                <w:lang w:val="en-US" w:eastAsia="zh-CN" w:bidi="ar"/>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10.00</w:t>
            </w:r>
          </w:p>
        </w:tc>
        <w:tc>
          <w:tcPr>
            <w:tcW w:w="137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10.00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10.00</w:t>
            </w:r>
          </w:p>
        </w:tc>
        <w:tc>
          <w:tcPr>
            <w:tcW w:w="137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10.00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highlight w:val="yellow"/>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highlight w:val="yellow"/>
                <w:u w:val="single"/>
                <w:lang w:val="en-US" w:eastAsia="zh-CN"/>
              </w:rPr>
              <w:t>41</w:t>
            </w:r>
            <w:r>
              <w:rPr>
                <w:color w:val="000000"/>
                <w:kern w:val="0"/>
                <w:sz w:val="28"/>
                <w:szCs w:val="28"/>
                <w:highlight w:val="yellow"/>
              </w:rPr>
              <w:t>人，其中：在职人员</w:t>
            </w:r>
            <w:r>
              <w:rPr>
                <w:rFonts w:hint="eastAsia" w:eastAsia="宋体"/>
                <w:color w:val="000000"/>
                <w:kern w:val="0"/>
                <w:sz w:val="28"/>
                <w:szCs w:val="28"/>
                <w:highlight w:val="yellow"/>
                <w:u w:val="single"/>
                <w:lang w:val="en-US" w:eastAsia="zh-CN"/>
              </w:rPr>
              <w:t>24</w:t>
            </w:r>
            <w:r>
              <w:rPr>
                <w:color w:val="000000"/>
                <w:kern w:val="0"/>
                <w:sz w:val="28"/>
                <w:szCs w:val="28"/>
                <w:highlight w:val="yellow"/>
              </w:rPr>
              <w:t>人，离退休人员</w:t>
            </w:r>
            <w:r>
              <w:rPr>
                <w:rFonts w:hint="eastAsia" w:eastAsia="宋体"/>
                <w:color w:val="000000"/>
                <w:kern w:val="0"/>
                <w:sz w:val="28"/>
                <w:szCs w:val="28"/>
                <w:highlight w:val="yellow"/>
                <w:u w:val="single"/>
                <w:lang w:val="en-US" w:eastAsia="zh-CN"/>
              </w:rPr>
              <w:t>17</w:t>
            </w:r>
            <w:r>
              <w:rPr>
                <w:color w:val="000000"/>
                <w:kern w:val="0"/>
                <w:sz w:val="28"/>
                <w:szCs w:val="28"/>
                <w:highlight w:val="yellow"/>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125"/>
        <w:gridCol w:w="1172"/>
        <w:gridCol w:w="914"/>
        <w:gridCol w:w="754"/>
        <w:gridCol w:w="570"/>
        <w:gridCol w:w="374"/>
        <w:gridCol w:w="552"/>
        <w:gridCol w:w="597"/>
        <w:gridCol w:w="563"/>
        <w:gridCol w:w="633"/>
        <w:gridCol w:w="469"/>
        <w:gridCol w:w="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8980"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80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2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72"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1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5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496"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716"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03"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297"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91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75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496"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793"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69"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5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6" w:hRule="atLeast"/>
          <w:jc w:val="center"/>
        </w:trPr>
        <w:tc>
          <w:tcPr>
            <w:tcW w:w="803" w:type="dxa"/>
            <w:vMerge w:val="continue"/>
            <w:noWrap w:val="0"/>
            <w:vAlign w:val="center"/>
          </w:tcPr>
          <w:p>
            <w:pPr>
              <w:autoSpaceDN w:val="0"/>
              <w:jc w:val="center"/>
              <w:textAlignment w:val="center"/>
              <w:rPr>
                <w:rFonts w:ascii="Calibri" w:hAnsi="Calibri" w:eastAsia="华文细黑"/>
                <w:color w:val="000000"/>
                <w:sz w:val="20"/>
                <w:szCs w:val="22"/>
              </w:rPr>
            </w:pPr>
          </w:p>
        </w:tc>
        <w:tc>
          <w:tcPr>
            <w:tcW w:w="112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72"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914" w:type="dxa"/>
            <w:vMerge w:val="continue"/>
            <w:noWrap w:val="0"/>
            <w:vAlign w:val="center"/>
          </w:tcPr>
          <w:p>
            <w:pPr>
              <w:autoSpaceDN w:val="0"/>
              <w:jc w:val="center"/>
              <w:textAlignment w:val="center"/>
              <w:rPr>
                <w:rFonts w:ascii="Calibri" w:hAnsi="Calibri" w:eastAsia="华文细黑"/>
                <w:color w:val="000000"/>
                <w:sz w:val="20"/>
                <w:szCs w:val="22"/>
              </w:rPr>
            </w:pPr>
          </w:p>
        </w:tc>
        <w:tc>
          <w:tcPr>
            <w:tcW w:w="754" w:type="dxa"/>
            <w:vMerge w:val="continue"/>
            <w:noWrap w:val="0"/>
            <w:vAlign w:val="center"/>
          </w:tcPr>
          <w:p>
            <w:pPr>
              <w:autoSpaceDN w:val="0"/>
              <w:jc w:val="center"/>
              <w:textAlignment w:val="center"/>
              <w:rPr>
                <w:rFonts w:ascii="Calibri" w:hAnsi="Calibri" w:eastAsia="华文细黑"/>
                <w:color w:val="000000"/>
                <w:sz w:val="20"/>
                <w:szCs w:val="22"/>
              </w:rPr>
            </w:pPr>
          </w:p>
        </w:tc>
        <w:tc>
          <w:tcPr>
            <w:tcW w:w="57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7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5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97"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63"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633"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69"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54"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jc w:val="center"/>
        </w:trPr>
        <w:tc>
          <w:tcPr>
            <w:tcW w:w="803"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专项业务支出</w:t>
            </w:r>
          </w:p>
        </w:tc>
        <w:tc>
          <w:tcPr>
            <w:tcW w:w="1125"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兴隆山镇政府大学生村官工资1.3（377528元）</w:t>
            </w:r>
          </w:p>
        </w:tc>
        <w:tc>
          <w:tcPr>
            <w:tcW w:w="1172"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兴隆山镇政府大学生村官工资1.3（377528元）</w:t>
            </w:r>
          </w:p>
        </w:tc>
        <w:tc>
          <w:tcPr>
            <w:tcW w:w="91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兴隆山镇政府大学生村官工资1.3（377528元）</w:t>
            </w:r>
          </w:p>
        </w:tc>
        <w:tc>
          <w:tcPr>
            <w:tcW w:w="754"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37.75</w:t>
            </w:r>
          </w:p>
        </w:tc>
        <w:tc>
          <w:tcPr>
            <w:tcW w:w="570"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37.75</w:t>
            </w:r>
          </w:p>
        </w:tc>
        <w:tc>
          <w:tcPr>
            <w:tcW w:w="374" w:type="dxa"/>
            <w:noWrap w:val="0"/>
            <w:vAlign w:val="center"/>
          </w:tcPr>
          <w:p>
            <w:pPr>
              <w:spacing w:line="700" w:lineRule="exact"/>
              <w:jc w:val="center"/>
              <w:rPr>
                <w:rFonts w:ascii="Calibri" w:hAnsi="Calibri" w:eastAsia="楷体"/>
                <w:kern w:val="0"/>
                <w:szCs w:val="32"/>
              </w:rPr>
            </w:pPr>
          </w:p>
        </w:tc>
        <w:tc>
          <w:tcPr>
            <w:tcW w:w="552"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spacing w:line="700" w:lineRule="exact"/>
              <w:jc w:val="center"/>
              <w:rPr>
                <w:rFonts w:ascii="Calibri" w:hAnsi="Calibri" w:eastAsia="楷体"/>
                <w:kern w:val="0"/>
                <w:szCs w:val="32"/>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803"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专项业务支出</w:t>
            </w:r>
          </w:p>
        </w:tc>
        <w:tc>
          <w:tcPr>
            <w:tcW w:w="1125"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兴隆山镇政府转移支付资金1.3（340648元）</w:t>
            </w:r>
          </w:p>
        </w:tc>
        <w:tc>
          <w:tcPr>
            <w:tcW w:w="1172"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兴隆山镇政府转移支付资金1.3（340648元）</w:t>
            </w:r>
          </w:p>
        </w:tc>
        <w:tc>
          <w:tcPr>
            <w:tcW w:w="91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通榆县兴隆山镇人民政府</w:t>
            </w:r>
          </w:p>
        </w:tc>
        <w:tc>
          <w:tcPr>
            <w:tcW w:w="754"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34.06</w:t>
            </w:r>
          </w:p>
        </w:tc>
        <w:tc>
          <w:tcPr>
            <w:tcW w:w="570"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34.06</w:t>
            </w:r>
          </w:p>
        </w:tc>
        <w:tc>
          <w:tcPr>
            <w:tcW w:w="374" w:type="dxa"/>
            <w:noWrap w:val="0"/>
            <w:vAlign w:val="center"/>
          </w:tcPr>
          <w:p>
            <w:pPr>
              <w:spacing w:line="700" w:lineRule="exact"/>
              <w:jc w:val="center"/>
              <w:rPr>
                <w:rFonts w:ascii="Calibri" w:hAnsi="Calibri" w:eastAsia="楷体"/>
                <w:kern w:val="0"/>
                <w:szCs w:val="32"/>
              </w:rPr>
            </w:pPr>
          </w:p>
        </w:tc>
        <w:tc>
          <w:tcPr>
            <w:tcW w:w="552"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spacing w:line="700" w:lineRule="exact"/>
              <w:jc w:val="center"/>
              <w:rPr>
                <w:rFonts w:ascii="Calibri" w:hAnsi="Calibri" w:eastAsia="楷体"/>
                <w:kern w:val="0"/>
                <w:szCs w:val="32"/>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803"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专项业务支出</w:t>
            </w:r>
          </w:p>
        </w:tc>
        <w:tc>
          <w:tcPr>
            <w:tcW w:w="1125"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兴隆山镇政府辅助岗位人员工资1.5（342640元）</w:t>
            </w:r>
          </w:p>
        </w:tc>
        <w:tc>
          <w:tcPr>
            <w:tcW w:w="1172"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兴隆山镇政府辅助岗位人员工资1.5（342640元）</w:t>
            </w:r>
          </w:p>
        </w:tc>
        <w:tc>
          <w:tcPr>
            <w:tcW w:w="91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通榆县兴隆山镇人民政府</w:t>
            </w:r>
          </w:p>
        </w:tc>
        <w:tc>
          <w:tcPr>
            <w:tcW w:w="754"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34.26</w:t>
            </w:r>
          </w:p>
        </w:tc>
        <w:tc>
          <w:tcPr>
            <w:tcW w:w="570" w:type="dxa"/>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34.2</w:t>
            </w:r>
            <w:r>
              <w:rPr>
                <w:rFonts w:hint="eastAsia" w:ascii="Arial" w:hAnsi="Arial" w:eastAsia="宋体" w:cs="Arial"/>
                <w:i w:val="0"/>
                <w:iCs w:val="0"/>
                <w:color w:val="000000"/>
                <w:kern w:val="0"/>
                <w:sz w:val="20"/>
                <w:szCs w:val="20"/>
                <w:u w:val="none"/>
                <w:lang w:val="en-US" w:eastAsia="zh-CN" w:bidi="ar"/>
              </w:rPr>
              <w:t>7</w:t>
            </w:r>
          </w:p>
        </w:tc>
        <w:tc>
          <w:tcPr>
            <w:tcW w:w="374" w:type="dxa"/>
            <w:noWrap w:val="0"/>
            <w:vAlign w:val="center"/>
          </w:tcPr>
          <w:p>
            <w:pPr>
              <w:spacing w:line="700" w:lineRule="exact"/>
              <w:jc w:val="right"/>
              <w:rPr>
                <w:rFonts w:hint="default" w:ascii="Calibri" w:hAnsi="Calibri" w:eastAsia="楷体"/>
                <w:kern w:val="0"/>
                <w:sz w:val="20"/>
                <w:szCs w:val="20"/>
                <w:lang w:val="en-US" w:eastAsia="zh-CN"/>
              </w:rPr>
            </w:pPr>
          </w:p>
        </w:tc>
        <w:tc>
          <w:tcPr>
            <w:tcW w:w="552"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spacing w:line="700" w:lineRule="exact"/>
              <w:jc w:val="center"/>
              <w:rPr>
                <w:rFonts w:ascii="Calibri" w:hAnsi="Calibri" w:eastAsia="楷体"/>
                <w:kern w:val="0"/>
                <w:szCs w:val="32"/>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803" w:type="dxa"/>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专项业务支出</w:t>
            </w:r>
          </w:p>
        </w:tc>
        <w:tc>
          <w:tcPr>
            <w:tcW w:w="1125"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兴隆山镇政府驻村工作队生活补贴1.3（72000元）</w:t>
            </w:r>
          </w:p>
        </w:tc>
        <w:tc>
          <w:tcPr>
            <w:tcW w:w="1172"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兴隆山镇政府驻村工作队生活补贴1.3（72000元）</w:t>
            </w:r>
          </w:p>
        </w:tc>
        <w:tc>
          <w:tcPr>
            <w:tcW w:w="91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通榆县兴隆山镇人民政府</w:t>
            </w:r>
          </w:p>
        </w:tc>
        <w:tc>
          <w:tcPr>
            <w:tcW w:w="754"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7.20</w:t>
            </w:r>
          </w:p>
        </w:tc>
        <w:tc>
          <w:tcPr>
            <w:tcW w:w="570"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7.20</w:t>
            </w:r>
          </w:p>
        </w:tc>
        <w:tc>
          <w:tcPr>
            <w:tcW w:w="374" w:type="dxa"/>
            <w:noWrap w:val="0"/>
            <w:vAlign w:val="center"/>
          </w:tcPr>
          <w:p>
            <w:pPr>
              <w:spacing w:line="700" w:lineRule="exact"/>
              <w:jc w:val="center"/>
              <w:rPr>
                <w:rFonts w:ascii="Calibri" w:hAnsi="Calibri" w:eastAsia="楷体"/>
                <w:kern w:val="0"/>
                <w:szCs w:val="32"/>
              </w:rPr>
            </w:pPr>
          </w:p>
        </w:tc>
        <w:tc>
          <w:tcPr>
            <w:tcW w:w="552"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spacing w:line="700" w:lineRule="exact"/>
              <w:jc w:val="center"/>
              <w:rPr>
                <w:rFonts w:ascii="Calibri" w:hAnsi="Calibri" w:eastAsia="楷体"/>
                <w:kern w:val="0"/>
                <w:szCs w:val="32"/>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803" w:type="dxa"/>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专项业务支出</w:t>
            </w:r>
          </w:p>
        </w:tc>
        <w:tc>
          <w:tcPr>
            <w:tcW w:w="1125"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兴隆山镇政府（同发牧场）社区工资1.3（1654800元）</w:t>
            </w:r>
          </w:p>
        </w:tc>
        <w:tc>
          <w:tcPr>
            <w:tcW w:w="1172"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兴隆山镇政府（同发牧场）社区工资1.3（1654800元）</w:t>
            </w:r>
          </w:p>
        </w:tc>
        <w:tc>
          <w:tcPr>
            <w:tcW w:w="91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通榆县兴隆山镇人民政府</w:t>
            </w:r>
          </w:p>
        </w:tc>
        <w:tc>
          <w:tcPr>
            <w:tcW w:w="754"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165.48</w:t>
            </w:r>
          </w:p>
        </w:tc>
        <w:tc>
          <w:tcPr>
            <w:tcW w:w="570"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165.48</w:t>
            </w:r>
          </w:p>
        </w:tc>
        <w:tc>
          <w:tcPr>
            <w:tcW w:w="374" w:type="dxa"/>
            <w:noWrap w:val="0"/>
            <w:vAlign w:val="center"/>
          </w:tcPr>
          <w:p>
            <w:pPr>
              <w:spacing w:line="700" w:lineRule="exact"/>
              <w:jc w:val="both"/>
              <w:rPr>
                <w:rFonts w:hint="default" w:ascii="Calibri" w:hAnsi="Calibri" w:eastAsia="楷体"/>
                <w:kern w:val="0"/>
                <w:szCs w:val="32"/>
                <w:lang w:val="en-US" w:eastAsia="zh-CN"/>
              </w:rPr>
            </w:pPr>
          </w:p>
        </w:tc>
        <w:tc>
          <w:tcPr>
            <w:tcW w:w="552"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spacing w:line="700" w:lineRule="exact"/>
              <w:jc w:val="center"/>
              <w:rPr>
                <w:rFonts w:ascii="Calibri" w:hAnsi="Calibri" w:eastAsia="楷体"/>
                <w:kern w:val="0"/>
                <w:szCs w:val="32"/>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803" w:type="dxa"/>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合计</w:t>
            </w:r>
          </w:p>
        </w:tc>
        <w:tc>
          <w:tcPr>
            <w:tcW w:w="1125" w:type="dxa"/>
            <w:noWrap w:val="0"/>
            <w:vAlign w:val="center"/>
          </w:tcPr>
          <w:p>
            <w:pPr>
              <w:autoSpaceDN w:val="0"/>
              <w:jc w:val="center"/>
              <w:textAlignment w:val="center"/>
              <w:rPr>
                <w:rFonts w:ascii="Calibri" w:hAnsi="Calibri" w:eastAsia="华文细黑"/>
                <w:color w:val="000000"/>
                <w:sz w:val="20"/>
                <w:szCs w:val="22"/>
              </w:rPr>
            </w:pPr>
          </w:p>
        </w:tc>
        <w:tc>
          <w:tcPr>
            <w:tcW w:w="1172" w:type="dxa"/>
            <w:noWrap w:val="0"/>
            <w:vAlign w:val="center"/>
          </w:tcPr>
          <w:p>
            <w:pPr>
              <w:spacing w:line="700" w:lineRule="exact"/>
              <w:jc w:val="center"/>
              <w:rPr>
                <w:rFonts w:ascii="Calibri" w:hAnsi="Calibri" w:eastAsia="楷体"/>
                <w:kern w:val="0"/>
                <w:szCs w:val="32"/>
              </w:rPr>
            </w:pPr>
          </w:p>
        </w:tc>
        <w:tc>
          <w:tcPr>
            <w:tcW w:w="914" w:type="dxa"/>
            <w:noWrap w:val="0"/>
            <w:vAlign w:val="center"/>
          </w:tcPr>
          <w:p>
            <w:pPr>
              <w:spacing w:line="700" w:lineRule="exact"/>
              <w:jc w:val="center"/>
              <w:rPr>
                <w:rFonts w:ascii="Calibri" w:hAnsi="Calibri" w:eastAsia="楷体"/>
                <w:kern w:val="0"/>
                <w:szCs w:val="32"/>
              </w:rPr>
            </w:pPr>
          </w:p>
        </w:tc>
        <w:tc>
          <w:tcPr>
            <w:tcW w:w="754" w:type="dxa"/>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278.76</w:t>
            </w:r>
          </w:p>
        </w:tc>
        <w:tc>
          <w:tcPr>
            <w:tcW w:w="570"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278.76</w:t>
            </w:r>
          </w:p>
        </w:tc>
        <w:tc>
          <w:tcPr>
            <w:tcW w:w="374" w:type="dxa"/>
            <w:noWrap w:val="0"/>
            <w:vAlign w:val="center"/>
          </w:tcPr>
          <w:p>
            <w:pPr>
              <w:spacing w:line="700" w:lineRule="exact"/>
              <w:jc w:val="center"/>
              <w:rPr>
                <w:rFonts w:ascii="Calibri" w:hAnsi="Calibri" w:eastAsia="楷体"/>
                <w:kern w:val="0"/>
                <w:szCs w:val="32"/>
              </w:rPr>
            </w:pPr>
          </w:p>
        </w:tc>
        <w:tc>
          <w:tcPr>
            <w:tcW w:w="552"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803" w:type="dxa"/>
            <w:noWrap w:val="0"/>
            <w:vAlign w:val="center"/>
          </w:tcPr>
          <w:p>
            <w:pPr>
              <w:autoSpaceDN w:val="0"/>
              <w:jc w:val="center"/>
              <w:textAlignment w:val="center"/>
              <w:rPr>
                <w:rFonts w:hint="eastAsia" w:ascii="Calibri" w:hAnsi="Calibri" w:eastAsia="华文细黑"/>
                <w:color w:val="000000"/>
                <w:sz w:val="20"/>
                <w:szCs w:val="22"/>
              </w:rPr>
            </w:pPr>
          </w:p>
        </w:tc>
        <w:tc>
          <w:tcPr>
            <w:tcW w:w="1125" w:type="dxa"/>
            <w:noWrap w:val="0"/>
            <w:vAlign w:val="center"/>
          </w:tcPr>
          <w:p>
            <w:pPr>
              <w:autoSpaceDN w:val="0"/>
              <w:jc w:val="center"/>
              <w:textAlignment w:val="center"/>
              <w:rPr>
                <w:rFonts w:ascii="Calibri" w:hAnsi="Calibri" w:eastAsia="华文细黑"/>
                <w:color w:val="000000"/>
                <w:sz w:val="20"/>
                <w:szCs w:val="22"/>
              </w:rPr>
            </w:pPr>
          </w:p>
        </w:tc>
        <w:tc>
          <w:tcPr>
            <w:tcW w:w="1172" w:type="dxa"/>
            <w:noWrap w:val="0"/>
            <w:vAlign w:val="center"/>
          </w:tcPr>
          <w:p>
            <w:pPr>
              <w:spacing w:line="700" w:lineRule="exact"/>
              <w:jc w:val="center"/>
              <w:rPr>
                <w:rFonts w:ascii="Calibri" w:hAnsi="Calibri" w:eastAsia="楷体"/>
                <w:kern w:val="0"/>
                <w:szCs w:val="32"/>
              </w:rPr>
            </w:pPr>
          </w:p>
        </w:tc>
        <w:tc>
          <w:tcPr>
            <w:tcW w:w="914" w:type="dxa"/>
            <w:noWrap w:val="0"/>
            <w:vAlign w:val="center"/>
          </w:tcPr>
          <w:p>
            <w:pPr>
              <w:spacing w:line="700" w:lineRule="exact"/>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244.41244</w:t>
            </w:r>
          </w:p>
        </w:tc>
        <w:tc>
          <w:tcPr>
            <w:tcW w:w="754" w:type="dxa"/>
            <w:noWrap w:val="0"/>
            <w:vAlign w:val="center"/>
          </w:tcPr>
          <w:p>
            <w:pPr>
              <w:spacing w:line="700" w:lineRule="exact"/>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44.41</w:t>
            </w:r>
          </w:p>
        </w:tc>
        <w:tc>
          <w:tcPr>
            <w:tcW w:w="570" w:type="dxa"/>
            <w:noWrap w:val="0"/>
            <w:vAlign w:val="center"/>
          </w:tcPr>
          <w:p>
            <w:pPr>
              <w:spacing w:line="700" w:lineRule="exact"/>
              <w:jc w:val="both"/>
              <w:rPr>
                <w:rFonts w:hint="default" w:ascii="仿宋" w:hAnsi="仿宋" w:eastAsia="仿宋" w:cs="仿宋"/>
                <w:kern w:val="0"/>
                <w:sz w:val="20"/>
                <w:szCs w:val="20"/>
                <w:lang w:val="en-US" w:eastAsia="zh-CN"/>
              </w:rPr>
            </w:pPr>
          </w:p>
        </w:tc>
        <w:tc>
          <w:tcPr>
            <w:tcW w:w="374" w:type="dxa"/>
            <w:noWrap w:val="0"/>
            <w:vAlign w:val="center"/>
          </w:tcPr>
          <w:p>
            <w:pPr>
              <w:spacing w:line="700" w:lineRule="exact"/>
              <w:jc w:val="center"/>
              <w:rPr>
                <w:rFonts w:ascii="Calibri" w:hAnsi="Calibri" w:eastAsia="楷体"/>
                <w:kern w:val="0"/>
                <w:szCs w:val="32"/>
              </w:rPr>
            </w:pPr>
          </w:p>
        </w:tc>
        <w:tc>
          <w:tcPr>
            <w:tcW w:w="552"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spacing w:line="700" w:lineRule="exact"/>
              <w:jc w:val="center"/>
              <w:rPr>
                <w:rFonts w:ascii="Calibri" w:hAnsi="Calibri" w:eastAsia="楷体"/>
                <w:kern w:val="0"/>
                <w:szCs w:val="32"/>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803" w:type="dxa"/>
            <w:noWrap w:val="0"/>
            <w:vAlign w:val="center"/>
          </w:tcPr>
          <w:p>
            <w:pPr>
              <w:autoSpaceDN w:val="0"/>
              <w:jc w:val="center"/>
              <w:textAlignment w:val="center"/>
              <w:rPr>
                <w:rFonts w:hint="eastAsia" w:ascii="Calibri" w:hAnsi="Calibri" w:eastAsia="华文细黑"/>
                <w:color w:val="000000"/>
                <w:sz w:val="20"/>
                <w:szCs w:val="22"/>
              </w:rPr>
            </w:pPr>
          </w:p>
        </w:tc>
        <w:tc>
          <w:tcPr>
            <w:tcW w:w="1125" w:type="dxa"/>
            <w:noWrap w:val="0"/>
            <w:vAlign w:val="center"/>
          </w:tcPr>
          <w:p>
            <w:pPr>
              <w:autoSpaceDN w:val="0"/>
              <w:jc w:val="center"/>
              <w:textAlignment w:val="center"/>
              <w:rPr>
                <w:rFonts w:ascii="Calibri" w:hAnsi="Calibri" w:eastAsia="华文细黑"/>
                <w:color w:val="000000"/>
                <w:sz w:val="20"/>
                <w:szCs w:val="22"/>
              </w:rPr>
            </w:pPr>
          </w:p>
        </w:tc>
        <w:tc>
          <w:tcPr>
            <w:tcW w:w="1172" w:type="dxa"/>
            <w:noWrap w:val="0"/>
            <w:vAlign w:val="center"/>
          </w:tcPr>
          <w:p>
            <w:pPr>
              <w:spacing w:line="700" w:lineRule="exact"/>
              <w:jc w:val="center"/>
              <w:rPr>
                <w:rFonts w:ascii="Calibri" w:hAnsi="Calibri" w:eastAsia="楷体"/>
                <w:kern w:val="0"/>
                <w:szCs w:val="32"/>
              </w:rPr>
            </w:pPr>
          </w:p>
        </w:tc>
        <w:tc>
          <w:tcPr>
            <w:tcW w:w="914" w:type="dxa"/>
            <w:noWrap w:val="0"/>
            <w:vAlign w:val="center"/>
          </w:tcPr>
          <w:p>
            <w:pPr>
              <w:spacing w:line="700" w:lineRule="exact"/>
              <w:jc w:val="center"/>
              <w:rPr>
                <w:rFonts w:ascii="Calibri" w:hAnsi="Calibri" w:eastAsia="楷体"/>
                <w:kern w:val="0"/>
                <w:szCs w:val="32"/>
              </w:rPr>
            </w:pPr>
          </w:p>
        </w:tc>
        <w:tc>
          <w:tcPr>
            <w:tcW w:w="754" w:type="dxa"/>
            <w:noWrap w:val="0"/>
            <w:vAlign w:val="center"/>
          </w:tcPr>
          <w:p>
            <w:pPr>
              <w:spacing w:line="700" w:lineRule="exact"/>
              <w:jc w:val="center"/>
              <w:rPr>
                <w:rFonts w:ascii="Calibri" w:hAnsi="Calibri" w:eastAsia="楷体"/>
                <w:kern w:val="0"/>
                <w:szCs w:val="32"/>
              </w:rPr>
            </w:pPr>
          </w:p>
        </w:tc>
        <w:tc>
          <w:tcPr>
            <w:tcW w:w="570" w:type="dxa"/>
            <w:noWrap w:val="0"/>
            <w:vAlign w:val="center"/>
          </w:tcPr>
          <w:p>
            <w:pPr>
              <w:spacing w:line="700" w:lineRule="exact"/>
              <w:jc w:val="center"/>
              <w:rPr>
                <w:rFonts w:ascii="Calibri" w:hAnsi="Calibri" w:eastAsia="楷体"/>
                <w:kern w:val="0"/>
                <w:szCs w:val="32"/>
              </w:rPr>
            </w:pPr>
          </w:p>
        </w:tc>
        <w:tc>
          <w:tcPr>
            <w:tcW w:w="374" w:type="dxa"/>
            <w:noWrap w:val="0"/>
            <w:vAlign w:val="center"/>
          </w:tcPr>
          <w:p>
            <w:pPr>
              <w:spacing w:line="700" w:lineRule="exact"/>
              <w:jc w:val="center"/>
              <w:rPr>
                <w:rFonts w:ascii="Calibri" w:hAnsi="Calibri" w:eastAsia="楷体"/>
                <w:kern w:val="0"/>
                <w:szCs w:val="32"/>
              </w:rPr>
            </w:pPr>
          </w:p>
        </w:tc>
        <w:tc>
          <w:tcPr>
            <w:tcW w:w="552"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spacing w:line="700" w:lineRule="exact"/>
              <w:jc w:val="center"/>
              <w:rPr>
                <w:rFonts w:ascii="Calibri" w:hAnsi="Calibri" w:eastAsia="楷体"/>
                <w:kern w:val="0"/>
                <w:szCs w:val="32"/>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803" w:type="dxa"/>
            <w:noWrap w:val="0"/>
            <w:vAlign w:val="center"/>
          </w:tcPr>
          <w:p>
            <w:pPr>
              <w:autoSpaceDN w:val="0"/>
              <w:jc w:val="center"/>
              <w:textAlignment w:val="center"/>
              <w:rPr>
                <w:rFonts w:hint="eastAsia" w:ascii="Calibri" w:hAnsi="Calibri" w:eastAsia="华文细黑"/>
                <w:color w:val="000000"/>
                <w:sz w:val="20"/>
                <w:szCs w:val="22"/>
              </w:rPr>
            </w:pPr>
          </w:p>
        </w:tc>
        <w:tc>
          <w:tcPr>
            <w:tcW w:w="1125" w:type="dxa"/>
            <w:noWrap w:val="0"/>
            <w:vAlign w:val="center"/>
          </w:tcPr>
          <w:p>
            <w:pPr>
              <w:autoSpaceDN w:val="0"/>
              <w:jc w:val="center"/>
              <w:textAlignment w:val="center"/>
              <w:rPr>
                <w:rFonts w:ascii="Calibri" w:hAnsi="Calibri" w:eastAsia="华文细黑"/>
                <w:color w:val="000000"/>
                <w:sz w:val="20"/>
                <w:szCs w:val="22"/>
              </w:rPr>
            </w:pPr>
          </w:p>
        </w:tc>
        <w:tc>
          <w:tcPr>
            <w:tcW w:w="1172" w:type="dxa"/>
            <w:noWrap w:val="0"/>
            <w:vAlign w:val="center"/>
          </w:tcPr>
          <w:p>
            <w:pPr>
              <w:spacing w:line="700" w:lineRule="exact"/>
              <w:jc w:val="center"/>
              <w:rPr>
                <w:rFonts w:ascii="Calibri" w:hAnsi="Calibri" w:eastAsia="楷体"/>
                <w:kern w:val="0"/>
                <w:szCs w:val="32"/>
              </w:rPr>
            </w:pPr>
          </w:p>
        </w:tc>
        <w:tc>
          <w:tcPr>
            <w:tcW w:w="914" w:type="dxa"/>
            <w:noWrap w:val="0"/>
            <w:vAlign w:val="center"/>
          </w:tcPr>
          <w:p>
            <w:pPr>
              <w:spacing w:line="700" w:lineRule="exact"/>
              <w:jc w:val="center"/>
              <w:rPr>
                <w:rFonts w:ascii="Calibri" w:hAnsi="Calibri" w:eastAsia="楷体"/>
                <w:kern w:val="0"/>
                <w:szCs w:val="32"/>
              </w:rPr>
            </w:pPr>
          </w:p>
        </w:tc>
        <w:tc>
          <w:tcPr>
            <w:tcW w:w="754" w:type="dxa"/>
            <w:noWrap w:val="0"/>
            <w:vAlign w:val="center"/>
          </w:tcPr>
          <w:p>
            <w:pPr>
              <w:spacing w:line="700" w:lineRule="exact"/>
              <w:jc w:val="center"/>
              <w:rPr>
                <w:rFonts w:ascii="Calibri" w:hAnsi="Calibri" w:eastAsia="楷体"/>
                <w:kern w:val="0"/>
                <w:szCs w:val="32"/>
              </w:rPr>
            </w:pPr>
          </w:p>
        </w:tc>
        <w:tc>
          <w:tcPr>
            <w:tcW w:w="570" w:type="dxa"/>
            <w:noWrap w:val="0"/>
            <w:vAlign w:val="center"/>
          </w:tcPr>
          <w:p>
            <w:pPr>
              <w:spacing w:line="700" w:lineRule="exact"/>
              <w:jc w:val="center"/>
              <w:rPr>
                <w:rFonts w:ascii="Calibri" w:hAnsi="Calibri" w:eastAsia="楷体"/>
                <w:kern w:val="0"/>
                <w:szCs w:val="32"/>
              </w:rPr>
            </w:pPr>
          </w:p>
        </w:tc>
        <w:tc>
          <w:tcPr>
            <w:tcW w:w="374" w:type="dxa"/>
            <w:noWrap w:val="0"/>
            <w:vAlign w:val="center"/>
          </w:tcPr>
          <w:p>
            <w:pPr>
              <w:spacing w:line="700" w:lineRule="exact"/>
              <w:jc w:val="center"/>
              <w:rPr>
                <w:rFonts w:ascii="Calibri" w:hAnsi="Calibri" w:eastAsia="楷体"/>
                <w:kern w:val="0"/>
                <w:szCs w:val="32"/>
              </w:rPr>
            </w:pPr>
          </w:p>
        </w:tc>
        <w:tc>
          <w:tcPr>
            <w:tcW w:w="552"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spacing w:line="700" w:lineRule="exact"/>
              <w:jc w:val="center"/>
              <w:rPr>
                <w:rFonts w:ascii="Calibri" w:hAnsi="Calibri" w:eastAsia="楷体"/>
                <w:kern w:val="0"/>
                <w:szCs w:val="32"/>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803" w:type="dxa"/>
            <w:noWrap w:val="0"/>
            <w:vAlign w:val="center"/>
          </w:tcPr>
          <w:p>
            <w:pPr>
              <w:autoSpaceDN w:val="0"/>
              <w:jc w:val="center"/>
              <w:textAlignment w:val="center"/>
              <w:rPr>
                <w:rFonts w:hint="eastAsia" w:ascii="Calibri" w:hAnsi="Calibri" w:eastAsia="华文细黑"/>
                <w:color w:val="000000"/>
                <w:sz w:val="20"/>
                <w:szCs w:val="22"/>
              </w:rPr>
            </w:pPr>
          </w:p>
        </w:tc>
        <w:tc>
          <w:tcPr>
            <w:tcW w:w="1125" w:type="dxa"/>
            <w:noWrap w:val="0"/>
            <w:vAlign w:val="center"/>
          </w:tcPr>
          <w:p>
            <w:pPr>
              <w:autoSpaceDN w:val="0"/>
              <w:jc w:val="center"/>
              <w:textAlignment w:val="center"/>
              <w:rPr>
                <w:rFonts w:ascii="Calibri" w:hAnsi="Calibri" w:eastAsia="华文细黑"/>
                <w:color w:val="000000"/>
                <w:sz w:val="20"/>
                <w:szCs w:val="22"/>
              </w:rPr>
            </w:pPr>
          </w:p>
        </w:tc>
        <w:tc>
          <w:tcPr>
            <w:tcW w:w="1172" w:type="dxa"/>
            <w:noWrap w:val="0"/>
            <w:vAlign w:val="center"/>
          </w:tcPr>
          <w:p>
            <w:pPr>
              <w:spacing w:line="700" w:lineRule="exact"/>
              <w:jc w:val="center"/>
              <w:rPr>
                <w:rFonts w:ascii="Calibri" w:hAnsi="Calibri" w:eastAsia="楷体"/>
                <w:kern w:val="0"/>
                <w:szCs w:val="32"/>
              </w:rPr>
            </w:pPr>
          </w:p>
        </w:tc>
        <w:tc>
          <w:tcPr>
            <w:tcW w:w="914" w:type="dxa"/>
            <w:noWrap w:val="0"/>
            <w:vAlign w:val="center"/>
          </w:tcPr>
          <w:p>
            <w:pPr>
              <w:spacing w:line="700" w:lineRule="exact"/>
              <w:jc w:val="center"/>
              <w:rPr>
                <w:rFonts w:ascii="Calibri" w:hAnsi="Calibri" w:eastAsia="楷体"/>
                <w:kern w:val="0"/>
                <w:szCs w:val="32"/>
              </w:rPr>
            </w:pPr>
          </w:p>
        </w:tc>
        <w:tc>
          <w:tcPr>
            <w:tcW w:w="754" w:type="dxa"/>
            <w:noWrap w:val="0"/>
            <w:vAlign w:val="center"/>
          </w:tcPr>
          <w:p>
            <w:pPr>
              <w:spacing w:line="700" w:lineRule="exact"/>
              <w:jc w:val="center"/>
              <w:rPr>
                <w:rFonts w:ascii="Calibri" w:hAnsi="Calibri" w:eastAsia="楷体"/>
                <w:kern w:val="0"/>
                <w:szCs w:val="32"/>
              </w:rPr>
            </w:pPr>
          </w:p>
        </w:tc>
        <w:tc>
          <w:tcPr>
            <w:tcW w:w="570" w:type="dxa"/>
            <w:noWrap w:val="0"/>
            <w:vAlign w:val="center"/>
          </w:tcPr>
          <w:p>
            <w:pPr>
              <w:spacing w:line="700" w:lineRule="exact"/>
              <w:jc w:val="center"/>
              <w:rPr>
                <w:rFonts w:ascii="Calibri" w:hAnsi="Calibri" w:eastAsia="楷体"/>
                <w:kern w:val="0"/>
                <w:szCs w:val="32"/>
              </w:rPr>
            </w:pPr>
          </w:p>
        </w:tc>
        <w:tc>
          <w:tcPr>
            <w:tcW w:w="374" w:type="dxa"/>
            <w:noWrap w:val="0"/>
            <w:vAlign w:val="center"/>
          </w:tcPr>
          <w:p>
            <w:pPr>
              <w:spacing w:line="700" w:lineRule="exact"/>
              <w:jc w:val="center"/>
              <w:rPr>
                <w:rFonts w:ascii="Calibri" w:hAnsi="Calibri" w:eastAsia="楷体"/>
                <w:kern w:val="0"/>
                <w:szCs w:val="32"/>
              </w:rPr>
            </w:pPr>
          </w:p>
        </w:tc>
        <w:tc>
          <w:tcPr>
            <w:tcW w:w="552"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spacing w:line="700" w:lineRule="exact"/>
              <w:jc w:val="center"/>
              <w:rPr>
                <w:rFonts w:ascii="Calibri" w:hAnsi="Calibri" w:eastAsia="楷体"/>
                <w:kern w:val="0"/>
                <w:szCs w:val="32"/>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803" w:type="dxa"/>
            <w:noWrap w:val="0"/>
            <w:vAlign w:val="center"/>
          </w:tcPr>
          <w:p>
            <w:pPr>
              <w:autoSpaceDN w:val="0"/>
              <w:jc w:val="center"/>
              <w:textAlignment w:val="center"/>
              <w:rPr>
                <w:rFonts w:hint="eastAsia" w:ascii="Calibri" w:hAnsi="Calibri" w:eastAsia="华文细黑"/>
                <w:color w:val="000000"/>
                <w:sz w:val="20"/>
                <w:szCs w:val="22"/>
              </w:rPr>
            </w:pPr>
          </w:p>
        </w:tc>
        <w:tc>
          <w:tcPr>
            <w:tcW w:w="1125" w:type="dxa"/>
            <w:noWrap w:val="0"/>
            <w:vAlign w:val="center"/>
          </w:tcPr>
          <w:p>
            <w:pPr>
              <w:autoSpaceDN w:val="0"/>
              <w:jc w:val="center"/>
              <w:textAlignment w:val="center"/>
              <w:rPr>
                <w:rFonts w:ascii="Calibri" w:hAnsi="Calibri" w:eastAsia="华文细黑"/>
                <w:color w:val="000000"/>
                <w:sz w:val="20"/>
                <w:szCs w:val="22"/>
              </w:rPr>
            </w:pPr>
          </w:p>
        </w:tc>
        <w:tc>
          <w:tcPr>
            <w:tcW w:w="1172" w:type="dxa"/>
            <w:noWrap w:val="0"/>
            <w:vAlign w:val="center"/>
          </w:tcPr>
          <w:p>
            <w:pPr>
              <w:spacing w:line="700" w:lineRule="exact"/>
              <w:jc w:val="center"/>
              <w:rPr>
                <w:rFonts w:ascii="Calibri" w:hAnsi="Calibri" w:eastAsia="楷体"/>
                <w:kern w:val="0"/>
                <w:szCs w:val="32"/>
              </w:rPr>
            </w:pPr>
          </w:p>
        </w:tc>
        <w:tc>
          <w:tcPr>
            <w:tcW w:w="914" w:type="dxa"/>
            <w:noWrap w:val="0"/>
            <w:vAlign w:val="center"/>
          </w:tcPr>
          <w:p>
            <w:pPr>
              <w:spacing w:line="700" w:lineRule="exact"/>
              <w:jc w:val="center"/>
              <w:rPr>
                <w:rFonts w:ascii="Calibri" w:hAnsi="Calibri" w:eastAsia="楷体"/>
                <w:kern w:val="0"/>
                <w:szCs w:val="32"/>
              </w:rPr>
            </w:pPr>
          </w:p>
        </w:tc>
        <w:tc>
          <w:tcPr>
            <w:tcW w:w="754" w:type="dxa"/>
            <w:noWrap w:val="0"/>
            <w:vAlign w:val="center"/>
          </w:tcPr>
          <w:p>
            <w:pPr>
              <w:spacing w:line="700" w:lineRule="exact"/>
              <w:jc w:val="center"/>
              <w:rPr>
                <w:rFonts w:ascii="Calibri" w:hAnsi="Calibri" w:eastAsia="楷体"/>
                <w:kern w:val="0"/>
                <w:szCs w:val="32"/>
              </w:rPr>
            </w:pPr>
          </w:p>
        </w:tc>
        <w:tc>
          <w:tcPr>
            <w:tcW w:w="570" w:type="dxa"/>
            <w:noWrap w:val="0"/>
            <w:vAlign w:val="center"/>
          </w:tcPr>
          <w:p>
            <w:pPr>
              <w:spacing w:line="700" w:lineRule="exact"/>
              <w:jc w:val="center"/>
              <w:rPr>
                <w:rFonts w:ascii="Calibri" w:hAnsi="Calibri" w:eastAsia="楷体"/>
                <w:kern w:val="0"/>
                <w:szCs w:val="32"/>
              </w:rPr>
            </w:pPr>
          </w:p>
        </w:tc>
        <w:tc>
          <w:tcPr>
            <w:tcW w:w="374" w:type="dxa"/>
            <w:noWrap w:val="0"/>
            <w:vAlign w:val="center"/>
          </w:tcPr>
          <w:p>
            <w:pPr>
              <w:spacing w:line="700" w:lineRule="exact"/>
              <w:jc w:val="center"/>
              <w:rPr>
                <w:rFonts w:ascii="Calibri" w:hAnsi="Calibri" w:eastAsia="楷体"/>
                <w:kern w:val="0"/>
                <w:szCs w:val="32"/>
              </w:rPr>
            </w:pPr>
          </w:p>
        </w:tc>
        <w:tc>
          <w:tcPr>
            <w:tcW w:w="552"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spacing w:line="700" w:lineRule="exact"/>
              <w:jc w:val="center"/>
              <w:rPr>
                <w:rFonts w:ascii="Calibri" w:hAnsi="Calibri" w:eastAsia="楷体"/>
                <w:kern w:val="0"/>
                <w:szCs w:val="32"/>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9582"/>
      </w:tblGrid>
      <w:tr>
        <w:tblPrEx>
          <w:tblCellMar>
            <w:top w:w="15" w:type="dxa"/>
            <w:left w:w="15" w:type="dxa"/>
            <w:bottom w:w="15" w:type="dxa"/>
            <w:right w:w="15" w:type="dxa"/>
          </w:tblCellMar>
        </w:tblPrEx>
        <w:trPr>
          <w:trHeight w:val="390" w:hRule="atLeast"/>
        </w:trPr>
        <w:tc>
          <w:tcPr>
            <w:tcW w:w="9582" w:type="dxa"/>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bl>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兴隆山镇政府大学生村官工资1.3（377528元）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377528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资金到位后及时拨付，保障行政村工作顺利开展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大学生村官人数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大学生村官工资发放准确率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大学生村官平均工资标准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3932元/月/人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大学生村官工资发放及时率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行政村工作保障率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大学生村官满意度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bl>
    <w:p>
      <w:pPr>
        <w:spacing w:line="700" w:lineRule="exact"/>
        <w:ind w:firstLine="640" w:firstLineChars="200"/>
        <w:rPr>
          <w:rFonts w:hint="eastAsia" w:eastAsia="楷体"/>
          <w:kern w:val="0"/>
          <w:szCs w:val="32"/>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兴隆山镇政府辅助岗位人员工资1.5（342640元）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i w:val="0"/>
                <w:iCs w:val="0"/>
                <w:color w:val="000000"/>
                <w:kern w:val="0"/>
                <w:sz w:val="20"/>
                <w:szCs w:val="20"/>
                <w:u w:val="none"/>
                <w:lang w:val="en-US" w:eastAsia="zh-CN" w:bidi="ar"/>
              </w:rPr>
              <w:t>342640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资金到位后及时拨付，保障政府工作顺利开展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辅助岗人数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辅助岗工资发放准确率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eastAsia="zh-CN"/>
              </w:rPr>
              <w:t>辅助岗</w:t>
            </w:r>
            <w:r>
              <w:rPr>
                <w:rFonts w:hint="eastAsia" w:ascii="宋体" w:hAnsi="宋体" w:eastAsia="宋体" w:cs="宋体"/>
                <w:color w:val="000000"/>
                <w:sz w:val="20"/>
                <w:lang w:val="en-US" w:eastAsia="zh-CN"/>
              </w:rPr>
              <w:t>平均工资标准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2500元/月/人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辅助岗工资发放及时率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辅助岗对政府工作保障率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hint="eastAsia" w:eastAsia="黑体"/>
          <w:sz w:val="36"/>
          <w:szCs w:val="36"/>
          <w:lang w:eastAsia="zh-CN"/>
        </w:rPr>
      </w:pPr>
      <w:r>
        <w:rPr>
          <w:rFonts w:hint="eastAsia" w:eastAsia="黑体"/>
          <w:sz w:val="36"/>
          <w:szCs w:val="36"/>
          <w:lang w:eastAsia="zh-CN"/>
        </w:rPr>
        <w:t>‘</w:t>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兴隆山镇政府驻村工作队生活补贴1.3（72000元）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i w:val="0"/>
                <w:iCs w:val="0"/>
                <w:color w:val="000000"/>
                <w:kern w:val="0"/>
                <w:sz w:val="20"/>
                <w:szCs w:val="20"/>
                <w:u w:val="none"/>
                <w:lang w:val="en-US" w:eastAsia="zh-CN" w:bidi="ar"/>
              </w:rPr>
              <w:t>72000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资金到位后及时拨付，保障驻村工作顺利开展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驻村工作队人数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驻村生活补助发放准确率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eastAsia="zh-CN"/>
              </w:rPr>
              <w:t>驻村生活补助</w:t>
            </w:r>
            <w:r>
              <w:rPr>
                <w:rFonts w:hint="eastAsia" w:ascii="宋体" w:hAnsi="宋体" w:eastAsia="宋体" w:cs="宋体"/>
                <w:color w:val="000000"/>
                <w:sz w:val="20"/>
                <w:lang w:val="en-US" w:eastAsia="zh-CN"/>
              </w:rPr>
              <w:t>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100元/天/人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驻村生活补助发放及时率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驻村生活补助对驻村人员生活保障率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驻村工作队满意度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兴隆山镇政府（同发牧场）社区工资1.3（1654800元）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i w:val="0"/>
                <w:iCs w:val="0"/>
                <w:color w:val="000000"/>
                <w:kern w:val="0"/>
                <w:sz w:val="20"/>
                <w:szCs w:val="20"/>
                <w:u w:val="none"/>
                <w:lang w:val="en-US" w:eastAsia="zh-CN" w:bidi="ar"/>
              </w:rPr>
              <w:t>1654800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资金到位后及时拨付，保障社区工作顺利开展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兴隆山镇</w:t>
            </w:r>
            <w:r>
              <w:rPr>
                <w:rFonts w:hint="eastAsia" w:ascii="宋体" w:hAnsi="宋体" w:eastAsia="宋体" w:cs="宋体"/>
                <w:color w:val="000000"/>
                <w:sz w:val="20"/>
                <w:lang w:val="en-US" w:eastAsia="zh-CN"/>
              </w:rPr>
              <w:t>6个社区工作人员数量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65人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社区人员工资发放准确率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6个社区工作人员平均工资标准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2121元/月/人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社区人员工资发放及时率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6个社区工作保障率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社区工作人员满意度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兴隆山镇政府转移支付资金1.3（340648元）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i w:val="0"/>
                <w:iCs w:val="0"/>
                <w:color w:val="000000"/>
                <w:kern w:val="0"/>
                <w:sz w:val="20"/>
                <w:szCs w:val="20"/>
                <w:u w:val="none"/>
                <w:lang w:val="en-US" w:eastAsia="zh-CN" w:bidi="ar"/>
              </w:rPr>
              <w:t>340648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保障兴隆山镇政府各项工作正常运转，用于办公费用支出</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后勤人员人数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24人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政府食堂购买米面粮油及各种蔬菜数量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500千克</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乡镇转移支付资金拨付准确率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82"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肉、蛋、蔬菜等平均价格</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40元/千克</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后勤人员月工资标准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2500元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乡镇转移支付资金拨付及时率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eastAsia="zh-CN"/>
              </w:rPr>
              <w:t>乡镇转移支付资金拨付对乡镇的帮助</w:t>
            </w:r>
            <w:r>
              <w:rPr>
                <w:rFonts w:hint="eastAsia" w:ascii="宋体" w:hAnsi="宋体" w:eastAsia="宋体" w:cs="宋体"/>
                <w:color w:val="000000"/>
                <w:sz w:val="20"/>
                <w:lang w:val="en-US" w:eastAsia="zh-CN"/>
              </w:rPr>
              <w:t>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兴隆山镇工作人员满意度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年收支总预算638.73万元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638.73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92.66</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cs="仿宋_GB2312"/>
          <w:szCs w:val="32"/>
          <w:lang w:val="en-US" w:eastAsia="zh-CN"/>
        </w:rPr>
        <w:t>新增人员及上年结转</w:t>
      </w:r>
      <w:r>
        <w:rPr>
          <w:rFonts w:hint="eastAsia" w:ascii="仿宋_GB2312" w:hAnsi="仿宋_GB2312" w:eastAsia="仿宋_GB2312" w:cs="仿宋_GB2312"/>
          <w:szCs w:val="32"/>
        </w:rPr>
        <w:t>。</w:t>
      </w:r>
    </w:p>
    <w:p>
      <w:pPr>
        <w:rPr>
          <w:rFonts w:hint="eastAsia" w:ascii="仿宋_GB2312" w:hAnsi="仿宋_GB2312" w:cs="仿宋_GB2312"/>
          <w:sz w:val="28"/>
          <w:szCs w:val="28"/>
          <w:lang w:val="en-US" w:eastAsia="zh-CN"/>
        </w:rPr>
      </w:pPr>
      <w:r>
        <w:rPr>
          <w:rFonts w:hint="eastAsia" w:ascii="仿宋_GB2312" w:hAnsi="仿宋_GB2312" w:eastAsia="仿宋_GB2312" w:cs="仿宋_GB2312"/>
          <w:sz w:val="28"/>
          <w:szCs w:val="28"/>
        </w:rPr>
        <w:t>一般公共预算拨款收入</w:t>
      </w:r>
      <w:r>
        <w:rPr>
          <w:rFonts w:hint="eastAsia" w:ascii="仿宋_GB2312" w:hAnsi="仿宋_GB2312" w:cs="仿宋_GB2312"/>
          <w:sz w:val="28"/>
          <w:szCs w:val="28"/>
          <w:lang w:val="en-US" w:eastAsia="zh-CN"/>
        </w:rPr>
        <w:t xml:space="preserve"> </w:t>
      </w:r>
      <w:r>
        <w:rPr>
          <w:rFonts w:hint="eastAsia" w:ascii="仿宋_GB2312" w:hAnsi="仿宋_GB2312" w:eastAsia="仿宋_GB2312" w:cs="仿宋_GB2312"/>
          <w:sz w:val="28"/>
          <w:szCs w:val="28"/>
        </w:rPr>
        <w:t>638.73</w:t>
      </w:r>
      <w:r>
        <w:rPr>
          <w:rFonts w:hint="eastAsia" w:ascii="仿宋_GB2312" w:hAnsi="仿宋_GB2312" w:eastAsia="仿宋_GB2312" w:cs="仿宋_GB2312"/>
          <w:szCs w:val="32"/>
          <w:lang w:eastAsia="zh-CN"/>
        </w:rPr>
        <w:t>万元</w:t>
      </w:r>
      <w:r>
        <w:rPr>
          <w:rFonts w:hint="eastAsia" w:ascii="仿宋_GB2312" w:hAnsi="仿宋_GB2312" w:cs="仿宋_GB2312"/>
          <w:sz w:val="28"/>
          <w:szCs w:val="28"/>
          <w:lang w:val="en-US" w:eastAsia="zh-CN"/>
        </w:rPr>
        <w:t xml:space="preserve"> </w:t>
      </w:r>
    </w:p>
    <w:p>
      <w:pPr>
        <w:ind w:firstLine="280" w:firstLineChars="100"/>
        <w:rPr>
          <w:rFonts w:hint="eastAsia" w:ascii="仿宋_GB2312" w:hAnsi="仿宋_GB2312" w:cs="仿宋_GB2312"/>
          <w:sz w:val="28"/>
          <w:szCs w:val="28"/>
          <w:lang w:val="en-US" w:eastAsia="zh-CN"/>
        </w:rPr>
      </w:pPr>
      <w:r>
        <w:rPr>
          <w:rFonts w:hint="eastAsia" w:ascii="仿宋_GB2312" w:hAnsi="仿宋_GB2312" w:cs="仿宋_GB2312"/>
          <w:sz w:val="28"/>
          <w:szCs w:val="28"/>
          <w:lang w:val="en-US" w:eastAsia="zh-CN"/>
        </w:rPr>
        <w:t xml:space="preserve"> </w:t>
      </w:r>
      <w:r>
        <w:rPr>
          <w:rFonts w:hint="eastAsia" w:ascii="仿宋_GB2312" w:hAnsi="仿宋_GB2312" w:eastAsia="仿宋_GB2312" w:cs="仿宋_GB2312"/>
          <w:sz w:val="28"/>
          <w:szCs w:val="28"/>
        </w:rPr>
        <w:t>一般公共服务支出</w:t>
      </w:r>
      <w:r>
        <w:rPr>
          <w:rFonts w:hint="eastAsia" w:ascii="仿宋_GB2312" w:hAnsi="仿宋_GB2312" w:cs="仿宋_GB2312"/>
          <w:sz w:val="28"/>
          <w:szCs w:val="28"/>
          <w:lang w:val="en-US" w:eastAsia="zh-CN"/>
        </w:rPr>
        <w:t xml:space="preserve">                    557.91 </w:t>
      </w:r>
      <w:r>
        <w:rPr>
          <w:rFonts w:hint="eastAsia" w:ascii="仿宋_GB2312" w:hAnsi="仿宋_GB2312" w:eastAsia="仿宋_GB2312" w:cs="仿宋_GB2312"/>
          <w:szCs w:val="32"/>
          <w:lang w:eastAsia="zh-CN"/>
        </w:rPr>
        <w:t>万元</w:t>
      </w:r>
    </w:p>
    <w:p>
      <w:pPr>
        <w:ind w:firstLine="280" w:firstLineChars="100"/>
        <w:rPr>
          <w:rFonts w:hint="default" w:ascii="仿宋_GB2312" w:hAnsi="仿宋_GB2312" w:cs="仿宋_GB2312"/>
          <w:sz w:val="28"/>
          <w:szCs w:val="28"/>
          <w:lang w:val="en-US" w:eastAsia="zh-CN"/>
        </w:rPr>
      </w:pPr>
      <w:r>
        <w:rPr>
          <w:rFonts w:hint="default" w:ascii="仿宋_GB2312" w:hAnsi="仿宋_GB2312" w:cs="仿宋_GB2312"/>
          <w:sz w:val="28"/>
          <w:szCs w:val="28"/>
          <w:lang w:val="en-US" w:eastAsia="zh-CN"/>
        </w:rPr>
        <w:t>社会保障和就业支出　</w:t>
      </w:r>
      <w:r>
        <w:rPr>
          <w:rFonts w:hint="eastAsia" w:ascii="仿宋_GB2312" w:hAnsi="仿宋_GB2312" w:cs="仿宋_GB2312"/>
          <w:sz w:val="28"/>
          <w:szCs w:val="28"/>
          <w:lang w:val="en-US" w:eastAsia="zh-CN"/>
        </w:rPr>
        <w:t xml:space="preserve">                 41.98  </w:t>
      </w:r>
      <w:r>
        <w:rPr>
          <w:rFonts w:hint="eastAsia" w:ascii="仿宋_GB2312" w:hAnsi="仿宋_GB2312" w:eastAsia="仿宋_GB2312" w:cs="仿宋_GB2312"/>
          <w:szCs w:val="32"/>
          <w:lang w:eastAsia="zh-CN"/>
        </w:rPr>
        <w:t>万元</w:t>
      </w:r>
    </w:p>
    <w:p>
      <w:pPr>
        <w:ind w:firstLine="280" w:firstLineChars="100"/>
        <w:rPr>
          <w:rFonts w:hint="eastAsia"/>
          <w:sz w:val="28"/>
          <w:szCs w:val="28"/>
        </w:rPr>
      </w:pPr>
      <w:r>
        <w:rPr>
          <w:rFonts w:hint="eastAsia"/>
          <w:sz w:val="28"/>
          <w:szCs w:val="28"/>
        </w:rPr>
        <w:t>卫生健康支出</w:t>
      </w:r>
      <w:r>
        <w:rPr>
          <w:rFonts w:hint="eastAsia"/>
          <w:sz w:val="28"/>
          <w:szCs w:val="28"/>
          <w:lang w:val="en-US" w:eastAsia="zh-CN"/>
        </w:rPr>
        <w:t xml:space="preserve">                         </w:t>
      </w:r>
      <w:r>
        <w:rPr>
          <w:rFonts w:hint="eastAsia" w:ascii="仿宋" w:hAnsi="仿宋" w:eastAsia="仿宋" w:cs="仿宋"/>
          <w:sz w:val="28"/>
          <w:szCs w:val="28"/>
        </w:rPr>
        <w:t>14.74</w:t>
      </w:r>
      <w:r>
        <w:rPr>
          <w:rFonts w:hint="eastAsia"/>
          <w:sz w:val="28"/>
          <w:szCs w:val="28"/>
          <w:lang w:val="en-US" w:eastAsia="zh-CN"/>
        </w:rPr>
        <w:t xml:space="preserve">   </w:t>
      </w:r>
      <w:r>
        <w:rPr>
          <w:rFonts w:hint="eastAsia" w:ascii="仿宋_GB2312" w:hAnsi="仿宋_GB2312" w:eastAsia="仿宋_GB2312" w:cs="仿宋_GB2312"/>
          <w:szCs w:val="32"/>
          <w:lang w:eastAsia="zh-CN"/>
        </w:rPr>
        <w:t>万元</w:t>
      </w:r>
    </w:p>
    <w:p>
      <w:pPr>
        <w:ind w:firstLine="280" w:firstLineChars="100"/>
        <w:rPr>
          <w:rFonts w:hint="eastAsia"/>
          <w:sz w:val="28"/>
          <w:szCs w:val="28"/>
        </w:rPr>
      </w:pPr>
      <w:r>
        <w:rPr>
          <w:rFonts w:hint="eastAsia"/>
          <w:sz w:val="28"/>
          <w:szCs w:val="28"/>
        </w:rPr>
        <w:t>住房保障支出</w:t>
      </w:r>
      <w:r>
        <w:rPr>
          <w:rFonts w:hint="eastAsia"/>
          <w:sz w:val="28"/>
          <w:szCs w:val="28"/>
          <w:lang w:val="en-US" w:eastAsia="zh-CN"/>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24.1</w:t>
      </w:r>
      <w:r>
        <w:rPr>
          <w:rFonts w:hint="eastAsia" w:ascii="仿宋" w:hAnsi="仿宋" w:eastAsia="仿宋" w:cs="仿宋"/>
          <w:sz w:val="28"/>
          <w:szCs w:val="28"/>
          <w:lang w:val="en-US" w:eastAsia="zh-CN"/>
        </w:rPr>
        <w:t xml:space="preserve">0 </w:t>
      </w:r>
      <w:r>
        <w:rPr>
          <w:rFonts w:hint="eastAsia"/>
          <w:sz w:val="28"/>
          <w:szCs w:val="28"/>
          <w:lang w:val="en-US" w:eastAsia="zh-CN"/>
        </w:rPr>
        <w:t xml:space="preserve"> </w:t>
      </w:r>
      <w:r>
        <w:rPr>
          <w:rFonts w:hint="eastAsia" w:ascii="仿宋_GB2312" w:hAnsi="仿宋_GB2312" w:eastAsia="仿宋_GB2312" w:cs="仿宋_GB2312"/>
          <w:szCs w:val="32"/>
          <w:lang w:eastAsia="zh-CN"/>
        </w:rPr>
        <w:t>万元</w:t>
      </w:r>
    </w:p>
    <w:p>
      <w:pPr>
        <w:ind w:firstLine="600" w:firstLineChars="200"/>
        <w:rPr>
          <w:rFonts w:hint="eastAsia" w:eastAsia="仿宋_GB2312"/>
          <w:sz w:val="30"/>
          <w:szCs w:val="30"/>
          <w:lang w:val="en-US" w:eastAsia="zh-CN"/>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年收入预算638.73万元，其中：本年收入638.73万元，占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%。本年收入中，一般公共预算拨款收入638.73万元，占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____%；国有资本经营预算拨款收入__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___%；财政专户管理资金收入_____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___%；事业收入_____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___%；上级补助收入___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____%；附属单位上缴收入____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__%；事业单位经营收入___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___%；其他收入___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___%。上年结转中，一般公共预算拨款结转____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____%；政府性基金预算拨款结转__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_____%；国有资本经营预算拨款结转____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____%；财政专户管理资金结转结余_____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____%；单位资金结转____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____%；用事业基金弥补收支差额_____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638.73</w:t>
      </w:r>
      <w:r>
        <w:rPr>
          <w:rFonts w:hint="eastAsia" w:ascii="仿宋_GB2312" w:hAnsi="仿宋_GB2312" w:eastAsia="仿宋_GB2312" w:cs="仿宋_GB2312"/>
          <w:szCs w:val="32"/>
        </w:rPr>
        <w:t>万元，其中：基本支出359.97万元，占</w:t>
      </w:r>
      <w:r>
        <w:rPr>
          <w:rFonts w:hint="eastAsia" w:ascii="仿宋_GB2312" w:hAnsi="仿宋_GB2312" w:cs="仿宋_GB2312"/>
          <w:szCs w:val="32"/>
          <w:lang w:val="en-US" w:eastAsia="zh-CN"/>
        </w:rPr>
        <w:t>56</w:t>
      </w:r>
      <w:r>
        <w:rPr>
          <w:rFonts w:hint="eastAsia" w:ascii="仿宋_GB2312" w:hAnsi="仿宋_GB2312" w:eastAsia="仿宋_GB2312" w:cs="仿宋_GB2312"/>
          <w:szCs w:val="32"/>
        </w:rPr>
        <w:t>%；项目支出</w:t>
      </w:r>
      <w:r>
        <w:rPr>
          <w:rFonts w:hint="eastAsia" w:ascii="仿宋" w:hAnsi="仿宋" w:eastAsia="仿宋" w:cs="仿宋"/>
          <w:i w:val="0"/>
          <w:iCs w:val="0"/>
          <w:color w:val="000000"/>
          <w:kern w:val="0"/>
          <w:sz w:val="32"/>
          <w:szCs w:val="32"/>
          <w:u w:val="none"/>
          <w:lang w:val="en-US" w:eastAsia="zh-CN" w:bidi="ar"/>
        </w:rPr>
        <w:t>278.76</w:t>
      </w:r>
      <w:r>
        <w:rPr>
          <w:rFonts w:hint="eastAsia" w:ascii="仿宋_GB2312" w:hAnsi="仿宋_GB2312" w:eastAsia="仿宋_GB2312" w:cs="仿宋_GB2312"/>
          <w:szCs w:val="32"/>
        </w:rPr>
        <w:t>万元，</w:t>
      </w:r>
      <w:r>
        <w:rPr>
          <w:rFonts w:hint="eastAsia" w:ascii="仿宋_GB2312" w:hAnsi="仿宋_GB2312" w:cs="仿宋_GB2312"/>
          <w:szCs w:val="32"/>
          <w:lang w:val="en-US" w:eastAsia="zh-CN"/>
        </w:rPr>
        <w:t>44</w:t>
      </w:r>
      <w:r>
        <w:rPr>
          <w:rFonts w:hint="eastAsia" w:ascii="仿宋_GB2312" w:hAnsi="仿宋_GB2312" w:eastAsia="仿宋_GB2312" w:cs="仿宋_GB2312"/>
          <w:szCs w:val="32"/>
        </w:rPr>
        <w:t>%；</w:t>
      </w:r>
    </w:p>
    <w:p>
      <w:pPr>
        <w:ind w:firstLine="918" w:firstLineChars="287"/>
        <w:rPr>
          <w:rFonts w:hint="eastAsia" w:eastAsia="仿宋_GB2312"/>
          <w:szCs w:val="32"/>
          <w:lang w:eastAsia="zh-CN"/>
        </w:rPr>
      </w:pPr>
      <w:r>
        <w:rPr>
          <w:rFonts w:hint="eastAsia" w:ascii="仿宋_GB2312" w:hAnsi="仿宋_GB2312" w:eastAsia="仿宋_GB2312" w:cs="仿宋_GB2312"/>
          <w:szCs w:val="32"/>
        </w:rPr>
        <w:t>基本支出359.97万元</w:t>
      </w:r>
      <w:r>
        <w:rPr>
          <w:rFonts w:hint="eastAsia" w:ascii="仿宋_GB2312" w:hAnsi="仿宋_GB2312" w:cs="仿宋_GB2312"/>
          <w:szCs w:val="32"/>
          <w:lang w:eastAsia="zh-CN"/>
        </w:rPr>
        <w:t>，具体如下：</w:t>
      </w:r>
    </w:p>
    <w:p>
      <w:pPr>
        <w:ind w:firstLine="1552" w:firstLineChars="485"/>
        <w:rPr>
          <w:rFonts w:hint="eastAsia"/>
          <w:szCs w:val="32"/>
          <w:lang w:val="en-US" w:eastAsia="zh-CN"/>
        </w:rPr>
      </w:pPr>
      <w:r>
        <w:rPr>
          <w:rFonts w:hint="eastAsia"/>
          <w:szCs w:val="32"/>
        </w:rPr>
        <w:t>一般公共服务支出</w:t>
      </w:r>
      <w:r>
        <w:rPr>
          <w:rFonts w:hint="eastAsia"/>
          <w:szCs w:val="32"/>
          <w:lang w:val="en-US" w:eastAsia="zh-CN"/>
        </w:rPr>
        <w:t xml:space="preserve">  279.15</w:t>
      </w:r>
      <w:r>
        <w:rPr>
          <w:rFonts w:hint="eastAsia" w:ascii="仿宋_GB2312" w:hAnsi="仿宋_GB2312" w:eastAsia="仿宋_GB2312" w:cs="仿宋_GB2312"/>
          <w:szCs w:val="32"/>
        </w:rPr>
        <w:t>万元</w:t>
      </w:r>
    </w:p>
    <w:p>
      <w:pPr>
        <w:ind w:firstLine="1552" w:firstLineChars="485"/>
        <w:rPr>
          <w:rFonts w:hint="eastAsia"/>
          <w:szCs w:val="32"/>
          <w:lang w:val="en-US" w:eastAsia="zh-CN"/>
        </w:rPr>
      </w:pPr>
      <w:r>
        <w:rPr>
          <w:rFonts w:hint="eastAsia"/>
          <w:szCs w:val="32"/>
          <w:lang w:val="en-US" w:eastAsia="zh-CN"/>
        </w:rPr>
        <w:t>社会保障和就业支出 41.98</w:t>
      </w:r>
      <w:r>
        <w:rPr>
          <w:rFonts w:hint="eastAsia" w:ascii="仿宋_GB2312" w:hAnsi="仿宋_GB2312" w:eastAsia="仿宋_GB2312" w:cs="仿宋_GB2312"/>
          <w:szCs w:val="32"/>
        </w:rPr>
        <w:t>万元</w:t>
      </w:r>
    </w:p>
    <w:p>
      <w:pPr>
        <w:ind w:firstLine="600"/>
        <w:rPr>
          <w:rFonts w:hint="eastAsia"/>
          <w:szCs w:val="32"/>
          <w:lang w:val="en-US" w:eastAsia="zh-CN"/>
        </w:rPr>
      </w:pPr>
      <w:r>
        <w:rPr>
          <w:rFonts w:hint="eastAsia"/>
          <w:szCs w:val="32"/>
          <w:lang w:val="en-US" w:eastAsia="zh-CN"/>
        </w:rPr>
        <w:t xml:space="preserve">     卫生健康支出      14.74</w:t>
      </w:r>
      <w:r>
        <w:rPr>
          <w:rFonts w:hint="eastAsia" w:ascii="仿宋_GB2312" w:hAnsi="仿宋_GB2312" w:eastAsia="仿宋_GB2312" w:cs="仿宋_GB2312"/>
          <w:szCs w:val="32"/>
        </w:rPr>
        <w:t>万元</w:t>
      </w:r>
    </w:p>
    <w:p>
      <w:pPr>
        <w:ind w:firstLine="1552" w:firstLineChars="485"/>
        <w:rPr>
          <w:rFonts w:hint="default"/>
          <w:szCs w:val="32"/>
          <w:lang w:val="en-US" w:eastAsia="zh-CN"/>
        </w:rPr>
      </w:pPr>
      <w:r>
        <w:rPr>
          <w:rFonts w:hint="default"/>
          <w:szCs w:val="32"/>
          <w:lang w:val="en-US" w:eastAsia="zh-CN"/>
        </w:rPr>
        <w:t>住房保障支出</w:t>
      </w:r>
      <w:r>
        <w:rPr>
          <w:rFonts w:hint="eastAsia"/>
          <w:szCs w:val="32"/>
          <w:lang w:val="en-US" w:eastAsia="zh-CN"/>
        </w:rPr>
        <w:t xml:space="preserve">       </w:t>
      </w:r>
      <w:r>
        <w:rPr>
          <w:rFonts w:hint="default"/>
          <w:szCs w:val="32"/>
          <w:lang w:val="en-US" w:eastAsia="zh-CN"/>
        </w:rPr>
        <w:t>24.1</w:t>
      </w:r>
      <w:r>
        <w:rPr>
          <w:rFonts w:hint="eastAsia"/>
          <w:szCs w:val="32"/>
          <w:lang w:val="en-US" w:eastAsia="zh-CN"/>
        </w:rPr>
        <w:t>0</w:t>
      </w:r>
      <w:r>
        <w:rPr>
          <w:rFonts w:hint="eastAsia" w:ascii="仿宋_GB2312" w:hAnsi="仿宋_GB2312" w:eastAsia="仿宋_GB2312" w:cs="仿宋_GB2312"/>
          <w:szCs w:val="32"/>
        </w:rPr>
        <w:t>万元</w:t>
      </w:r>
    </w:p>
    <w:p>
      <w:pPr>
        <w:ind w:firstLine="918" w:firstLineChars="287"/>
        <w:rPr>
          <w:rFonts w:hint="eastAsia" w:eastAsia="仿宋_GB2312"/>
          <w:szCs w:val="32"/>
          <w:lang w:val="en-US" w:eastAsia="zh-CN"/>
        </w:rPr>
      </w:pPr>
      <w:r>
        <w:rPr>
          <w:rFonts w:hint="eastAsia"/>
          <w:szCs w:val="32"/>
        </w:rPr>
        <w:t>项目支出</w:t>
      </w:r>
      <w:r>
        <w:rPr>
          <w:rFonts w:hint="eastAsia"/>
          <w:szCs w:val="32"/>
          <w:lang w:val="en-US" w:eastAsia="zh-CN"/>
        </w:rPr>
        <w:t xml:space="preserve">           </w:t>
      </w:r>
      <w:r>
        <w:rPr>
          <w:rFonts w:hint="eastAsia" w:ascii="仿宋" w:hAnsi="仿宋" w:eastAsia="仿宋" w:cs="仿宋"/>
          <w:i w:val="0"/>
          <w:iCs w:val="0"/>
          <w:color w:val="000000"/>
          <w:kern w:val="0"/>
          <w:sz w:val="32"/>
          <w:szCs w:val="32"/>
          <w:u w:val="none"/>
          <w:lang w:val="en-US" w:eastAsia="zh-CN" w:bidi="ar"/>
        </w:rPr>
        <w:t>278.76</w:t>
      </w:r>
      <w:r>
        <w:rPr>
          <w:rFonts w:hint="eastAsia" w:ascii="仿宋_GB2312" w:hAnsi="仿宋_GB2312" w:eastAsia="仿宋_GB2312" w:cs="仿宋_GB2312"/>
          <w:szCs w:val="32"/>
        </w:rPr>
        <w:t>万元</w:t>
      </w:r>
      <w:r>
        <w:rPr>
          <w:rFonts w:hint="eastAsia" w:ascii="仿宋_GB2312" w:hAnsi="仿宋_GB2312" w:cs="仿宋_GB2312"/>
          <w:szCs w:val="32"/>
          <w:lang w:eastAsia="zh-CN"/>
        </w:rPr>
        <w:t>，具体如下：</w:t>
      </w:r>
    </w:p>
    <w:p>
      <w:pPr>
        <w:ind w:firstLine="1552" w:firstLineChars="485"/>
        <w:rPr>
          <w:rFonts w:hint="default"/>
          <w:szCs w:val="32"/>
          <w:lang w:val="en-US" w:eastAsia="zh-CN"/>
        </w:rPr>
      </w:pPr>
      <w:r>
        <w:rPr>
          <w:rFonts w:hint="eastAsia"/>
          <w:szCs w:val="32"/>
        </w:rPr>
        <w:t>兴隆山镇政府大学生村官工资</w:t>
      </w:r>
      <w:r>
        <w:rPr>
          <w:rFonts w:hint="eastAsia"/>
          <w:szCs w:val="32"/>
          <w:lang w:val="en-US" w:eastAsia="zh-CN"/>
        </w:rPr>
        <w:t xml:space="preserve"> 37.75</w:t>
      </w:r>
      <w:r>
        <w:rPr>
          <w:rFonts w:hint="eastAsia" w:ascii="仿宋_GB2312" w:hAnsi="仿宋_GB2312" w:eastAsia="仿宋_GB2312" w:cs="仿宋_GB2312"/>
          <w:szCs w:val="32"/>
        </w:rPr>
        <w:t>万元</w:t>
      </w:r>
    </w:p>
    <w:p>
      <w:pPr>
        <w:ind w:firstLine="1600" w:firstLineChars="500"/>
        <w:rPr>
          <w:rFonts w:hint="default"/>
          <w:szCs w:val="32"/>
          <w:lang w:val="en-US" w:eastAsia="zh-CN"/>
        </w:rPr>
      </w:pPr>
      <w:r>
        <w:rPr>
          <w:rFonts w:hint="eastAsia"/>
          <w:szCs w:val="32"/>
          <w:lang w:val="en-US" w:eastAsia="zh-CN"/>
        </w:rPr>
        <w:t>兴隆山镇政府转移支付资金34.06</w:t>
      </w:r>
      <w:r>
        <w:rPr>
          <w:rFonts w:hint="eastAsia" w:ascii="仿宋_GB2312" w:hAnsi="仿宋_GB2312" w:eastAsia="仿宋_GB2312" w:cs="仿宋_GB2312"/>
          <w:szCs w:val="32"/>
        </w:rPr>
        <w:t>万元</w:t>
      </w:r>
    </w:p>
    <w:p>
      <w:pPr>
        <w:ind w:firstLine="1600" w:firstLineChars="500"/>
        <w:rPr>
          <w:rFonts w:hint="default"/>
          <w:szCs w:val="32"/>
          <w:lang w:val="en-US" w:eastAsia="zh-CN"/>
        </w:rPr>
      </w:pPr>
      <w:r>
        <w:rPr>
          <w:rFonts w:hint="eastAsia"/>
          <w:szCs w:val="32"/>
          <w:lang w:val="en-US" w:eastAsia="zh-CN"/>
        </w:rPr>
        <w:t>兴隆山镇政府辅助岗位人员工资34.27</w:t>
      </w:r>
      <w:r>
        <w:rPr>
          <w:rFonts w:hint="eastAsia" w:ascii="仿宋_GB2312" w:hAnsi="仿宋_GB2312" w:eastAsia="仿宋_GB2312" w:cs="仿宋_GB2312"/>
          <w:szCs w:val="32"/>
        </w:rPr>
        <w:t>万元</w:t>
      </w:r>
    </w:p>
    <w:p>
      <w:pPr>
        <w:ind w:firstLine="1600" w:firstLineChars="500"/>
        <w:rPr>
          <w:rFonts w:hint="default"/>
          <w:szCs w:val="32"/>
          <w:lang w:val="en-US" w:eastAsia="zh-CN"/>
        </w:rPr>
      </w:pPr>
      <w:r>
        <w:rPr>
          <w:rFonts w:hint="default"/>
          <w:szCs w:val="32"/>
          <w:lang w:val="en-US" w:eastAsia="zh-CN"/>
        </w:rPr>
        <w:t>兴隆山镇政府驻村工作队生活补贴7.2</w:t>
      </w:r>
      <w:r>
        <w:rPr>
          <w:rFonts w:hint="eastAsia" w:ascii="仿宋_GB2312" w:hAnsi="仿宋_GB2312" w:eastAsia="仿宋_GB2312" w:cs="仿宋_GB2312"/>
          <w:szCs w:val="32"/>
        </w:rPr>
        <w:t>万元</w:t>
      </w:r>
    </w:p>
    <w:p>
      <w:pPr>
        <w:ind w:firstLine="1600" w:firstLineChars="500"/>
        <w:rPr>
          <w:rFonts w:hint="default"/>
          <w:szCs w:val="32"/>
          <w:lang w:val="en-US" w:eastAsia="zh-CN"/>
        </w:rPr>
      </w:pPr>
      <w:r>
        <w:rPr>
          <w:rFonts w:hint="default"/>
          <w:szCs w:val="32"/>
          <w:lang w:val="en-US" w:eastAsia="zh-CN"/>
        </w:rPr>
        <w:t>兴隆山镇政府（同发牧场）社区工资165.48</w:t>
      </w:r>
      <w:r>
        <w:rPr>
          <w:rFonts w:hint="eastAsia" w:ascii="仿宋_GB2312" w:hAnsi="仿宋_GB2312" w:eastAsia="仿宋_GB2312" w:cs="仿宋_GB2312"/>
          <w:szCs w:val="32"/>
        </w:rPr>
        <w:t>万元</w:t>
      </w:r>
    </w:p>
    <w:p>
      <w:pPr>
        <w:ind w:firstLine="600"/>
        <w:rPr>
          <w:rFonts w:hint="default"/>
          <w:szCs w:val="32"/>
          <w:lang w:val="en-US" w:eastAsia="zh-CN"/>
        </w:rPr>
      </w:pPr>
    </w:p>
    <w:p>
      <w:pPr>
        <w:ind w:firstLine="600"/>
        <w:rPr>
          <w:szCs w:val="32"/>
        </w:rPr>
      </w:pPr>
    </w:p>
    <w:p>
      <w:pPr>
        <w:ind w:firstLine="600"/>
        <w:rPr>
          <w:szCs w:val="32"/>
        </w:rPr>
      </w:pPr>
    </w:p>
    <w:p>
      <w:pPr>
        <w:ind w:firstLine="600"/>
        <w:rPr>
          <w:szCs w:val="32"/>
        </w:rPr>
      </w:pPr>
    </w:p>
    <w:p>
      <w:pPr>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638.73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638.73</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 w:hAnsi="仿宋" w:eastAsia="仿宋" w:cs="仿宋"/>
          <w:kern w:val="0"/>
          <w:sz w:val="32"/>
          <w:szCs w:val="32"/>
          <w:lang w:val="en-US" w:eastAsia="zh-CN"/>
        </w:rPr>
        <w:t>557.91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41.98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14.74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24.1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____万元，灾害防治及应急管理支出___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638.73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359.97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56</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278.76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44</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315.99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49</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43.98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557.91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87</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行政运行</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rPr>
        <w:t>卫生健康支出14.74</w:t>
      </w:r>
      <w:r>
        <w:rPr>
          <w:rFonts w:hint="eastAsia" w:ascii="仿宋_GB2312" w:hAnsi="仿宋_GB2312" w:cs="仿宋_GB2312"/>
          <w:szCs w:val="32"/>
          <w:lang w:eastAsia="zh-CN"/>
        </w:rPr>
        <w:t>万元，占</w:t>
      </w:r>
      <w:r>
        <w:rPr>
          <w:rFonts w:hint="eastAsia" w:ascii="仿宋_GB2312" w:hAnsi="仿宋_GB2312" w:cs="仿宋_GB2312"/>
          <w:szCs w:val="32"/>
          <w:lang w:val="en-US" w:eastAsia="zh-CN"/>
        </w:rPr>
        <w:t>2%主要用于行政单位医疗、其他行政事业单位医疗支出。</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41.98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w:t>
      </w:r>
      <w:r>
        <w:rPr>
          <w:rFonts w:hint="eastAsia" w:ascii="仿宋_GB2312" w:hAnsi="仿宋_GB2312" w:eastAsia="仿宋_GB2312" w:cs="仿宋_GB2312"/>
          <w:szCs w:val="32"/>
        </w:rPr>
        <w:t>%，主要用于机关事业单位基本养老保险缴费支出。</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24.1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w:t>
      </w:r>
      <w:r>
        <w:rPr>
          <w:rFonts w:hint="eastAsia" w:ascii="仿宋_GB2312" w:hAnsi="仿宋_GB2312" w:eastAsia="仿宋_GB2312" w:cs="仿宋_GB2312"/>
          <w:szCs w:val="32"/>
        </w:rPr>
        <w:t>%，主要用于住房公积金。</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年一般公共预算基本支出359.97万元，其中：</w:t>
      </w:r>
    </w:p>
    <w:p>
      <w:pPr>
        <w:ind w:firstLine="640" w:firstLineChars="200"/>
        <w:rPr>
          <w:szCs w:val="32"/>
        </w:rPr>
      </w:pPr>
      <w:r>
        <w:rPr>
          <w:rFonts w:hint="eastAsia" w:ascii="仿宋_GB2312" w:hAnsi="仿宋_GB2312" w:eastAsia="仿宋_GB2312" w:cs="仿宋_GB2312"/>
          <w:szCs w:val="32"/>
        </w:rPr>
        <w:t>人员经费315.99万元，主要包括：</w:t>
      </w:r>
      <w:r>
        <w:rPr>
          <w:rFonts w:hint="eastAsia" w:ascii="仿宋_GB2312" w:hAnsi="仿宋_GB2312" w:eastAsia="仿宋_GB2312" w:cs="仿宋_GB2312"/>
          <w:kern w:val="0"/>
          <w:szCs w:val="32"/>
        </w:rPr>
        <w:t>基本工资97.22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、津贴补贴81.25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奖金43.01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社会保障缴费33.89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职业年金缴费8.09</w:t>
      </w:r>
      <w:r>
        <w:rPr>
          <w:rFonts w:hint="eastAsia" w:ascii="仿宋_GB2312" w:hAnsi="仿宋_GB2312" w:eastAsia="仿宋_GB2312" w:cs="仿宋_GB2312"/>
          <w:szCs w:val="32"/>
        </w:rPr>
        <w:t>万元、职工基本医疗保险缴费14.53万元</w:t>
      </w:r>
      <w:r>
        <w:rPr>
          <w:rFonts w:hint="eastAsia" w:ascii="仿宋_GB2312" w:hAnsi="仿宋_GB2312" w:cs="仿宋_GB2312"/>
          <w:szCs w:val="32"/>
          <w:lang w:eastAsia="zh-CN"/>
        </w:rPr>
        <w:t>、</w:t>
      </w:r>
      <w:r>
        <w:rPr>
          <w:rFonts w:hint="eastAsia" w:ascii="仿宋_GB2312" w:hAnsi="仿宋_GB2312" w:eastAsia="仿宋_GB2312" w:cs="仿宋_GB2312"/>
          <w:szCs w:val="32"/>
        </w:rPr>
        <w:t>其他社会保障缴费0.21万元</w:t>
      </w:r>
      <w:r>
        <w:rPr>
          <w:rFonts w:hint="eastAsia" w:ascii="仿宋_GB2312" w:hAnsi="仿宋_GB2312" w:cs="仿宋_GB2312"/>
          <w:szCs w:val="32"/>
          <w:lang w:eastAsia="zh-CN"/>
        </w:rPr>
        <w:t>、</w:t>
      </w:r>
      <w:r>
        <w:rPr>
          <w:rFonts w:hint="eastAsia" w:ascii="仿宋_GB2312" w:hAnsi="仿宋_GB2312" w:eastAsia="仿宋_GB2312" w:cs="仿宋_GB2312"/>
          <w:kern w:val="0"/>
          <w:szCs w:val="32"/>
        </w:rPr>
        <w:t>其他工资福利支出2.68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住房公积金24.1</w:t>
      </w:r>
      <w:r>
        <w:rPr>
          <w:rFonts w:hint="eastAsia" w:ascii="仿宋_GB2312" w:hAnsi="仿宋_GB2312" w:eastAsia="仿宋_GB2312" w:cs="仿宋_GB2312"/>
          <w:szCs w:val="32"/>
        </w:rPr>
        <w:t>万元</w:t>
      </w:r>
      <w:r>
        <w:rPr>
          <w:rFonts w:hint="eastAsia" w:ascii="仿宋_GB2312" w:hAnsi="仿宋_GB2312" w:cs="仿宋_GB2312"/>
          <w:szCs w:val="32"/>
          <w:lang w:eastAsia="zh-CN"/>
        </w:rPr>
        <w:t>、对个人和家庭的补助11.01、退休费10.53、生活补助0.49。</w:t>
      </w:r>
      <w:r>
        <w:rPr>
          <w:rFonts w:hint="eastAsia" w:ascii="仿宋_GB2312" w:hAnsi="仿宋_GB2312" w:eastAsia="仿宋_GB2312" w:cs="仿宋_GB2312"/>
          <w:kern w:val="0"/>
          <w:szCs w:val="32"/>
        </w:rPr>
        <w:t>公用经费</w:t>
      </w:r>
      <w:r>
        <w:rPr>
          <w:rFonts w:hint="eastAsia" w:ascii="仿宋_GB2312" w:hAnsi="仿宋_GB2312" w:eastAsia="仿宋_GB2312" w:cs="仿宋_GB2312"/>
          <w:szCs w:val="32"/>
        </w:rPr>
        <w:t>4</w:t>
      </w:r>
      <w:r>
        <w:rPr>
          <w:rFonts w:hint="eastAsia" w:ascii="仿宋_GB2312" w:hAnsi="仿宋_GB2312" w:cs="仿宋_GB2312"/>
          <w:szCs w:val="32"/>
          <w:lang w:val="en-US" w:eastAsia="zh-CN"/>
        </w:rPr>
        <w:t>3</w:t>
      </w:r>
      <w:r>
        <w:rPr>
          <w:rFonts w:hint="eastAsia" w:ascii="仿宋_GB2312" w:hAnsi="仿宋_GB2312" w:eastAsia="仿宋_GB2312" w:cs="仿宋_GB2312"/>
          <w:szCs w:val="32"/>
        </w:rPr>
        <w:t>.98万元，主要包括：</w:t>
      </w:r>
      <w:r>
        <w:rPr>
          <w:rFonts w:hint="eastAsia" w:ascii="仿宋_GB2312" w:hAnsi="仿宋_GB2312" w:eastAsia="仿宋_GB2312" w:cs="仿宋_GB2312"/>
          <w:kern w:val="0"/>
          <w:szCs w:val="32"/>
        </w:rPr>
        <w:t>办公费5.3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电费6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差旅费0.5</w:t>
      </w:r>
      <w:r>
        <w:rPr>
          <w:rFonts w:hint="eastAsia" w:ascii="仿宋_GB2312" w:hAnsi="仿宋_GB2312" w:eastAsia="仿宋_GB2312" w:cs="仿宋_GB2312"/>
          <w:szCs w:val="32"/>
        </w:rPr>
        <w:t>万元、公</w:t>
      </w:r>
      <w:r>
        <w:rPr>
          <w:rFonts w:hint="eastAsia" w:ascii="仿宋_GB2312" w:hAnsi="仿宋_GB2312" w:eastAsia="仿宋_GB2312" w:cs="仿宋_GB2312"/>
          <w:kern w:val="0"/>
          <w:szCs w:val="32"/>
        </w:rPr>
        <w:t>务用车运行维护费10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其他交通补助15.18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其他商品和服务支出5</w:t>
      </w:r>
      <w:r>
        <w:rPr>
          <w:rFonts w:hint="eastAsia" w:ascii="仿宋_GB2312" w:hAnsi="仿宋_GB2312" w:eastAsia="仿宋_GB2312" w:cs="仿宋_GB2312"/>
          <w:szCs w:val="32"/>
        </w:rPr>
        <w:t>万元</w:t>
      </w:r>
      <w:r>
        <w:rPr>
          <w:rFonts w:hint="eastAsia" w:ascii="仿宋_GB2312" w:hAnsi="仿宋_GB2312" w:cs="仿宋_GB2312"/>
          <w:kern w:val="0"/>
          <w:szCs w:val="32"/>
          <w:lang w:eastAsia="zh-CN"/>
        </w:rPr>
        <w:t>、办公设备购置2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10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10</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___万元。其中：</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val="en-US" w:eastAsia="zh-CN"/>
        </w:rPr>
        <w:t>1</w:t>
      </w:r>
      <w:r>
        <w:rPr>
          <w:rFonts w:hint="eastAsia" w:ascii="仿宋_GB2312" w:hAnsi="仿宋_GB2312" w:eastAsia="仿宋_GB2312" w:cs="仿宋_GB2312"/>
          <w:szCs w:val="32"/>
        </w:rPr>
        <w:t>.公务用车运行维护费</w:t>
      </w:r>
      <w:r>
        <w:rPr>
          <w:rFonts w:hint="eastAsia" w:ascii="仿宋_GB2312" w:hAnsi="仿宋_GB2312" w:cs="仿宋_GB2312"/>
          <w:szCs w:val="32"/>
          <w:lang w:val="en-US" w:eastAsia="zh-CN"/>
        </w:rPr>
        <w:t>10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10</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eastAsia="楷体"/>
          <w:szCs w:val="32"/>
        </w:rPr>
        <w:t>本部门无政府性基金预算拨款</w:t>
      </w: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r>
        <w:rPr>
          <w:rFonts w:hint="eastAsia" w:ascii="仿宋_GB2312" w:hAnsi="仿宋_GB2312" w:cs="仿宋_GB2312"/>
          <w:szCs w:val="32"/>
          <w:highlight w:val="none"/>
          <w:lang w:eastAsia="zh-CN"/>
        </w:rPr>
        <w:t>2</w:t>
      </w:r>
      <w:r>
        <w:rPr>
          <w:rFonts w:eastAsia="楷体"/>
          <w:szCs w:val="32"/>
        </w:rPr>
        <w:t>本部门无</w:t>
      </w:r>
      <w:r>
        <w:rPr>
          <w:rFonts w:hint="eastAsia" w:eastAsia="楷体"/>
          <w:szCs w:val="32"/>
        </w:rPr>
        <w:t>国有资本经营</w:t>
      </w:r>
      <w:r>
        <w:rPr>
          <w:rFonts w:eastAsia="楷体"/>
          <w:szCs w:val="32"/>
        </w:rPr>
        <w:t>预算拨款</w:t>
      </w: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年部门本级的机关运行经费财政拨款预算_359.97万元，比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年预算增加_</w:t>
      </w:r>
      <w:r>
        <w:rPr>
          <w:rFonts w:hint="eastAsia" w:ascii="仿宋_GB2312" w:hAnsi="仿宋_GB2312" w:cs="仿宋_GB2312"/>
          <w:szCs w:val="32"/>
          <w:lang w:val="en-US" w:eastAsia="zh-CN"/>
        </w:rPr>
        <w:t>27.06</w:t>
      </w:r>
      <w:r>
        <w:rPr>
          <w:rFonts w:hint="eastAsia" w:ascii="仿宋_GB2312" w:hAnsi="仿宋_GB2312" w:eastAsia="仿宋_GB2312" w:cs="仿宋_GB2312"/>
          <w:szCs w:val="32"/>
        </w:rPr>
        <w:t>_万元，增长__</w:t>
      </w:r>
      <w:r>
        <w:rPr>
          <w:rFonts w:hint="eastAsia" w:ascii="仿宋_GB2312" w:hAnsi="仿宋_GB2312" w:cs="仿宋_GB2312"/>
          <w:szCs w:val="32"/>
          <w:lang w:val="en-US" w:eastAsia="zh-CN"/>
        </w:rPr>
        <w:t>9</w:t>
      </w:r>
      <w:r>
        <w:rPr>
          <w:rFonts w:hint="eastAsia" w:ascii="仿宋_GB2312" w:hAnsi="仿宋_GB2312" w:eastAsia="仿宋_GB2312" w:cs="仿宋_GB2312"/>
          <w:szCs w:val="32"/>
        </w:rPr>
        <w:t>___%，主要原因是</w:t>
      </w:r>
      <w:r>
        <w:rPr>
          <w:rFonts w:hint="eastAsia" w:ascii="仿宋_GB2312" w:hAnsi="仿宋_GB2312" w:cs="仿宋_GB2312"/>
          <w:szCs w:val="32"/>
          <w:lang w:eastAsia="zh-CN"/>
        </w:rPr>
        <w:t>新增录取公务员</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cs="仿宋_GB2312"/>
          <w:szCs w:val="32"/>
          <w:lang w:eastAsia="zh-CN"/>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hint="eastAsia" w:ascii="仿宋_GB2312" w:hAnsi="仿宋_GB2312" w:cs="仿宋_GB2312"/>
          <w:szCs w:val="32"/>
          <w:lang w:eastAsia="zh-CN"/>
        </w:rPr>
        <w:t>本级无政府采购情况进行预算公开</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年8月底，部门本级和所属各预算单位共有车辆____</w:t>
      </w:r>
      <w:r>
        <w:rPr>
          <w:rFonts w:hint="eastAsia" w:ascii="仿宋_GB2312" w:hAnsi="仿宋_GB2312" w:cs="仿宋_GB2312"/>
          <w:szCs w:val="32"/>
          <w:lang w:val="en-US" w:eastAsia="zh-CN"/>
        </w:rPr>
        <w:t>2</w:t>
      </w:r>
      <w:r>
        <w:rPr>
          <w:rFonts w:hint="eastAsia" w:ascii="仿宋_GB2312" w:hAnsi="仿宋_GB2312" w:eastAsia="仿宋_GB2312" w:cs="仿宋_GB2312"/>
          <w:szCs w:val="32"/>
        </w:rPr>
        <w:t>___辆</w:t>
      </w:r>
      <w:r>
        <w:rPr>
          <w:rFonts w:hint="eastAsia" w:ascii="仿宋_GB2312" w:hAnsi="仿宋_GB2312" w:cs="仿宋_GB2312"/>
          <w:szCs w:val="32"/>
          <w:lang w:eastAsia="zh-CN"/>
        </w:rPr>
        <w:t>。</w:t>
      </w:r>
    </w:p>
    <w:p>
      <w:pPr>
        <w:numPr>
          <w:ilvl w:val="0"/>
          <w:numId w:val="3"/>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w:t>
      </w:r>
      <w:r>
        <w:rPr>
          <w:rFonts w:hint="eastAsia" w:ascii="仿宋_GB2312" w:hAnsi="仿宋_GB2312" w:cs="仿宋_GB2312"/>
          <w:szCs w:val="32"/>
          <w:highlight w:val="none"/>
          <w:lang w:val="en-US" w:eastAsia="zh-CN"/>
        </w:rPr>
        <w:t>278.76</w:t>
      </w:r>
      <w:r>
        <w:rPr>
          <w:rFonts w:hint="eastAsia" w:ascii="仿宋_GB2312" w:hAnsi="仿宋_GB2312" w:eastAsia="仿宋_GB2312" w:cs="仿宋_GB2312"/>
          <w:szCs w:val="32"/>
          <w:highlight w:val="none"/>
        </w:rPr>
        <w:t>万元，其中：一级项目__</w:t>
      </w:r>
      <w:r>
        <w:rPr>
          <w:rFonts w:hint="eastAsia" w:ascii="仿宋_GB2312" w:hAnsi="仿宋_GB2312" w:cs="仿宋_GB2312"/>
          <w:szCs w:val="32"/>
          <w:highlight w:val="none"/>
          <w:lang w:val="en-US" w:eastAsia="zh-CN"/>
        </w:rPr>
        <w:t>5</w:t>
      </w:r>
      <w:r>
        <w:rPr>
          <w:rFonts w:hint="eastAsia" w:ascii="仿宋_GB2312" w:hAnsi="仿宋_GB2312" w:eastAsia="仿宋_GB2312" w:cs="仿宋_GB2312"/>
          <w:szCs w:val="32"/>
          <w:highlight w:val="none"/>
        </w:rPr>
        <w:t>__个，二级项目__</w:t>
      </w:r>
      <w:r>
        <w:rPr>
          <w:rFonts w:hint="eastAsia" w:ascii="仿宋_GB2312" w:hAnsi="仿宋_GB2312" w:cs="仿宋_GB2312"/>
          <w:szCs w:val="32"/>
          <w:highlight w:val="none"/>
          <w:lang w:val="en-US" w:eastAsia="zh-CN"/>
        </w:rPr>
        <w:t>5</w:t>
      </w:r>
      <w:r>
        <w:rPr>
          <w:rFonts w:hint="eastAsia" w:ascii="仿宋_GB2312" w:hAnsi="仿宋_GB2312" w:eastAsia="仿宋_GB2312" w:cs="仿宋_GB2312"/>
          <w:szCs w:val="32"/>
          <w:highlight w:val="none"/>
        </w:rPr>
        <w:t>__个；使用本年拨款__</w:t>
      </w:r>
      <w:r>
        <w:rPr>
          <w:rFonts w:hint="eastAsia" w:ascii="仿宋_GB2312" w:hAnsi="仿宋_GB2312" w:cs="仿宋_GB2312"/>
          <w:szCs w:val="32"/>
          <w:highlight w:val="none"/>
          <w:lang w:val="en-US" w:eastAsia="zh-CN"/>
        </w:rPr>
        <w:t xml:space="preserve">278.76 </w:t>
      </w:r>
      <w:r>
        <w:rPr>
          <w:rFonts w:hint="eastAsia" w:ascii="仿宋_GB2312" w:hAnsi="仿宋_GB2312" w:eastAsia="仿宋_GB2312" w:cs="仿宋_GB2312"/>
          <w:szCs w:val="32"/>
          <w:highlight w:val="none"/>
        </w:rPr>
        <w:t>__万元，财政拨款结转__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5</w:t>
      </w:r>
      <w:r>
        <w:rPr>
          <w:rFonts w:hint="eastAsia" w:ascii="仿宋_GB2312" w:hAnsi="仿宋_GB2312" w:eastAsia="仿宋_GB2312" w:cs="仿宋_GB2312"/>
        </w:rPr>
        <w:t>个二级项目支出的绩效目标和指标向社会公开，涉及金额</w:t>
      </w:r>
      <w:r>
        <w:rPr>
          <w:rFonts w:hint="eastAsia" w:ascii="仿宋_GB2312" w:hAnsi="仿宋_GB2312" w:cs="仿宋_GB2312"/>
          <w:szCs w:val="32"/>
          <w:highlight w:val="none"/>
          <w:lang w:val="en-US" w:eastAsia="zh-CN"/>
        </w:rPr>
        <w:t>278.76</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D7DBDB"/>
    <w:multiLevelType w:val="singleLevel"/>
    <w:tmpl w:val="19D7DBDB"/>
    <w:lvl w:ilvl="0" w:tentative="0">
      <w:start w:val="1"/>
      <w:numFmt w:val="chineseCounting"/>
      <w:suff w:val="nothing"/>
      <w:lvlText w:val="（%1）"/>
      <w:lvlJc w:val="left"/>
      <w:rPr>
        <w:rFonts w:hint="eastAsia"/>
      </w:rPr>
    </w:lvl>
  </w:abstractNum>
  <w:abstractNum w:abstractNumId="1">
    <w:nsid w:val="5610D592"/>
    <w:multiLevelType w:val="singleLevel"/>
    <w:tmpl w:val="5610D592"/>
    <w:lvl w:ilvl="0" w:tentative="0">
      <w:start w:val="5"/>
      <w:numFmt w:val="chineseCounting"/>
      <w:suff w:val="nothing"/>
      <w:lvlText w:val="（%1）"/>
      <w:lvlJc w:val="left"/>
      <w:rPr>
        <w:rFonts w:hint="eastAsia"/>
      </w:rPr>
    </w:lvl>
  </w:abstractNum>
  <w:abstractNum w:abstractNumId="2">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iNzlmODNkMzc5NjI4YzM0MmM5MWZhM2ViODE1NmU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9B47F9D"/>
    <w:rsid w:val="0A334D52"/>
    <w:rsid w:val="0ABA06FE"/>
    <w:rsid w:val="0B5F5ADA"/>
    <w:rsid w:val="0B710869"/>
    <w:rsid w:val="0C2A5C84"/>
    <w:rsid w:val="0D345CA0"/>
    <w:rsid w:val="0DA001B0"/>
    <w:rsid w:val="0DB6446C"/>
    <w:rsid w:val="0DEB170B"/>
    <w:rsid w:val="0E4C7841"/>
    <w:rsid w:val="0F3E0406"/>
    <w:rsid w:val="0F8B592F"/>
    <w:rsid w:val="0FD62F63"/>
    <w:rsid w:val="107728C7"/>
    <w:rsid w:val="10AE7F82"/>
    <w:rsid w:val="10C93B35"/>
    <w:rsid w:val="11177619"/>
    <w:rsid w:val="112605C8"/>
    <w:rsid w:val="11F17FEC"/>
    <w:rsid w:val="11F70B00"/>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977443"/>
    <w:rsid w:val="1EB12291"/>
    <w:rsid w:val="1EB55C07"/>
    <w:rsid w:val="1F351A10"/>
    <w:rsid w:val="1FED47E9"/>
    <w:rsid w:val="205B1D64"/>
    <w:rsid w:val="206816AC"/>
    <w:rsid w:val="22A4003E"/>
    <w:rsid w:val="23984063"/>
    <w:rsid w:val="239B2179"/>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A33345"/>
    <w:rsid w:val="29C45F24"/>
    <w:rsid w:val="2CCF71D6"/>
    <w:rsid w:val="2DF8796C"/>
    <w:rsid w:val="2EB22F18"/>
    <w:rsid w:val="2EE12108"/>
    <w:rsid w:val="2EED35E3"/>
    <w:rsid w:val="2F250383"/>
    <w:rsid w:val="2F63610B"/>
    <w:rsid w:val="300965A3"/>
    <w:rsid w:val="30730D6E"/>
    <w:rsid w:val="30B91A70"/>
    <w:rsid w:val="32CF2C5D"/>
    <w:rsid w:val="33175A44"/>
    <w:rsid w:val="335402B5"/>
    <w:rsid w:val="339466B2"/>
    <w:rsid w:val="34555AF5"/>
    <w:rsid w:val="35616772"/>
    <w:rsid w:val="35EA1663"/>
    <w:rsid w:val="364C598E"/>
    <w:rsid w:val="36CC2B0F"/>
    <w:rsid w:val="371A614D"/>
    <w:rsid w:val="3838492F"/>
    <w:rsid w:val="38630E25"/>
    <w:rsid w:val="387258D7"/>
    <w:rsid w:val="3887374F"/>
    <w:rsid w:val="38AF6637"/>
    <w:rsid w:val="39041A07"/>
    <w:rsid w:val="39043B77"/>
    <w:rsid w:val="391B1FEF"/>
    <w:rsid w:val="393F0DCD"/>
    <w:rsid w:val="39670895"/>
    <w:rsid w:val="3A4842C1"/>
    <w:rsid w:val="3A657F9A"/>
    <w:rsid w:val="3A9113D4"/>
    <w:rsid w:val="3AC54F32"/>
    <w:rsid w:val="3B144A0A"/>
    <w:rsid w:val="3B1B2A0D"/>
    <w:rsid w:val="3B7C071F"/>
    <w:rsid w:val="3BC92948"/>
    <w:rsid w:val="3BE370D4"/>
    <w:rsid w:val="3C29381E"/>
    <w:rsid w:val="3C644D52"/>
    <w:rsid w:val="3C711E1D"/>
    <w:rsid w:val="3C7F463D"/>
    <w:rsid w:val="3CA33A86"/>
    <w:rsid w:val="3CAE3960"/>
    <w:rsid w:val="3D365BF6"/>
    <w:rsid w:val="3DF23324"/>
    <w:rsid w:val="3EA14040"/>
    <w:rsid w:val="3EE8108D"/>
    <w:rsid w:val="3EF47063"/>
    <w:rsid w:val="405745EF"/>
    <w:rsid w:val="40B80EFF"/>
    <w:rsid w:val="41A35364"/>
    <w:rsid w:val="41C31686"/>
    <w:rsid w:val="42982B4E"/>
    <w:rsid w:val="42DD3A02"/>
    <w:rsid w:val="436B1E42"/>
    <w:rsid w:val="43993170"/>
    <w:rsid w:val="44054362"/>
    <w:rsid w:val="449C5E6A"/>
    <w:rsid w:val="456D114B"/>
    <w:rsid w:val="45EB670F"/>
    <w:rsid w:val="46AB7C0D"/>
    <w:rsid w:val="46D44808"/>
    <w:rsid w:val="4770600E"/>
    <w:rsid w:val="47CF49E6"/>
    <w:rsid w:val="4843587B"/>
    <w:rsid w:val="48674ED2"/>
    <w:rsid w:val="487708E6"/>
    <w:rsid w:val="49645F71"/>
    <w:rsid w:val="499F5C68"/>
    <w:rsid w:val="4AF16062"/>
    <w:rsid w:val="4B646DDD"/>
    <w:rsid w:val="4B7F44F8"/>
    <w:rsid w:val="4BAC24C5"/>
    <w:rsid w:val="4BFA0656"/>
    <w:rsid w:val="4C5567C9"/>
    <w:rsid w:val="4D203D31"/>
    <w:rsid w:val="4D730507"/>
    <w:rsid w:val="4D741DD3"/>
    <w:rsid w:val="4DC93207"/>
    <w:rsid w:val="4DE10C6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232E6"/>
    <w:rsid w:val="58256ABD"/>
    <w:rsid w:val="5827402E"/>
    <w:rsid w:val="58C61445"/>
    <w:rsid w:val="59472AC7"/>
    <w:rsid w:val="59BD150F"/>
    <w:rsid w:val="59D20BE7"/>
    <w:rsid w:val="59DD570D"/>
    <w:rsid w:val="59FF5EDC"/>
    <w:rsid w:val="5A084708"/>
    <w:rsid w:val="5AB343F7"/>
    <w:rsid w:val="5ABF50F2"/>
    <w:rsid w:val="5AF76904"/>
    <w:rsid w:val="5B052E7A"/>
    <w:rsid w:val="5B3D7F7E"/>
    <w:rsid w:val="5B7C7777"/>
    <w:rsid w:val="5B9462A0"/>
    <w:rsid w:val="5BEC6771"/>
    <w:rsid w:val="5C093230"/>
    <w:rsid w:val="5CA506B9"/>
    <w:rsid w:val="5CFD5FB2"/>
    <w:rsid w:val="5D2B52D8"/>
    <w:rsid w:val="5D5A7C63"/>
    <w:rsid w:val="5E256F6F"/>
    <w:rsid w:val="5F0B7584"/>
    <w:rsid w:val="5F6235A9"/>
    <w:rsid w:val="612B3202"/>
    <w:rsid w:val="614125C2"/>
    <w:rsid w:val="624C5C52"/>
    <w:rsid w:val="62BF0A61"/>
    <w:rsid w:val="63952BB5"/>
    <w:rsid w:val="63DF08E4"/>
    <w:rsid w:val="64127E15"/>
    <w:rsid w:val="64C04AFD"/>
    <w:rsid w:val="661A7B69"/>
    <w:rsid w:val="664909C1"/>
    <w:rsid w:val="66C63EB5"/>
    <w:rsid w:val="677772D0"/>
    <w:rsid w:val="679461D3"/>
    <w:rsid w:val="6858287E"/>
    <w:rsid w:val="69157114"/>
    <w:rsid w:val="691A443E"/>
    <w:rsid w:val="6A03031D"/>
    <w:rsid w:val="6A80735F"/>
    <w:rsid w:val="6ACC5E47"/>
    <w:rsid w:val="6AD43ED1"/>
    <w:rsid w:val="6B11024D"/>
    <w:rsid w:val="6B7D5B36"/>
    <w:rsid w:val="6BFA1EDA"/>
    <w:rsid w:val="6CF120A8"/>
    <w:rsid w:val="70535758"/>
    <w:rsid w:val="70D21F8E"/>
    <w:rsid w:val="714213DD"/>
    <w:rsid w:val="717F272E"/>
    <w:rsid w:val="728027C6"/>
    <w:rsid w:val="72D54D7C"/>
    <w:rsid w:val="737664E0"/>
    <w:rsid w:val="73A413D7"/>
    <w:rsid w:val="73FE7ACC"/>
    <w:rsid w:val="74053F35"/>
    <w:rsid w:val="74556746"/>
    <w:rsid w:val="74AB7A24"/>
    <w:rsid w:val="76BB79B1"/>
    <w:rsid w:val="76C17E06"/>
    <w:rsid w:val="76CA67BD"/>
    <w:rsid w:val="76DB4093"/>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 w:val="7FF945D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6</TotalTime>
  <ScaleCrop>false</ScaleCrop>
  <LinksUpToDate>false</LinksUpToDate>
  <CharactersWithSpaces>8690</CharactersWithSpaces>
  <Application>WPS Office_11.1.0.10650_F1E327BC-269C-435d-A152-05C5408002CA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2024-02-22T09:11:29Z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2052-11.1.0.10650</vt:lpwstr>
  </property>
  <property fmtid="{D5CDD505-2E9C-101B-9397-08002B2CF9AE}" pid="3" name="commondata">
    <vt:lpwstr>eyJoZGlkIjoiZWM5MjE1YWFmYzZkMzU5ZGRkN2NlNjYxOGIzMjAyOWQifQ==</vt:lpwstr>
  </property>
  <property fmtid="{D5CDD505-2E9C-101B-9397-08002B2CF9AE}" pid="4" name="ICV">
    <vt:lpwstr>D2C3D9A19CD34352881A228CB92F32CC</vt:lpwstr>
  </property>
</Properties>
</file>