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通榆县房屋产权交易管理中心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360" w:lineRule="auto"/>
        <w:ind w:firstLine="640" w:firstLineChars="200"/>
        <w:rPr>
          <w:rFonts w:hint="eastAsia" w:ascii="仿宋_GB2312" w:hAnsi="仿宋_GB2312" w:eastAsia="仿宋_GB2312"/>
          <w:sz w:val="32"/>
        </w:rPr>
      </w:pPr>
      <w:r>
        <w:rPr>
          <w:rFonts w:hint="eastAsia" w:ascii="仿宋_GB2312" w:eastAsia="仿宋_GB2312"/>
          <w:sz w:val="32"/>
          <w:szCs w:val="32"/>
        </w:rPr>
        <w:t>负责房屋产权交易</w:t>
      </w:r>
      <w:r>
        <w:rPr>
          <w:rFonts w:hint="eastAsia" w:ascii="仿宋_GB2312"/>
          <w:sz w:val="32"/>
          <w:szCs w:val="32"/>
          <w:lang w:val="en-US" w:eastAsia="zh-CN"/>
        </w:rPr>
        <w:t>备案、房屋信息管理</w:t>
      </w:r>
      <w:r>
        <w:rPr>
          <w:rFonts w:hint="eastAsia" w:ascii="仿宋_GB2312" w:eastAsia="仿宋_GB2312"/>
          <w:sz w:val="32"/>
          <w:szCs w:val="32"/>
        </w:rPr>
        <w:t>的具体事</w:t>
      </w:r>
      <w:r>
        <w:rPr>
          <w:rFonts w:hint="eastAsia" w:ascii="仿宋_GB2312"/>
          <w:sz w:val="32"/>
          <w:szCs w:val="32"/>
          <w:lang w:val="en-US" w:eastAsia="zh-CN"/>
        </w:rPr>
        <w:t>务工作</w:t>
      </w:r>
      <w:r>
        <w:rPr>
          <w:rFonts w:hint="eastAsia" w:ascii="仿宋_GB2312" w:hAnsi="仿宋_GB2312" w:eastAsia="仿宋_GB2312"/>
          <w:sz w:val="32"/>
        </w:rPr>
        <w:t>。</w:t>
      </w:r>
    </w:p>
    <w:p>
      <w:pPr>
        <w:spacing w:line="360" w:lineRule="auto"/>
        <w:ind w:firstLine="640" w:firstLineChars="200"/>
        <w:rPr>
          <w:rFonts w:hint="eastAsia" w:ascii="仿宋_GB2312" w:hAnsi="仿宋_GB2312" w:eastAsia="仿宋_GB2312"/>
          <w:sz w:val="32"/>
        </w:rPr>
      </w:pPr>
      <w:r>
        <w:rPr>
          <w:rFonts w:hint="eastAsia" w:ascii="仿宋_GB2312" w:hAnsi="仿宋_GB2312" w:eastAsia="仿宋_GB2312"/>
          <w:sz w:val="32"/>
        </w:rPr>
        <w:t>（一）根据中央和省关于公益一类</w:t>
      </w:r>
      <w:r>
        <w:rPr>
          <w:rFonts w:hint="eastAsia" w:eastAsia="仿宋_GB2312"/>
          <w:sz w:val="32"/>
        </w:rPr>
        <w:t>事业单位改革的要求，</w:t>
      </w:r>
      <w:r>
        <w:rPr>
          <w:rFonts w:hint="eastAsia" w:ascii="仿宋_GB2312" w:hAnsi="仿宋_GB2312" w:eastAsia="仿宋_GB2312"/>
          <w:sz w:val="32"/>
        </w:rPr>
        <w:t>强化公益属性，进一步理顺体制，完善机制，健全制度，不断提高公益服务水平和效率。</w:t>
      </w:r>
    </w:p>
    <w:p>
      <w:pPr>
        <w:spacing w:line="360" w:lineRule="auto"/>
        <w:rPr>
          <w:rFonts w:hint="eastAsia" w:eastAsia="仿宋_GB2312"/>
          <w:sz w:val="32"/>
        </w:rPr>
      </w:pPr>
      <w:r>
        <w:rPr>
          <w:rFonts w:hint="eastAsia" w:ascii="仿宋_GB2312" w:hAnsi="仿宋_GB2312" w:eastAsia="仿宋_GB2312"/>
          <w:sz w:val="32"/>
        </w:rPr>
        <w:t xml:space="preserve">   （二）按照规定</w:t>
      </w:r>
      <w:r>
        <w:rPr>
          <w:rFonts w:hint="eastAsia" w:eastAsia="仿宋_GB2312"/>
          <w:sz w:val="32"/>
        </w:rPr>
        <w:t>的宗旨、业务范围和服务规范开展活动。不得从事生产经营活动和与公益服务职能无关的其他活动。</w:t>
      </w:r>
    </w:p>
    <w:p>
      <w:pPr>
        <w:spacing w:line="360" w:lineRule="auto"/>
        <w:rPr>
          <w:rFonts w:hint="eastAsia" w:ascii="仿宋_GB2312" w:hAnsi="黑体" w:eastAsia="仿宋_GB2312"/>
          <w:sz w:val="32"/>
        </w:rPr>
      </w:pPr>
      <w:r>
        <w:rPr>
          <w:rFonts w:hint="eastAsia" w:ascii="仿宋_GB2312" w:hAnsi="黑体" w:eastAsia="仿宋_GB2312"/>
          <w:sz w:val="32"/>
        </w:rPr>
        <w:t xml:space="preserve">   （三）分类后，除国家和省明确政策规定外，原编制经费形式和人员管理、国有资产管理以及原实行的人员养老保险政策维持不变，待国家和省有关政策规定明确后，按规定办理。</w:t>
      </w:r>
    </w:p>
    <w:p>
      <w:pPr>
        <w:spacing w:line="360" w:lineRule="auto"/>
        <w:rPr>
          <w:rFonts w:hint="eastAsia" w:ascii="仿宋_GB2312" w:hAnsi="黑体" w:eastAsia="仿宋_GB2312"/>
          <w:sz w:val="32"/>
        </w:rPr>
      </w:pPr>
      <w:r>
        <w:rPr>
          <w:rFonts w:hint="eastAsia" w:ascii="仿宋_GB2312" w:hAnsi="黑体" w:eastAsia="仿宋_GB2312"/>
          <w:sz w:val="32"/>
        </w:rPr>
        <w:t xml:space="preserve">   （四）三十日内，按“三定”规定理顺名称和职责，到登记管理机关办理变更事宜。</w:t>
      </w:r>
    </w:p>
    <w:p>
      <w:pPr>
        <w:ind w:firstLine="640" w:firstLineChars="200"/>
      </w:pPr>
      <w:r>
        <w:rPr>
          <w:rFonts w:eastAsia="楷体_GB2312"/>
        </w:rPr>
        <w:t>二、机构设置</w:t>
      </w:r>
    </w:p>
    <w:p>
      <w:pPr>
        <w:pStyle w:val="51"/>
        <w:ind w:firstLine="640" w:firstLineChars="200"/>
        <w:rPr>
          <w:rFonts w:eastAsia="仿宋_GB2312"/>
        </w:rPr>
      </w:pPr>
      <w:r>
        <w:rPr>
          <w:rFonts w:hint="eastAsia" w:eastAsia="仿宋_GB2312"/>
          <w:lang w:val="en-US" w:eastAsia="zh-CN"/>
        </w:rPr>
        <w:t>1、机构组成：</w:t>
      </w:r>
      <w:r>
        <w:rPr>
          <w:rFonts w:eastAsia="仿宋_GB2312"/>
        </w:rPr>
        <w:t>根据上述职责，</w:t>
      </w:r>
      <w:r>
        <w:rPr>
          <w:rFonts w:hint="eastAsia" w:eastAsia="仿宋_GB2312"/>
          <w:lang w:val="en-US" w:eastAsia="zh-CN"/>
        </w:rPr>
        <w:t>通榆县房屋产权交易管理中心（政府或县委）组成部分</w:t>
      </w:r>
      <w:r>
        <w:rPr>
          <w:rFonts w:eastAsia="仿宋_GB2312"/>
        </w:rPr>
        <w:t>，内设</w:t>
      </w:r>
      <w:r>
        <w:rPr>
          <w:rFonts w:hint="eastAsia" w:eastAsia="仿宋_GB2312"/>
          <w:u w:val="single"/>
          <w:lang w:val="en-US" w:eastAsia="zh-CN"/>
        </w:rPr>
        <w:t>11</w:t>
      </w:r>
      <w:r>
        <w:rPr>
          <w:rFonts w:eastAsia="仿宋_GB2312"/>
        </w:rPr>
        <w:t>个</w:t>
      </w:r>
      <w:r>
        <w:rPr>
          <w:rFonts w:hint="eastAsia" w:eastAsia="仿宋_GB2312"/>
          <w:lang w:val="en-US" w:eastAsia="zh-CN"/>
        </w:rPr>
        <w:t>科室</w:t>
      </w:r>
    </w:p>
    <w:p>
      <w:pPr>
        <w:pStyle w:val="51"/>
        <w:numPr>
          <w:ilvl w:val="0"/>
          <w:numId w:val="0"/>
        </w:numPr>
        <w:ind w:firstLine="640" w:firstLineChars="200"/>
        <w:rPr>
          <w:rFonts w:hAnsi="楷体" w:eastAsia="楷体"/>
        </w:rPr>
      </w:pPr>
      <w:r>
        <w:rPr>
          <w:rFonts w:hint="eastAsia" w:eastAsia="楷体"/>
          <w:lang w:val="en-US" w:eastAsia="zh-CN"/>
        </w:rPr>
        <w:t>2、员编制情况：事业编制26人，在职59人。</w:t>
      </w:r>
    </w:p>
    <w:p>
      <w:pPr>
        <w:pStyle w:val="51"/>
        <w:ind w:firstLine="640" w:firstLineChars="200"/>
        <w:rPr>
          <w:rFonts w:hint="eastAsia" w:hAnsi="楷体" w:eastAsia="楷体"/>
        </w:rPr>
      </w:pPr>
      <w:r>
        <w:rPr>
          <w:rFonts w:hAnsi="楷体" w:eastAsia="楷体"/>
        </w:rPr>
        <w:t>注：具体预算单位名单，按照《关于批复</w:t>
      </w:r>
      <w:r>
        <w:rPr>
          <w:rFonts w:eastAsia="楷体"/>
        </w:rPr>
        <w:t>20</w:t>
      </w:r>
      <w:r>
        <w:rPr>
          <w:rFonts w:hint="eastAsia" w:eastAsia="楷体"/>
        </w:rPr>
        <w:t>2</w:t>
      </w:r>
      <w:r>
        <w:rPr>
          <w:rFonts w:hint="eastAsia" w:eastAsia="楷体"/>
          <w:lang w:val="en-US" w:eastAsia="zh-CN"/>
        </w:rPr>
        <w:t>4</w:t>
      </w:r>
      <w:r>
        <w:rPr>
          <w:rFonts w:hAnsi="楷体" w:eastAsia="楷体"/>
        </w:rPr>
        <w:t>年部门预算的通知》（吉财预〔</w:t>
      </w:r>
      <w:r>
        <w:rPr>
          <w:rFonts w:eastAsia="楷体"/>
        </w:rPr>
        <w:t>20</w:t>
      </w:r>
      <w:r>
        <w:rPr>
          <w:rFonts w:hint="eastAsia" w:eastAsia="楷体"/>
        </w:rPr>
        <w:t>2</w:t>
      </w:r>
      <w:r>
        <w:rPr>
          <w:rFonts w:hint="eastAsia" w:eastAsia="楷体"/>
          <w:lang w:val="en-US" w:eastAsia="zh-CN"/>
        </w:rPr>
        <w:t>4</w:t>
      </w:r>
      <w:r>
        <w:rPr>
          <w:rFonts w:hAnsi="楷体" w:eastAsia="楷体"/>
        </w:rPr>
        <w:t>〕</w:t>
      </w:r>
      <w:r>
        <w:rPr>
          <w:rFonts w:eastAsia="楷体"/>
        </w:rPr>
        <w:t>1</w:t>
      </w:r>
      <w:r>
        <w:rPr>
          <w:rFonts w:hAnsi="楷体" w:eastAsia="楷体"/>
        </w:rPr>
        <w:t>号，以下简称《批复》）中的预算附表</w:t>
      </w:r>
      <w:r>
        <w:rPr>
          <w:rFonts w:eastAsia="楷体"/>
        </w:rPr>
        <w:t>1</w:t>
      </w:r>
      <w:r>
        <w:rPr>
          <w:rFonts w:hint="eastAsia" w:eastAsia="楷体"/>
        </w:rPr>
        <w:t>3</w:t>
      </w:r>
      <w:r>
        <w:rPr>
          <w:rFonts w:hAnsi="楷体" w:eastAsia="楷体"/>
        </w:rPr>
        <w:t>（</w:t>
      </w:r>
      <w:r>
        <w:rPr>
          <w:rFonts w:eastAsia="楷体"/>
        </w:rPr>
        <w:t>20</w:t>
      </w:r>
      <w:r>
        <w:rPr>
          <w:rFonts w:hint="eastAsia" w:eastAsia="楷体"/>
        </w:rPr>
        <w:t>2</w:t>
      </w:r>
      <w:r>
        <w:rPr>
          <w:rFonts w:hint="eastAsia" w:eastAsia="楷体"/>
          <w:lang w:val="en-US" w:eastAsia="zh-CN"/>
        </w:rPr>
        <w:t>4</w:t>
      </w:r>
      <w:r>
        <w:rPr>
          <w:rFonts w:hAnsi="楷体" w:eastAsia="楷体"/>
        </w:rPr>
        <w:t>年单位基本信息情况表）所列单位及名称填列。</w:t>
      </w:r>
      <w:r>
        <w:rPr>
          <w:rFonts w:hint="eastAsia" w:hAnsi="楷体" w:eastAsia="楷体"/>
        </w:rPr>
        <w:t>如部门“三定”方案涉密，可表述为“部门职能及机构设置情况涉密，按规定不予公开”。</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759.40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759.40</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565.73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759.40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759.40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759.40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通榆县住房和城乡建设局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759.4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759.4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759.4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通榆县房屋产权交易管理中心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759.4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759.4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759.4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101.80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79.02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19.32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318"/>
                    </w:tabs>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19.32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3.46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3.46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w:t>
                  </w:r>
                  <w:r>
                    <w:rPr>
                      <w:rFonts w:hint="default" w:ascii="Arial" w:hAnsi="Arial" w:eastAsia="宋体" w:cs="Arial"/>
                      <w:i w:val="0"/>
                      <w:iCs w:val="0"/>
                      <w:color w:val="000000"/>
                      <w:kern w:val="0"/>
                      <w:sz w:val="20"/>
                      <w:szCs w:val="20"/>
                      <w:u w:val="none"/>
                      <w:lang w:val="en-US" w:eastAsia="zh-CN" w:bidi="ar"/>
                    </w:rPr>
                    <w:t>行政事业单位医疗</w:t>
                  </w:r>
                  <w:r>
                    <w:rPr>
                      <w:rFonts w:hint="eastAsia" w:ascii="Arial" w:hAnsi="Arial" w:eastAsia="宋体" w:cs="Arial"/>
                      <w:i w:val="0"/>
                      <w:iCs w:val="0"/>
                      <w:color w:val="000000"/>
                      <w:kern w:val="0"/>
                      <w:sz w:val="20"/>
                      <w:szCs w:val="20"/>
                      <w:u w:val="none"/>
                      <w:lang w:val="en-US" w:eastAsia="zh-CN" w:bidi="ar"/>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549.81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城乡社区管理事务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549.81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其他城乡社区管理事务支出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549.81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center" w:pos="678"/>
                      <w:tab w:val="right" w:pos="1237"/>
                    </w:tabs>
                    <w:jc w:val="left"/>
                    <w:rPr>
                      <w:rFonts w:hint="default" w:eastAsia="宋体"/>
                      <w:color w:val="000000"/>
                      <w:kern w:val="0"/>
                      <w:sz w:val="20"/>
                      <w:lang w:val="en-US" w:eastAsia="zh-CN"/>
                    </w:rPr>
                  </w:pPr>
                  <w:r>
                    <w:rPr>
                      <w:rFonts w:hint="eastAsia" w:eastAsia="宋体"/>
                      <w:color w:val="000000"/>
                      <w:kern w:val="0"/>
                      <w:sz w:val="20"/>
                      <w:lang w:val="en-US" w:eastAsia="zh-CN"/>
                    </w:rPr>
                    <w:tab/>
                  </w:r>
                  <w:r>
                    <w:rPr>
                      <w:rFonts w:hint="eastAsia" w:eastAsia="宋体"/>
                      <w:color w:val="000000"/>
                      <w:kern w:val="0"/>
                      <w:sz w:val="20"/>
                      <w:lang w:val="en-US" w:eastAsia="zh-CN"/>
                    </w:rPr>
                    <w:t>59.27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759.40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743.48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759.40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759.40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101.80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32.60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565.73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59.27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759.40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759.40</w:t>
                  </w:r>
                  <w:bookmarkStart w:id="0" w:name="_GoBack"/>
                  <w:bookmarkEnd w:id="0"/>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759.40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759.40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华文细黑"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华文细黑"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19.32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19.32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19.32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themeColor="text1"/>
                      <w:kern w:val="0"/>
                      <w:sz w:val="20"/>
                      <w:lang w:val="en-US" w:eastAsia="zh-CN"/>
                      <w14:textFill>
                        <w14:solidFill>
                          <w14:schemeClr w14:val="tx1"/>
                        </w14:solidFill>
                      </w14:textFill>
                    </w:rPr>
                  </w:pPr>
                  <w:r>
                    <w:rPr>
                      <w:rFonts w:hint="eastAsia" w:eastAsia="宋体"/>
                      <w:color w:val="000000" w:themeColor="text1"/>
                      <w:kern w:val="0"/>
                      <w:sz w:val="20"/>
                      <w:lang w:val="en-US" w:eastAsia="zh-CN"/>
                      <w14:textFill>
                        <w14:solidFill>
                          <w14:schemeClr w14:val="tx1"/>
                        </w14:solidFill>
                      </w14:textFill>
                    </w:rPr>
                    <w:t>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w:t>
                  </w:r>
                  <w:r>
                    <w:rPr>
                      <w:rFonts w:hint="default" w:ascii="Arial" w:hAnsi="Arial" w:eastAsia="宋体" w:cs="Arial"/>
                      <w:i w:val="0"/>
                      <w:iCs w:val="0"/>
                      <w:color w:val="000000"/>
                      <w:kern w:val="0"/>
                      <w:sz w:val="20"/>
                      <w:szCs w:val="20"/>
                      <w:u w:val="none"/>
                      <w:lang w:val="en-US" w:eastAsia="zh-CN" w:bidi="ar"/>
                    </w:rPr>
                    <w:t>行政事业单位医疗</w:t>
                  </w:r>
                  <w:r>
                    <w:rPr>
                      <w:rFonts w:hint="eastAsia" w:ascii="Arial" w:hAnsi="Arial" w:eastAsia="宋体" w:cs="Arial"/>
                      <w:i w:val="0"/>
                      <w:iCs w:val="0"/>
                      <w:color w:val="000000"/>
                      <w:kern w:val="0"/>
                      <w:sz w:val="20"/>
                      <w:szCs w:val="20"/>
                      <w:u w:val="none"/>
                      <w:lang w:val="en-US" w:eastAsia="zh-CN" w:bidi="ar"/>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524.85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城乡社区管理事务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565.73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524.85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其他城乡社区管理事务支出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565.73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524.85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759.40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743.48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24.96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15.92</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852"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47"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694.16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694.16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271.50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271.50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17.24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17.24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54.71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54.71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150.43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150.43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79.02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79.02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19.33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19.33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31.61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31.61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59.27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59.27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6.61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6.61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24.96</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9.83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9.83</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2.28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2.28</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0.04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0.04</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4.01</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1.20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7.60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7.60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24.36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24.36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0.00</w:t>
            </w:r>
          </w:p>
        </w:tc>
      </w:tr>
      <w:tr>
        <w:tblPrEx>
          <w:tblCellMar>
            <w:top w:w="0" w:type="dxa"/>
            <w:left w:w="108" w:type="dxa"/>
            <w:bottom w:w="0" w:type="dxa"/>
            <w:right w:w="108" w:type="dxa"/>
          </w:tblCellMar>
        </w:tblPrEx>
        <w:trPr>
          <w:trHeight w:val="47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szCs w:val="20"/>
                <w:lang w:val="en-US" w:eastAsia="zh-CN"/>
              </w:rPr>
            </w:pPr>
            <w:r>
              <w:rPr>
                <w:rFonts w:hint="eastAsia" w:eastAsia="宋体"/>
                <w:kern w:val="0"/>
                <w:sz w:val="20"/>
                <w:szCs w:val="20"/>
                <w:lang w:val="en-US" w:eastAsia="zh-CN"/>
              </w:rPr>
              <w:t>743.48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718.52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24.96</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rPr>
          <w:rFonts w:eastAsia="楷体"/>
        </w:rPr>
      </w:pP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68"/>
        <w:gridCol w:w="570"/>
        <w:gridCol w:w="467"/>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6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5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6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5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568" w:type="dxa"/>
            <w:vMerge w:val="continue"/>
            <w:noWrap w:val="0"/>
            <w:vAlign w:val="center"/>
          </w:tcPr>
          <w:p>
            <w:pPr>
              <w:autoSpaceDN w:val="0"/>
              <w:jc w:val="center"/>
              <w:textAlignment w:val="center"/>
              <w:rPr>
                <w:rFonts w:ascii="Calibri" w:hAnsi="Calibri" w:eastAsia="华文细黑"/>
                <w:color w:val="000000"/>
                <w:sz w:val="20"/>
                <w:szCs w:val="22"/>
              </w:rPr>
            </w:pPr>
          </w:p>
        </w:tc>
        <w:tc>
          <w:tcPr>
            <w:tcW w:w="5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6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exact"/>
          <w:jc w:val="center"/>
        </w:trPr>
        <w:tc>
          <w:tcPr>
            <w:tcW w:w="759"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专项业务支出</w:t>
            </w:r>
          </w:p>
        </w:tc>
        <w:tc>
          <w:tcPr>
            <w:tcW w:w="106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10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8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8"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15.92</w:t>
            </w:r>
          </w:p>
        </w:tc>
        <w:tc>
          <w:tcPr>
            <w:tcW w:w="570"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15.92</w:t>
            </w:r>
          </w:p>
        </w:tc>
        <w:tc>
          <w:tcPr>
            <w:tcW w:w="46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21"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98"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25"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759" w:type="dxa"/>
            <w:noWrap w:val="0"/>
            <w:vAlign w:val="center"/>
          </w:tcPr>
          <w:p>
            <w:pPr>
              <w:spacing w:line="24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val="en-US" w:eastAsia="zh-CN"/>
              </w:rPr>
              <w:t>专项业务支出</w:t>
            </w:r>
          </w:p>
        </w:tc>
        <w:tc>
          <w:tcPr>
            <w:tcW w:w="1063"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住建局2024年部门预算资金</w:t>
            </w:r>
          </w:p>
        </w:tc>
        <w:tc>
          <w:tcPr>
            <w:tcW w:w="110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8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8"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15.92</w:t>
            </w:r>
          </w:p>
        </w:tc>
        <w:tc>
          <w:tcPr>
            <w:tcW w:w="570"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15.92</w:t>
            </w:r>
          </w:p>
        </w:tc>
        <w:tc>
          <w:tcPr>
            <w:tcW w:w="46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21"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98"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25"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exact"/>
          <w:jc w:val="center"/>
        </w:trPr>
        <w:tc>
          <w:tcPr>
            <w:tcW w:w="759"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06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107"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退休人员补差</w:t>
            </w:r>
          </w:p>
        </w:tc>
        <w:tc>
          <w:tcPr>
            <w:tcW w:w="864"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通榆县房屋产权交易管理中心</w:t>
            </w:r>
          </w:p>
        </w:tc>
        <w:tc>
          <w:tcPr>
            <w:tcW w:w="568"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1.03</w:t>
            </w:r>
          </w:p>
        </w:tc>
        <w:tc>
          <w:tcPr>
            <w:tcW w:w="570"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1.03</w:t>
            </w:r>
          </w:p>
        </w:tc>
        <w:tc>
          <w:tcPr>
            <w:tcW w:w="46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21"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98"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25"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exact"/>
          <w:jc w:val="center"/>
        </w:trPr>
        <w:tc>
          <w:tcPr>
            <w:tcW w:w="759"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06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107"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退役士兵安置工资</w:t>
            </w:r>
          </w:p>
        </w:tc>
        <w:tc>
          <w:tcPr>
            <w:tcW w:w="864" w:type="dxa"/>
            <w:noWrap w:val="0"/>
            <w:vAlign w:val="center"/>
          </w:tcPr>
          <w:p>
            <w:pPr>
              <w:spacing w:line="240" w:lineRule="auto"/>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通榆县房屋产权交易管理中心</w:t>
            </w:r>
          </w:p>
        </w:tc>
        <w:tc>
          <w:tcPr>
            <w:tcW w:w="568"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7.69</w:t>
            </w:r>
          </w:p>
        </w:tc>
        <w:tc>
          <w:tcPr>
            <w:tcW w:w="570"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7.69</w:t>
            </w:r>
          </w:p>
        </w:tc>
        <w:tc>
          <w:tcPr>
            <w:tcW w:w="46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21"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98"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25"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exact"/>
          <w:jc w:val="center"/>
        </w:trPr>
        <w:tc>
          <w:tcPr>
            <w:tcW w:w="759"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06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1107"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驻村工作对生活补助</w:t>
            </w:r>
          </w:p>
        </w:tc>
        <w:tc>
          <w:tcPr>
            <w:tcW w:w="864" w:type="dxa"/>
            <w:noWrap w:val="0"/>
            <w:vAlign w:val="center"/>
          </w:tcPr>
          <w:p>
            <w:pPr>
              <w:spacing w:line="240" w:lineRule="auto"/>
              <w:jc w:val="center"/>
              <w:rPr>
                <w:rFonts w:hint="eastAsia" w:asciiTheme="minorEastAsia" w:hAnsiTheme="minorEastAsia" w:eastAsiaTheme="minorEastAsia" w:cstheme="minorEastAsia"/>
                <w:kern w:val="0"/>
                <w:sz w:val="20"/>
                <w:szCs w:val="20"/>
                <w:lang w:val="en-US" w:eastAsia="zh-CN" w:bidi="ar-SA"/>
              </w:rPr>
            </w:pPr>
            <w:r>
              <w:rPr>
                <w:rFonts w:hint="eastAsia" w:asciiTheme="minorEastAsia" w:hAnsiTheme="minorEastAsia" w:eastAsiaTheme="minorEastAsia" w:cstheme="minorEastAsia"/>
                <w:kern w:val="0"/>
                <w:sz w:val="20"/>
                <w:szCs w:val="20"/>
                <w:lang w:val="en-US" w:eastAsia="zh-CN"/>
              </w:rPr>
              <w:t>通榆县房屋产权交易管理中心</w:t>
            </w:r>
          </w:p>
        </w:tc>
        <w:tc>
          <w:tcPr>
            <w:tcW w:w="568"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7.20</w:t>
            </w:r>
          </w:p>
        </w:tc>
        <w:tc>
          <w:tcPr>
            <w:tcW w:w="570"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7.20</w:t>
            </w:r>
          </w:p>
        </w:tc>
        <w:tc>
          <w:tcPr>
            <w:tcW w:w="467"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21"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64"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32"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598"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43"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c>
          <w:tcPr>
            <w:tcW w:w="425" w:type="dxa"/>
            <w:noWrap w:val="0"/>
            <w:vAlign w:val="center"/>
          </w:tcPr>
          <w:p>
            <w:pPr>
              <w:spacing w:line="240" w:lineRule="auto"/>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68" w:type="dxa"/>
            <w:noWrap w:val="0"/>
            <w:vAlign w:val="center"/>
          </w:tcPr>
          <w:p>
            <w:pPr>
              <w:spacing w:line="240" w:lineRule="auto"/>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15.92</w:t>
            </w:r>
          </w:p>
        </w:tc>
        <w:tc>
          <w:tcPr>
            <w:tcW w:w="570" w:type="dxa"/>
            <w:noWrap w:val="0"/>
            <w:vAlign w:val="center"/>
          </w:tcPr>
          <w:p>
            <w:pPr>
              <w:spacing w:line="240" w:lineRule="auto"/>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15.92</w:t>
            </w:r>
          </w:p>
        </w:tc>
        <w:tc>
          <w:tcPr>
            <w:tcW w:w="467"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退休人员补差</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41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ind w:firstLine="600" w:firstLineChars="300"/>
              <w:jc w:val="both"/>
              <w:rPr>
                <w:rFonts w:hint="eastAsia" w:asciiTheme="minorEastAsia" w:hAnsiTheme="minorEastAsia" w:eastAsiaTheme="minorEastAsia" w:cstheme="minorEastAsia"/>
                <w:sz w:val="20"/>
                <w:szCs w:val="20"/>
              </w:rPr>
            </w:pPr>
          </w:p>
          <w:p>
            <w:pPr>
              <w:ind w:firstLine="600" w:firstLineChars="30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按照县里专题会议纪要</w:t>
            </w:r>
            <w:r>
              <w:rPr>
                <w:rFonts w:hint="eastAsia" w:asciiTheme="minorEastAsia" w:hAnsiTheme="minorEastAsia" w:eastAsiaTheme="minorEastAsia" w:cstheme="minorEastAsia"/>
                <w:sz w:val="20"/>
                <w:szCs w:val="20"/>
                <w:lang w:val="en-US" w:eastAsia="zh-CN"/>
              </w:rPr>
              <w:t>房屋产权交易管理</w:t>
            </w:r>
            <w:r>
              <w:rPr>
                <w:rFonts w:hint="eastAsia" w:asciiTheme="minorEastAsia" w:hAnsiTheme="minorEastAsia" w:eastAsiaTheme="minorEastAsia" w:cstheme="minorEastAsia"/>
                <w:sz w:val="20"/>
                <w:szCs w:val="20"/>
              </w:rPr>
              <w:t>中心现</w:t>
            </w:r>
            <w:r>
              <w:rPr>
                <w:rFonts w:hint="eastAsia" w:asciiTheme="minorEastAsia" w:hAnsiTheme="minorEastAsia" w:eastAsiaTheme="minorEastAsia" w:cstheme="minorEastAsia"/>
                <w:sz w:val="20"/>
                <w:szCs w:val="20"/>
                <w:lang w:val="en-US" w:eastAsia="zh-CN"/>
              </w:rPr>
              <w:t>4</w:t>
            </w:r>
            <w:r>
              <w:rPr>
                <w:rFonts w:hint="eastAsia" w:asciiTheme="minorEastAsia" w:hAnsiTheme="minorEastAsia" w:eastAsiaTheme="minorEastAsia" w:cstheme="minorEastAsia"/>
                <w:sz w:val="20"/>
                <w:szCs w:val="20"/>
              </w:rPr>
              <w:t>名退休人员的社保养老金与事业单位退休人员退休工资之间的差由财政局审核后拨付。</w:t>
            </w:r>
          </w:p>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补差月份（月）</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补发金额（万元）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0.086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提高退休人员生活水平（%）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退役士兵安置工资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41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ind w:firstLine="600" w:firstLineChars="300"/>
              <w:jc w:val="both"/>
              <w:rPr>
                <w:rFonts w:hint="eastAsia" w:asciiTheme="minorEastAsia" w:hAnsiTheme="minorEastAsia" w:eastAsiaTheme="minorEastAsia" w:cstheme="minorEastAsia"/>
                <w:sz w:val="20"/>
                <w:szCs w:val="20"/>
              </w:rPr>
            </w:pPr>
          </w:p>
          <w:p>
            <w:pPr>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sz w:val="20"/>
                <w:szCs w:val="20"/>
                <w:lang w:val="en-US" w:eastAsia="zh-CN"/>
              </w:rPr>
              <w:t>根据县信访联席会议纪要规定，分配到房产退役士兵邵海峰未纳入正式编制前，由县财政以工资补贴形式负责保障，为此邵海峰工资</w:t>
            </w:r>
            <w:r>
              <w:rPr>
                <w:rFonts w:hint="eastAsia" w:asciiTheme="minorEastAsia" w:hAnsiTheme="minorEastAsia" w:eastAsiaTheme="minorEastAsia" w:cstheme="minorEastAsia"/>
                <w:sz w:val="20"/>
                <w:szCs w:val="20"/>
              </w:rPr>
              <w:t>由财政局审核后拨付给房产中心。</w:t>
            </w:r>
          </w:p>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发放月份（月）</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400" w:firstLineChars="2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发放金额（万元）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0.641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提高退役士兵生活水平（%）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415"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ind w:firstLine="600" w:firstLineChars="300"/>
              <w:jc w:val="both"/>
              <w:rPr>
                <w:rFonts w:hint="eastAsia" w:asciiTheme="minorEastAsia" w:hAnsiTheme="minorEastAsia" w:eastAsiaTheme="minorEastAsia" w:cstheme="minorEastAsia"/>
                <w:sz w:val="20"/>
                <w:szCs w:val="20"/>
              </w:rPr>
            </w:pP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按照县委县政府关于脱贫攻坚工作要求，驻村工作队每人每天补助100元，我单位有2人参与驻村工作2024年1-12月共计7.2万元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每天补助金额（万元）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提高驻村人员生活水平（%）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880" w:firstLineChars="800"/>
        <w:jc w:val="both"/>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759.40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183.67</w:t>
      </w:r>
      <w:r>
        <w:rPr>
          <w:rFonts w:hint="eastAsia" w:ascii="仿宋_GB2312" w:hAnsi="仿宋_GB2312" w:eastAsia="仿宋_GB2312" w:cs="仿宋_GB2312"/>
          <w:szCs w:val="32"/>
        </w:rPr>
        <w:t>万元，主要原因</w:t>
      </w:r>
      <w:r>
        <w:rPr>
          <w:rFonts w:hint="eastAsia" w:ascii="仿宋_GB2312" w:hAnsi="仿宋_GB2312" w:cs="仿宋_GB2312"/>
          <w:szCs w:val="32"/>
          <w:lang w:val="en-US" w:eastAsia="zh-CN"/>
        </w:rPr>
        <w:t>城乡社区支出减少。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743.48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101.80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32.60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565.73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59.27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743.48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15.92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718.52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24.96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101.80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13.41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缴纳养老保险和职业年金</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59.27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缴纳住房公积金</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32.60万元，占4.29%，主要用于缴纳医疗保险和其他行政事业单位医疗。</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kern w:val="0"/>
          <w:szCs w:val="32"/>
        </w:rPr>
        <w:t>城乡社区</w:t>
      </w:r>
      <w:r>
        <w:rPr>
          <w:rFonts w:hint="eastAsia" w:ascii="仿宋_GB2312" w:hAnsi="仿宋_GB2312" w:cs="仿宋_GB2312"/>
          <w:kern w:val="0"/>
          <w:szCs w:val="32"/>
          <w:lang w:eastAsia="zh-CN"/>
        </w:rPr>
        <w:t>（</w:t>
      </w:r>
      <w:r>
        <w:rPr>
          <w:rFonts w:hint="eastAsia" w:ascii="仿宋_GB2312" w:hAnsi="仿宋_GB2312" w:cs="仿宋_GB2312"/>
          <w:kern w:val="0"/>
          <w:szCs w:val="32"/>
          <w:lang w:val="en-US" w:eastAsia="zh-CN"/>
        </w:rPr>
        <w:t>类</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支出</w:t>
      </w:r>
      <w:r>
        <w:rPr>
          <w:rFonts w:hint="eastAsia" w:ascii="仿宋_GB2312" w:hAnsi="仿宋_GB2312" w:cs="仿宋_GB2312"/>
          <w:szCs w:val="32"/>
          <w:lang w:val="en-US" w:eastAsia="zh-CN"/>
        </w:rPr>
        <w:t>565.73</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占74.50%，主要用于基本支出。</w:t>
      </w:r>
    </w:p>
    <w:p>
      <w:pPr>
        <w:spacing w:line="520" w:lineRule="exact"/>
        <w:ind w:firstLine="200"/>
        <w:rPr>
          <w:rFonts w:hint="default" w:ascii="仿宋_GB2312" w:hAnsi="仿宋_GB2312" w:cs="仿宋_GB2312"/>
          <w:szCs w:val="32"/>
          <w:lang w:val="en-US" w:eastAsia="zh-CN"/>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743.48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718.52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24.96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r>
        <w:rPr>
          <w:rFonts w:hint="eastAsia" w:ascii="仿宋_GB2312" w:hAnsi="仿宋_GB2312" w:cs="仿宋_GB2312"/>
          <w:szCs w:val="32"/>
          <w:lang w:val="en-US" w:eastAsia="zh-CN"/>
        </w:rPr>
        <w:t>本部门无一般公共预算拨款</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lang w:val="en-US" w:eastAsia="zh-CN"/>
        </w:rPr>
        <w:t>本部门无一般公共预算拨款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房屋产权交易管理中心</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家事业单位的机关运行经费财政拨款预算</w:t>
      </w:r>
      <w:r>
        <w:rPr>
          <w:rFonts w:hint="eastAsia" w:ascii="仿宋_GB2312" w:hAnsi="仿宋_GB2312" w:cs="仿宋_GB2312"/>
          <w:szCs w:val="32"/>
          <w:lang w:val="en-US" w:eastAsia="zh-CN"/>
        </w:rPr>
        <w:t>759.40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183.67</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1.24</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城乡社区支出减少</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平方米，房屋4145.19平方米，单价50万元及以上的通用设备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15.92</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15.92</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15.92</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jYzEwOWM1NGM3ODAzMWIxNzFmMDA5YTFmNjJhM2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616D20"/>
    <w:rsid w:val="0486486A"/>
    <w:rsid w:val="04954460"/>
    <w:rsid w:val="04F026C1"/>
    <w:rsid w:val="050D06DA"/>
    <w:rsid w:val="050F3BA7"/>
    <w:rsid w:val="05513E94"/>
    <w:rsid w:val="056F5A6D"/>
    <w:rsid w:val="059B3770"/>
    <w:rsid w:val="063949A0"/>
    <w:rsid w:val="063F6C84"/>
    <w:rsid w:val="067960C1"/>
    <w:rsid w:val="06BD5BC7"/>
    <w:rsid w:val="075F2A08"/>
    <w:rsid w:val="07BF7277"/>
    <w:rsid w:val="07D21289"/>
    <w:rsid w:val="07F544B0"/>
    <w:rsid w:val="09A0082A"/>
    <w:rsid w:val="0A0D0E47"/>
    <w:rsid w:val="0A334D52"/>
    <w:rsid w:val="0ABA06FE"/>
    <w:rsid w:val="0B5F5ADA"/>
    <w:rsid w:val="0B710869"/>
    <w:rsid w:val="0C2A5C84"/>
    <w:rsid w:val="0D731909"/>
    <w:rsid w:val="0DA001B0"/>
    <w:rsid w:val="0DB6446C"/>
    <w:rsid w:val="0DEB170B"/>
    <w:rsid w:val="0E4C7841"/>
    <w:rsid w:val="0F091469"/>
    <w:rsid w:val="0F3E0406"/>
    <w:rsid w:val="0F8B592F"/>
    <w:rsid w:val="0FD62F63"/>
    <w:rsid w:val="107728C7"/>
    <w:rsid w:val="10AE7F82"/>
    <w:rsid w:val="10C93B35"/>
    <w:rsid w:val="11177619"/>
    <w:rsid w:val="112605C8"/>
    <w:rsid w:val="12E711B7"/>
    <w:rsid w:val="136D62BD"/>
    <w:rsid w:val="13F21722"/>
    <w:rsid w:val="1441443C"/>
    <w:rsid w:val="14C12787"/>
    <w:rsid w:val="1518525E"/>
    <w:rsid w:val="15593E10"/>
    <w:rsid w:val="159F7E25"/>
    <w:rsid w:val="15F848D0"/>
    <w:rsid w:val="160E1FA5"/>
    <w:rsid w:val="160F2600"/>
    <w:rsid w:val="17765BCA"/>
    <w:rsid w:val="17A027D8"/>
    <w:rsid w:val="1A817DF8"/>
    <w:rsid w:val="1ADC594E"/>
    <w:rsid w:val="1AEB5252"/>
    <w:rsid w:val="1C852172"/>
    <w:rsid w:val="1CA40C0C"/>
    <w:rsid w:val="1CFF4A32"/>
    <w:rsid w:val="1D240EF7"/>
    <w:rsid w:val="1D833200"/>
    <w:rsid w:val="1E2D59A2"/>
    <w:rsid w:val="1E3A3FD0"/>
    <w:rsid w:val="1EB55C07"/>
    <w:rsid w:val="1F0307E6"/>
    <w:rsid w:val="1F351A10"/>
    <w:rsid w:val="1FED47E9"/>
    <w:rsid w:val="20256A93"/>
    <w:rsid w:val="206816AC"/>
    <w:rsid w:val="21904CD9"/>
    <w:rsid w:val="22A4003E"/>
    <w:rsid w:val="23984063"/>
    <w:rsid w:val="23CE11F0"/>
    <w:rsid w:val="23EC61F6"/>
    <w:rsid w:val="244C543C"/>
    <w:rsid w:val="24536984"/>
    <w:rsid w:val="24624768"/>
    <w:rsid w:val="2539376C"/>
    <w:rsid w:val="254C6FAD"/>
    <w:rsid w:val="259B5BC5"/>
    <w:rsid w:val="25C7462E"/>
    <w:rsid w:val="25F62C4E"/>
    <w:rsid w:val="26643D6C"/>
    <w:rsid w:val="26FE109D"/>
    <w:rsid w:val="27073E1E"/>
    <w:rsid w:val="27B04AB3"/>
    <w:rsid w:val="28A63332"/>
    <w:rsid w:val="29C45F24"/>
    <w:rsid w:val="2B4F70BA"/>
    <w:rsid w:val="2C8A5E1C"/>
    <w:rsid w:val="2DA606AB"/>
    <w:rsid w:val="2DF8796C"/>
    <w:rsid w:val="2E100D83"/>
    <w:rsid w:val="2E1804E0"/>
    <w:rsid w:val="2EB22F18"/>
    <w:rsid w:val="2EE12108"/>
    <w:rsid w:val="2EED35E3"/>
    <w:rsid w:val="2F250383"/>
    <w:rsid w:val="2F63610B"/>
    <w:rsid w:val="300965A3"/>
    <w:rsid w:val="30730D6E"/>
    <w:rsid w:val="30B91A70"/>
    <w:rsid w:val="32492C92"/>
    <w:rsid w:val="3287720C"/>
    <w:rsid w:val="32CF2C5D"/>
    <w:rsid w:val="33485383"/>
    <w:rsid w:val="335402B5"/>
    <w:rsid w:val="339466B2"/>
    <w:rsid w:val="34555AF5"/>
    <w:rsid w:val="34564C66"/>
    <w:rsid w:val="355909E3"/>
    <w:rsid w:val="35616772"/>
    <w:rsid w:val="35EA1663"/>
    <w:rsid w:val="361117CF"/>
    <w:rsid w:val="364C598E"/>
    <w:rsid w:val="36CC2B0F"/>
    <w:rsid w:val="371A614D"/>
    <w:rsid w:val="3838492F"/>
    <w:rsid w:val="387258D7"/>
    <w:rsid w:val="3887374F"/>
    <w:rsid w:val="38AF6637"/>
    <w:rsid w:val="39034545"/>
    <w:rsid w:val="39041A07"/>
    <w:rsid w:val="39043B77"/>
    <w:rsid w:val="393F0DCD"/>
    <w:rsid w:val="39670895"/>
    <w:rsid w:val="39D838ED"/>
    <w:rsid w:val="3A657F9A"/>
    <w:rsid w:val="3A9113D4"/>
    <w:rsid w:val="3AC54F32"/>
    <w:rsid w:val="3B144A0A"/>
    <w:rsid w:val="3B1B2A0D"/>
    <w:rsid w:val="3B7C071F"/>
    <w:rsid w:val="3BC92948"/>
    <w:rsid w:val="3BE370D4"/>
    <w:rsid w:val="3C29381E"/>
    <w:rsid w:val="3C711E1D"/>
    <w:rsid w:val="3C7F463D"/>
    <w:rsid w:val="3C886629"/>
    <w:rsid w:val="3CAE3960"/>
    <w:rsid w:val="3D365BF6"/>
    <w:rsid w:val="3DF23324"/>
    <w:rsid w:val="3EA14040"/>
    <w:rsid w:val="3EC14C3B"/>
    <w:rsid w:val="3EE8108D"/>
    <w:rsid w:val="3FFF4BFC"/>
    <w:rsid w:val="405745EF"/>
    <w:rsid w:val="40B80EFF"/>
    <w:rsid w:val="41A35364"/>
    <w:rsid w:val="41C31686"/>
    <w:rsid w:val="42982B4E"/>
    <w:rsid w:val="432B76C4"/>
    <w:rsid w:val="436B1E42"/>
    <w:rsid w:val="43993170"/>
    <w:rsid w:val="44054362"/>
    <w:rsid w:val="44283DF7"/>
    <w:rsid w:val="449C5E6A"/>
    <w:rsid w:val="455A3935"/>
    <w:rsid w:val="456D114B"/>
    <w:rsid w:val="45EB670F"/>
    <w:rsid w:val="46AB7C0D"/>
    <w:rsid w:val="46D44808"/>
    <w:rsid w:val="47985AFA"/>
    <w:rsid w:val="47CF49E6"/>
    <w:rsid w:val="4843587B"/>
    <w:rsid w:val="48674ED2"/>
    <w:rsid w:val="487708E6"/>
    <w:rsid w:val="49645F71"/>
    <w:rsid w:val="499F5C68"/>
    <w:rsid w:val="4AF16062"/>
    <w:rsid w:val="4B646DDD"/>
    <w:rsid w:val="4B7F44F8"/>
    <w:rsid w:val="4BAC24C5"/>
    <w:rsid w:val="4BFA0656"/>
    <w:rsid w:val="4C5567C9"/>
    <w:rsid w:val="4D2D21B6"/>
    <w:rsid w:val="4D730507"/>
    <w:rsid w:val="4D741DD3"/>
    <w:rsid w:val="4DC93207"/>
    <w:rsid w:val="4E2A22FD"/>
    <w:rsid w:val="4E8D5761"/>
    <w:rsid w:val="4EF54A85"/>
    <w:rsid w:val="4F6F75D9"/>
    <w:rsid w:val="4F740434"/>
    <w:rsid w:val="501B3C66"/>
    <w:rsid w:val="503404A9"/>
    <w:rsid w:val="504B40C5"/>
    <w:rsid w:val="50987DC2"/>
    <w:rsid w:val="50A4703E"/>
    <w:rsid w:val="5136104F"/>
    <w:rsid w:val="51E55C99"/>
    <w:rsid w:val="52071113"/>
    <w:rsid w:val="52447C09"/>
    <w:rsid w:val="525A440D"/>
    <w:rsid w:val="54741940"/>
    <w:rsid w:val="54810E66"/>
    <w:rsid w:val="54C2556E"/>
    <w:rsid w:val="55100424"/>
    <w:rsid w:val="55480EEF"/>
    <w:rsid w:val="55B65488"/>
    <w:rsid w:val="56570E30"/>
    <w:rsid w:val="57AE5C26"/>
    <w:rsid w:val="57DD75A9"/>
    <w:rsid w:val="58256ABD"/>
    <w:rsid w:val="58F70846"/>
    <w:rsid w:val="59472AC7"/>
    <w:rsid w:val="59BD150F"/>
    <w:rsid w:val="59DD570D"/>
    <w:rsid w:val="59E1703C"/>
    <w:rsid w:val="59FF5EDC"/>
    <w:rsid w:val="5A084708"/>
    <w:rsid w:val="5A294169"/>
    <w:rsid w:val="5AB343F7"/>
    <w:rsid w:val="5ABF50F2"/>
    <w:rsid w:val="5AF76904"/>
    <w:rsid w:val="5B052E7A"/>
    <w:rsid w:val="5B3D7F7E"/>
    <w:rsid w:val="5B4835FF"/>
    <w:rsid w:val="5B7C7777"/>
    <w:rsid w:val="5B9462A0"/>
    <w:rsid w:val="5BE8574B"/>
    <w:rsid w:val="5BEC6771"/>
    <w:rsid w:val="5CA506B9"/>
    <w:rsid w:val="5CFD5FB2"/>
    <w:rsid w:val="5D2B52D8"/>
    <w:rsid w:val="5D5A7C63"/>
    <w:rsid w:val="5E1C2393"/>
    <w:rsid w:val="5E256F6F"/>
    <w:rsid w:val="5EB83AA1"/>
    <w:rsid w:val="5EEB5D19"/>
    <w:rsid w:val="5F6235A9"/>
    <w:rsid w:val="60D315BC"/>
    <w:rsid w:val="614125C2"/>
    <w:rsid w:val="61F05EC8"/>
    <w:rsid w:val="624C5C52"/>
    <w:rsid w:val="63952BB5"/>
    <w:rsid w:val="63B46A53"/>
    <w:rsid w:val="63DF08E4"/>
    <w:rsid w:val="64127E15"/>
    <w:rsid w:val="64A30144"/>
    <w:rsid w:val="64C04AFD"/>
    <w:rsid w:val="65540A38"/>
    <w:rsid w:val="661A7B69"/>
    <w:rsid w:val="664909C1"/>
    <w:rsid w:val="66C63EB5"/>
    <w:rsid w:val="66DB72F5"/>
    <w:rsid w:val="677772D0"/>
    <w:rsid w:val="679461D3"/>
    <w:rsid w:val="6858287E"/>
    <w:rsid w:val="69157114"/>
    <w:rsid w:val="691A443E"/>
    <w:rsid w:val="6A5D1F52"/>
    <w:rsid w:val="6A80735F"/>
    <w:rsid w:val="6ACC5E47"/>
    <w:rsid w:val="6AD43ED1"/>
    <w:rsid w:val="6B11024D"/>
    <w:rsid w:val="6B7D5B36"/>
    <w:rsid w:val="6CF120A8"/>
    <w:rsid w:val="6DAF51BB"/>
    <w:rsid w:val="6E2E2B64"/>
    <w:rsid w:val="6E6164B5"/>
    <w:rsid w:val="714213DD"/>
    <w:rsid w:val="717F272E"/>
    <w:rsid w:val="71910E4E"/>
    <w:rsid w:val="728027C6"/>
    <w:rsid w:val="72D54D7C"/>
    <w:rsid w:val="737664E0"/>
    <w:rsid w:val="73FE7ACC"/>
    <w:rsid w:val="74053F35"/>
    <w:rsid w:val="74556746"/>
    <w:rsid w:val="746C7054"/>
    <w:rsid w:val="74AB7A24"/>
    <w:rsid w:val="76BB79B1"/>
    <w:rsid w:val="76C17E06"/>
    <w:rsid w:val="76CA67BD"/>
    <w:rsid w:val="774E6400"/>
    <w:rsid w:val="775B0046"/>
    <w:rsid w:val="78796248"/>
    <w:rsid w:val="78A07BDA"/>
    <w:rsid w:val="794D61A0"/>
    <w:rsid w:val="79700BEF"/>
    <w:rsid w:val="79F85634"/>
    <w:rsid w:val="7A090695"/>
    <w:rsid w:val="7AE175F4"/>
    <w:rsid w:val="7B417685"/>
    <w:rsid w:val="7B5220F0"/>
    <w:rsid w:val="7BA169C0"/>
    <w:rsid w:val="7BCB7664"/>
    <w:rsid w:val="7BE95D3C"/>
    <w:rsid w:val="7CAD595B"/>
    <w:rsid w:val="7CF65D07"/>
    <w:rsid w:val="7D2975D1"/>
    <w:rsid w:val="7DCC0CD6"/>
    <w:rsid w:val="7EAA6E3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未清寻</cp:lastModifiedBy>
  <cp:lastPrinted>2022-02-21T08:08:00Z</cp:lastPrinted>
  <dcterms:modified xsi:type="dcterms:W3CDTF">2024-01-26T06:00:37Z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BC087F13B9A546759E3526541E72BEAA_13</vt:lpwstr>
  </property>
</Properties>
</file>