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52"/>
          <w:szCs w:val="52"/>
          <w:lang w:eastAsia="zh-CN"/>
        </w:rPr>
      </w:pPr>
      <w:r>
        <w:rPr>
          <w:rFonts w:hint="eastAsia" w:eastAsia="方正小标宋简体"/>
          <w:sz w:val="52"/>
          <w:szCs w:val="52"/>
          <w:lang w:val="en-US" w:eastAsia="zh-CN"/>
        </w:rPr>
        <w:t>2024年</w:t>
      </w:r>
      <w:r>
        <w:rPr>
          <w:rFonts w:hint="eastAsia" w:eastAsia="方正小标宋简体"/>
          <w:sz w:val="52"/>
          <w:szCs w:val="52"/>
          <w:lang w:eastAsia="zh-CN"/>
        </w:rPr>
        <w:t>通榆县退役军人事务局</w:t>
      </w:r>
    </w:p>
    <w:p>
      <w:pPr>
        <w:jc w:val="center"/>
        <w:rPr>
          <w:rFonts w:hint="eastAsia" w:eastAsia="方正小标宋简体"/>
          <w:sz w:val="52"/>
          <w:szCs w:val="52"/>
          <w:lang w:eastAsia="zh-CN"/>
        </w:rPr>
      </w:pPr>
      <w:r>
        <w:rPr>
          <w:rFonts w:eastAsia="方正小标宋简体"/>
          <w:sz w:val="52"/>
          <w:szCs w:val="52"/>
        </w:rPr>
        <w:t>部门预算</w:t>
      </w:r>
      <w:r>
        <w:rPr>
          <w:rFonts w:hint="eastAsia" w:eastAsia="方正小标宋简体"/>
          <w:sz w:val="52"/>
          <w:szCs w:val="52"/>
          <w:lang w:eastAsia="zh-CN"/>
        </w:rPr>
        <w:t>信息公开</w:t>
      </w:r>
    </w:p>
    <w:p>
      <w:pPr>
        <w:jc w:val="left"/>
        <w:rPr>
          <w:sz w:val="52"/>
          <w:szCs w:val="32"/>
        </w:rPr>
      </w:pPr>
      <w:r>
        <w:rPr>
          <w:sz w:val="52"/>
          <w:szCs w:val="32"/>
        </w:rPr>
        <w:tab/>
      </w:r>
      <w:r>
        <w:rPr>
          <w:sz w:val="52"/>
          <w:szCs w:val="32"/>
        </w:rPr>
        <w:tab/>
      </w:r>
      <w:r>
        <w:rPr>
          <w:sz w:val="52"/>
          <w:szCs w:val="32"/>
        </w:rPr>
        <w:tab/>
      </w:r>
      <w:r>
        <w:rPr>
          <w:sz w:val="52"/>
          <w:szCs w:val="32"/>
        </w:rPr>
        <w:tab/>
      </w:r>
      <w:r>
        <w:rPr>
          <w:sz w:val="52"/>
          <w:szCs w:val="32"/>
        </w:rPr>
        <w:tab/>
      </w:r>
      <w:r>
        <w:rPr>
          <w:sz w:val="52"/>
          <w:szCs w:val="32"/>
        </w:rPr>
        <w:tab/>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1、贯彻落实退役军人思想政治、管理保障和安置优抚等工作政策法规并组织实施，褒扬彰显退役军人为党、国家和人民牺牲奉献的精神风范和价值导向。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rPr>
        <w:t>2、</w:t>
      </w:r>
      <w:r>
        <w:rPr>
          <w:rFonts w:hint="default" w:ascii="Times New Roman" w:hAnsi="Times New Roman" w:eastAsia="仿宋_GB2312" w:cs="Times New Roman"/>
          <w:lang w:eastAsia="zh-CN"/>
        </w:rPr>
        <w:t>负责全县军队转业干部、复员干部、离休退休干部、退役士兵和无军籍退休退职职工的移交安置工作和自主择业、就业退役军人服务管理工作。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eastAsia="zh-CN"/>
        </w:rPr>
        <w:t>组织指导退役军人教育培训工作，协调扶持退役军人和随军随调家属就业创业</w:t>
      </w:r>
      <w:r>
        <w:rPr>
          <w:rFonts w:hint="default" w:ascii="Times New Roman" w:hAnsi="Times New Roman" w:eastAsia="仿宋_GB2312" w:cs="Times New Roma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rPr>
        <w:t>4、会同有关部门组织落实退役军人特殊保</w:t>
      </w:r>
      <w:r>
        <w:rPr>
          <w:rFonts w:hint="default" w:ascii="Times New Roman" w:hAnsi="Times New Roman" w:eastAsia="仿宋_GB2312" w:cs="Times New Roman"/>
          <w:lang w:eastAsia="zh-CN"/>
        </w:rPr>
        <w:t>障政策。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、组织协调落实移交地方的离休退休军人、符合条件的其他退役军人和无军籍退休退职职工</w:t>
      </w:r>
      <w:r>
        <w:rPr>
          <w:rFonts w:hint="default" w:ascii="Times New Roman" w:hAnsi="Times New Roman" w:eastAsia="仿宋_GB2312" w:cs="Times New Roman"/>
          <w:lang w:eastAsia="zh-CN"/>
        </w:rPr>
        <w:t>的住房保障工作，以及退役军人医疗保障，社会保险等待遇保障工作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6</w:t>
      </w:r>
      <w:r>
        <w:rPr>
          <w:rFonts w:hint="default" w:ascii="Times New Roman" w:hAnsi="Times New Roman" w:eastAsia="仿宋_GB2312" w:cs="Times New Roman"/>
        </w:rPr>
        <w:t>、组织指导伤病残退役军人服务管理和抚恤工作，制定有关退役军人医疗、疗养、养老等机构的规</w:t>
      </w:r>
      <w:r>
        <w:rPr>
          <w:rFonts w:hint="default" w:ascii="Times New Roman" w:hAnsi="Times New Roman" w:eastAsia="仿宋_GB2312" w:cs="Times New Roman"/>
          <w:lang w:eastAsia="zh-CN"/>
        </w:rPr>
        <w:t>划</w:t>
      </w:r>
      <w:r>
        <w:rPr>
          <w:rFonts w:hint="default" w:ascii="Times New Roman" w:hAnsi="Times New Roman" w:eastAsia="仿宋_GB2312" w:cs="Times New Roman"/>
        </w:rPr>
        <w:t>政策并指导</w:t>
      </w:r>
      <w:r>
        <w:rPr>
          <w:rFonts w:hint="default" w:ascii="Times New Roman" w:hAnsi="Times New Roman" w:eastAsia="仿宋_GB2312" w:cs="Times New Roman"/>
          <w:lang w:eastAsia="zh-CN"/>
        </w:rPr>
        <w:t>实施。</w:t>
      </w:r>
      <w:r>
        <w:rPr>
          <w:rFonts w:hint="default" w:ascii="Times New Roman" w:hAnsi="Times New Roman" w:eastAsia="仿宋_GB2312" w:cs="Times New Roman"/>
        </w:rPr>
        <w:t>承担不适宜继续服役的伤病残军人相关工作。组织指导军供服务保障工作。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7</w:t>
      </w:r>
      <w:r>
        <w:rPr>
          <w:rFonts w:hint="default" w:ascii="Times New Roman" w:hAnsi="Times New Roman" w:eastAsia="仿宋_GB2312" w:cs="Times New Roman"/>
        </w:rPr>
        <w:t>、组织指导全县拥军优属工作。负责现役军人、退役军人、军队文职人员和军属优待、抚恤等工作，指导实施国民党抗战老兵等有关人员优待政策。</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仿宋_GB2312" w:cs="Times New Roman"/>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8、</w:t>
      </w:r>
      <w:r>
        <w:rPr>
          <w:rFonts w:hint="default" w:ascii="Times New Roman" w:hAnsi="Times New Roman" w:eastAsia="仿宋_GB2312" w:cs="Times New Roman"/>
        </w:rPr>
        <w:t>负责烈士及退役军人荣誉奖励、军人公墓管理维护、纪念活动等工作，依法承担英雄烈士保护相关工作，申报拟列入全省重点保护单位的烈士纪念建筑物名录，总结表彰和宣扬退役军人、退役军人工作单位和个人先进典型事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9、</w:t>
      </w:r>
      <w:r>
        <w:rPr>
          <w:rFonts w:hint="default" w:ascii="Times New Roman" w:hAnsi="Times New Roman" w:eastAsia="仿宋_GB2312" w:cs="Times New Roman"/>
        </w:rPr>
        <w:t>指导并监督检查退役军人相关法律法规和政策措施的落实，组织开展退役军人权益维护和有关人员的帮扶援助工作</w:t>
      </w:r>
      <w:r>
        <w:rPr>
          <w:rFonts w:hint="default" w:ascii="Times New Roman" w:hAnsi="Times New Roman" w:eastAsia="仿宋_GB2312" w:cs="Times New Roman"/>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10、</w:t>
      </w:r>
      <w:r>
        <w:rPr>
          <w:rFonts w:hint="default" w:ascii="Times New Roman" w:hAnsi="Times New Roman" w:eastAsia="仿宋_GB2312" w:cs="Times New Roman"/>
        </w:rPr>
        <w:t>完成</w:t>
      </w:r>
      <w:r>
        <w:rPr>
          <w:rFonts w:hint="default" w:ascii="Times New Roman" w:hAnsi="Times New Roman" w:eastAsia="仿宋_GB2312" w:cs="Times New Roman"/>
          <w:lang w:eastAsia="zh-CN"/>
        </w:rPr>
        <w:t>县委</w:t>
      </w:r>
      <w:r>
        <w:rPr>
          <w:rFonts w:hint="default" w:ascii="Times New Roman" w:hAnsi="Times New Roman" w:eastAsia="仿宋_GB2312" w:cs="Times New Roman"/>
        </w:rPr>
        <w:t>县政府交办的其他</w:t>
      </w:r>
      <w:r>
        <w:rPr>
          <w:rFonts w:hint="default" w:ascii="Times New Roman" w:hAnsi="Times New Roman" w:eastAsia="仿宋_GB2312" w:cs="Times New Roman"/>
          <w:lang w:eastAsia="zh-CN"/>
        </w:rPr>
        <w:t>任务</w:t>
      </w:r>
    </w:p>
    <w:p>
      <w:pPr>
        <w:ind w:firstLine="640" w:firstLineChars="200"/>
      </w:pPr>
      <w:r>
        <w:rPr>
          <w:rFonts w:eastAsia="楷体_GB2312"/>
        </w:rPr>
        <w:t>二、机构设置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根据上述职责，县</w:t>
      </w:r>
      <w:r>
        <w:rPr>
          <w:rFonts w:hint="default" w:ascii="Times New Roman" w:hAnsi="Times New Roman" w:eastAsia="仿宋_GB2312" w:cs="Times New Roman"/>
          <w:lang w:eastAsia="zh-CN"/>
        </w:rPr>
        <w:t>退役军人事务局</w:t>
      </w:r>
      <w:r>
        <w:rPr>
          <w:rFonts w:hint="default" w:ascii="Times New Roman" w:hAnsi="Times New Roman" w:eastAsia="仿宋_GB2312" w:cs="Times New Roman"/>
        </w:rPr>
        <w:t>设</w:t>
      </w:r>
      <w:r>
        <w:rPr>
          <w:rFonts w:hint="default" w:ascii="Times New Roman" w:hAnsi="Times New Roman" w:cs="Times New Roman"/>
          <w:lang w:val="en-US" w:eastAsia="zh-CN"/>
        </w:rPr>
        <w:t>两</w:t>
      </w:r>
      <w:r>
        <w:rPr>
          <w:rFonts w:hint="default" w:ascii="Times New Roman" w:hAnsi="Times New Roman" w:eastAsia="仿宋_GB2312" w:cs="Times New Roman"/>
        </w:rPr>
        <w:t>个内设机构及所属</w:t>
      </w:r>
      <w:r>
        <w:rPr>
          <w:rFonts w:hint="default" w:ascii="Times New Roman" w:hAnsi="Times New Roman" w:cs="Times New Roman"/>
          <w:lang w:val="en-US" w:eastAsia="zh-CN"/>
        </w:rPr>
        <w:t>两</w:t>
      </w:r>
      <w:r>
        <w:rPr>
          <w:rFonts w:hint="default" w:ascii="Times New Roman" w:hAnsi="Times New Roman" w:eastAsia="仿宋_GB2312" w:cs="Times New Roman"/>
        </w:rPr>
        <w:t>个事业单位。</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（一）办公室</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负责机关日常运转，承担信息</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安全</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保密</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政务公开等工作；拟定退役军人事业发展规划，年度计划和退役军人管理保障基础设施建设标准，指导和监督退役军人事业资金管理，承担机关财务</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资产管理</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内部审计和退役军人事务系统信息化建设</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统计工作；承担受理</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组织</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协调</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交办</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转送</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督办退役军人信访事项；负责机关和直属单位的党群工作，以及机关和直属单位的干部人事，机构编制等工作。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b/>
          <w:bCs/>
          <w:lang w:val="en-US" w:eastAsia="zh-CN"/>
        </w:rPr>
        <w:t>（二）优抚安置科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rPr>
        <w:t>承担全县双拥领导小组办公室日常工作，指导做好地方支持军队相关工作；承担现役军人、退役军人、军队文职人员和军属优待、抚恤等工作。承担不适宜继续服役的伤病残军人相关工作，组织协调落实退役军人医疗保障工作，拟订有关退役军人医疗、疗养、</w:t>
      </w:r>
      <w:r>
        <w:rPr>
          <w:rFonts w:hint="default" w:ascii="Times New Roman" w:hAnsi="Times New Roman" w:eastAsia="仿宋_GB2312" w:cs="Times New Roman"/>
          <w:lang w:eastAsia="zh-CN"/>
        </w:rPr>
        <w:t>养老等优抚保障机构以及军供保障机构工作。</w:t>
      </w:r>
      <w:r>
        <w:rPr>
          <w:rFonts w:hint="default" w:ascii="Times New Roman" w:hAnsi="Times New Roman" w:eastAsia="仿宋_GB2312" w:cs="Times New Roman"/>
        </w:rPr>
        <w:t>承担烈士褒扬、纪念设施管理保护工作，依法</w:t>
      </w:r>
      <w:r>
        <w:rPr>
          <w:rFonts w:hint="default" w:ascii="Times New Roman" w:hAnsi="Times New Roman" w:eastAsia="仿宋_GB2312" w:cs="Times New Roman"/>
          <w:lang w:eastAsia="zh-CN"/>
        </w:rPr>
        <w:t>承担英雄烈士保护相关工作，拟定军人公墓建设规划，管理维护等政策并指导实施，承担烈士评定申报的复核复查工作，指导开展英雄烈士纪念活动。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lang w:eastAsia="zh-CN"/>
        </w:rPr>
        <w:t>拟定计划分配的军队转业干部，符合条件的退役士兵年度安置计划并组织实施，承担县直及中省直驻通单位安置计划落实工作。负责移交地方的军队离休退休干部，无军籍退休退职职工的移交安置和服务管理工作，组织协调落实移交地方的离休退休军人，符合条件的其他退役军人和无军籍退休退职职工的住房保障工作，管理军休保障单位。拟订自主择业军队转业干部，复员干部，自主就业退役士兵就业创业年度计划并组织实施，组织开展就业创业促进和教育培训等工作，指导开展有关中介服务工作，组织协调落实退役军人社会保险等待遇保障工作，管理指导就业创业服务单位工作。</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16"/>
                <w:szCs w:val="16"/>
                <w:lang w:val="en-US" w:eastAsia="zh-CN"/>
              </w:rPr>
            </w:pPr>
            <w:r>
              <w:rPr>
                <w:rFonts w:hint="eastAsia" w:eastAsia="宋体"/>
                <w:kern w:val="0"/>
                <w:sz w:val="16"/>
                <w:szCs w:val="16"/>
                <w:lang w:val="en-US" w:eastAsia="zh-CN"/>
              </w:rPr>
              <w:t>296.62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16"/>
                <w:szCs w:val="16"/>
                <w:lang w:val="en-US" w:eastAsia="zh-CN"/>
              </w:rPr>
              <w:t>296.62</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18"/>
                <w:szCs w:val="18"/>
                <w:lang w:val="en-US" w:eastAsia="zh-CN"/>
              </w:rPr>
              <w:t>283.29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296.62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16"/>
                <w:szCs w:val="16"/>
                <w:lang w:val="en-US" w:eastAsia="zh-CN"/>
              </w:rPr>
              <w:t>296.62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296.62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296.62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296.62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296.62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296.62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16"/>
                <w:szCs w:val="16"/>
                <w:lang w:val="en-US" w:eastAsia="zh-CN"/>
              </w:rPr>
              <w:t>296.62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hd w:val="clear" w:color="auto" w:fill="FFFFFF"/>
              </w:rPr>
            </w:pPr>
            <w:r>
              <w:rPr>
                <w:rFonts w:hint="eastAsia" w:eastAsia="宋体"/>
                <w:kern w:val="0"/>
                <w:sz w:val="16"/>
                <w:szCs w:val="16"/>
                <w:lang w:val="en-US" w:eastAsia="zh-CN"/>
              </w:rPr>
              <w:t>296.62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16"/>
                <w:szCs w:val="16"/>
                <w:lang w:val="en-US" w:eastAsia="zh-CN"/>
              </w:rPr>
              <w:t>296.62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1140"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gridCol w:w="1158"/>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c>
                <w:tcPr>
                  <w:tcW w:w="129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208</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285</w:t>
                  </w:r>
                  <w:r>
                    <w:rPr>
                      <w:rFonts w:hint="eastAsia" w:eastAsia="宋体"/>
                      <w:color w:val="000000"/>
                      <w:kern w:val="0"/>
                      <w:sz w:val="20"/>
                      <w:lang w:val="en-US" w:eastAsia="zh-CN"/>
                    </w:rPr>
                    <w:t>.</w:t>
                  </w:r>
                  <w:r>
                    <w:rPr>
                      <w:rFonts w:hint="eastAsia" w:eastAsia="宋体"/>
                      <w:color w:val="000000"/>
                      <w:kern w:val="0"/>
                      <w:sz w:val="20"/>
                    </w:rPr>
                    <w:t>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285</w:t>
                  </w:r>
                  <w:r>
                    <w:rPr>
                      <w:rFonts w:hint="eastAsia" w:eastAsia="宋体"/>
                      <w:color w:val="000000"/>
                      <w:kern w:val="0"/>
                      <w:sz w:val="20"/>
                      <w:lang w:val="en-US" w:eastAsia="zh-CN"/>
                    </w:rPr>
                    <w:t>.</w:t>
                  </w:r>
                  <w:r>
                    <w:rPr>
                      <w:rFonts w:hint="eastAsia" w:eastAsia="宋体"/>
                      <w:color w:val="000000"/>
                      <w:kern w:val="0"/>
                      <w:sz w:val="20"/>
                    </w:rPr>
                    <w:t>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w:t>
                  </w:r>
                  <w:r>
                    <w:rPr>
                      <w:rFonts w:eastAsia="宋体"/>
                      <w:color w:val="000000"/>
                      <w:kern w:val="0"/>
                      <w:sz w:val="20"/>
                    </w:rPr>
                    <w:t xml:space="preserve">  </w:t>
                  </w: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98"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2080505</w:t>
                  </w:r>
                  <w:r>
                    <w:rPr>
                      <w:rFonts w:eastAsia="宋体"/>
                      <w:color w:val="000000"/>
                      <w:kern w:val="0"/>
                      <w:sz w:val="20"/>
                    </w:rPr>
                    <w:t xml:space="preserve">   </w:t>
                  </w: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878"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2080506</w:t>
                  </w:r>
                  <w:r>
                    <w:rPr>
                      <w:rFonts w:eastAsia="宋体"/>
                      <w:color w:val="000000"/>
                      <w:kern w:val="0"/>
                      <w:sz w:val="20"/>
                    </w:rPr>
                    <w:t xml:space="preserve">  </w:t>
                  </w: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6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20809 退役安置</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6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2080999 其他退役安置支出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w:t>
                  </w:r>
                  <w:r>
                    <w:rPr>
                      <w:rFonts w:hint="eastAsia" w:eastAsia="宋体"/>
                      <w:color w:val="000000"/>
                      <w:kern w:val="0"/>
                      <w:sz w:val="20"/>
                    </w:rPr>
                    <w:t>退役军人管理事务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2082801</w:t>
                  </w:r>
                  <w:r>
                    <w:rPr>
                      <w:rFonts w:hint="eastAsia" w:eastAsia="宋体"/>
                      <w:color w:val="000000"/>
                      <w:kern w:val="0"/>
                      <w:sz w:val="20"/>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89.41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210</w:t>
                  </w:r>
                  <w:r>
                    <w:rPr>
                      <w:rFonts w:hint="eastAsia" w:eastAsia="宋体"/>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21011</w:t>
                  </w: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2101101</w:t>
                  </w:r>
                  <w:r>
                    <w:rPr>
                      <w:rFonts w:hint="eastAsia" w:eastAsia="华文细黑"/>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default" w:eastAsia="华文细黑"/>
                      <w:color w:val="000000"/>
                      <w:kern w:val="0"/>
                      <w:sz w:val="20"/>
                      <w:lang w:val="en-US" w:eastAsia="zh-CN"/>
                    </w:rPr>
                  </w:pPr>
                  <w:r>
                    <w:rPr>
                      <w:rFonts w:hint="eastAsia" w:eastAsia="华文细黑"/>
                      <w:color w:val="000000"/>
                      <w:kern w:val="0"/>
                      <w:sz w:val="20"/>
                      <w:lang w:val="en-US" w:eastAsia="zh-CN"/>
                    </w:rPr>
                    <w:tab/>
                  </w:r>
                  <w:r>
                    <w:rPr>
                      <w:rFonts w:hint="eastAsia" w:eastAsia="华文细黑"/>
                      <w:color w:val="000000"/>
                      <w:kern w:val="0"/>
                      <w:sz w:val="20"/>
                      <w:lang w:val="en-US" w:eastAsia="zh-CN"/>
                    </w:rPr>
                    <w:t>2101199其他行政事业单位医疗支出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eastAsia" w:eastAsia="华文细黑"/>
                      <w:color w:val="000000"/>
                      <w:kern w:val="0"/>
                      <w:sz w:val="20"/>
                      <w:lang w:val="en-US" w:eastAsia="zh-CN"/>
                    </w:rPr>
                  </w:pPr>
                  <w:r>
                    <w:rPr>
                      <w:rFonts w:hint="eastAsia" w:eastAsia="华文细黑"/>
                      <w:color w:val="000000"/>
                      <w:kern w:val="0"/>
                      <w:sz w:val="20"/>
                      <w:lang w:val="en-US" w:eastAsia="zh-CN"/>
                    </w:rPr>
                    <w:t>221 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default" w:eastAsia="华文细黑"/>
                      <w:color w:val="000000"/>
                      <w:kern w:val="0"/>
                      <w:sz w:val="20"/>
                      <w:lang w:val="en-US" w:eastAsia="zh-CN"/>
                    </w:rPr>
                  </w:pPr>
                  <w:r>
                    <w:rPr>
                      <w:rFonts w:hint="eastAsia" w:eastAsia="华文细黑"/>
                      <w:color w:val="000000"/>
                      <w:kern w:val="0"/>
                      <w:sz w:val="20"/>
                      <w:lang w:val="en-US" w:eastAsia="zh-CN"/>
                    </w:rPr>
                    <w:t>22102住房改革支出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default" w:eastAsia="华文细黑"/>
                      <w:color w:val="000000"/>
                      <w:kern w:val="0"/>
                      <w:sz w:val="20"/>
                      <w:lang w:val="en-US" w:eastAsia="zh-CN"/>
                    </w:rPr>
                  </w:pPr>
                  <w:r>
                    <w:rPr>
                      <w:rFonts w:hint="eastAsia" w:eastAsia="华文细黑"/>
                      <w:color w:val="000000"/>
                      <w:kern w:val="0"/>
                      <w:sz w:val="20"/>
                      <w:lang w:val="en-US" w:eastAsia="zh-CN"/>
                    </w:rPr>
                    <w:t>2210201住房公积金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296.62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296.62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296.62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296.62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color w:val="000000"/>
                      <w:kern w:val="0"/>
                      <w:sz w:val="18"/>
                      <w:szCs w:val="18"/>
                      <w:lang w:val="en-US" w:eastAsia="zh-CN"/>
                    </w:rPr>
                    <w:t>283.29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16"/>
                      <w:szCs w:val="16"/>
                      <w:lang w:val="en-US" w:eastAsia="zh-CN"/>
                    </w:rPr>
                    <w:t>4.93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296.62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296.62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35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296.62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296.62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hint="eastAsia" w:eastAsia="宋体"/>
                      <w:color w:val="000000"/>
                      <w:kern w:val="0"/>
                      <w:sz w:val="20"/>
                      <w:lang w:val="en-US" w:eastAsia="zh-CN"/>
                    </w:rPr>
                    <w:t>208</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296.62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116.62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15.54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w:t>
                  </w:r>
                  <w:r>
                    <w:rPr>
                      <w:rFonts w:eastAsia="宋体"/>
                      <w:color w:val="000000"/>
                      <w:kern w:val="0"/>
                      <w:sz w:val="20"/>
                    </w:rPr>
                    <w:t xml:space="preserve">  </w:t>
                  </w: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2080505</w:t>
                  </w:r>
                  <w:r>
                    <w:rPr>
                      <w:rFonts w:eastAsia="宋体"/>
                      <w:color w:val="000000"/>
                      <w:kern w:val="0"/>
                      <w:sz w:val="20"/>
                    </w:rPr>
                    <w:t xml:space="preserve">  </w:t>
                  </w: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2080506</w:t>
                  </w:r>
                  <w:r>
                    <w:rPr>
                      <w:rFonts w:eastAsia="宋体"/>
                      <w:color w:val="000000"/>
                      <w:kern w:val="0"/>
                      <w:sz w:val="20"/>
                    </w:rPr>
                    <w:t xml:space="preserve">  </w:t>
                  </w: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20809退役安置</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2080999其他退役安置支出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w:t>
                  </w:r>
                  <w:r>
                    <w:rPr>
                      <w:rFonts w:hint="eastAsia" w:eastAsia="宋体"/>
                      <w:color w:val="000000"/>
                      <w:kern w:val="0"/>
                      <w:sz w:val="20"/>
                    </w:rPr>
                    <w:t>退役军人管理事务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89.41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15.54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2082801</w:t>
                  </w:r>
                  <w:r>
                    <w:rPr>
                      <w:rFonts w:hint="eastAsia"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89.41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15.54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210</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21011</w:t>
                  </w: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2101101</w:t>
                  </w:r>
                  <w:r>
                    <w:rPr>
                      <w:rFonts w:hint="eastAsia" w:eastAsia="华文细黑"/>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2101199其他行政事业单位医疗支出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221 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22102住房改革支出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42"/>
                    </w:tabs>
                    <w:jc w:val="left"/>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2210201住房公积金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296.62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116.62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15.54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15"/>
                <w:szCs w:val="15"/>
                <w:lang w:val="en-US" w:eastAsia="zh-CN"/>
              </w:rPr>
            </w:pPr>
            <w:r>
              <w:rPr>
                <w:rFonts w:hint="eastAsia"/>
                <w:sz w:val="20"/>
                <w:szCs w:val="11"/>
                <w:lang w:val="en-US" w:eastAsia="zh-CN"/>
              </w:rPr>
              <w:t>101.08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0"/>
                <w:szCs w:val="11"/>
                <w:lang w:val="en-US" w:eastAsia="zh-CN"/>
              </w:rPr>
              <w:t>101.08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34.14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24.08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14.72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11.2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2.68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4.86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0.07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lang w:val="en-US"/>
              </w:rPr>
            </w:pPr>
            <w:r>
              <w:rPr>
                <w:rFonts w:hint="eastAsia" w:eastAsia="宋体"/>
                <w:kern w:val="0"/>
                <w:sz w:val="20"/>
                <w:lang w:val="en-US" w:eastAsia="zh-CN"/>
              </w:rPr>
              <w:t>8.4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0.93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0.93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kern w:val="0"/>
                <w:sz w:val="20"/>
                <w:lang w:val="en-US" w:eastAsia="zh-CN"/>
              </w:rPr>
              <w:t>二、</w:t>
            </w:r>
            <w:r>
              <w:rPr>
                <w:rFonts w:hint="eastAsia" w:eastAsia="宋体"/>
                <w:color w:val="000000"/>
                <w:kern w:val="0"/>
                <w:sz w:val="20"/>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15.54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0.12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0.36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2"/>
                <w:szCs w:val="15"/>
                <w:lang w:val="en-US" w:eastAsia="zh-CN"/>
              </w:rPr>
            </w:pPr>
            <w:r>
              <w:rPr>
                <w:rFonts w:hint="eastAsia"/>
                <w:sz w:val="22"/>
                <w:szCs w:val="15"/>
                <w:lang w:val="en-US" w:eastAsia="zh-CN"/>
              </w:rPr>
              <w:t>0.42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2"/>
                <w:szCs w:val="15"/>
                <w:lang w:val="en-US" w:eastAsia="zh-CN"/>
              </w:rPr>
            </w:pPr>
            <w:r>
              <w:rPr>
                <w:rFonts w:hint="eastAsia"/>
                <w:sz w:val="22"/>
                <w:szCs w:val="15"/>
                <w:lang w:val="en-US" w:eastAsia="zh-CN"/>
              </w:rPr>
              <w:t>5.94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sz w:val="21"/>
                <w:szCs w:val="13"/>
                <w:lang w:val="en-US" w:eastAsia="zh-CN"/>
              </w:rPr>
              <w:t>101.08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15"/>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lang w:val="en-US" w:eastAsia="zh-CN"/>
              </w:rPr>
            </w:pPr>
            <w:r>
              <w:rPr>
                <w:rFonts w:hint="eastAsia"/>
                <w:sz w:val="24"/>
                <w:szCs w:val="16"/>
                <w:lang w:val="en-US" w:eastAsia="zh-CN"/>
              </w:rPr>
              <w:t>15.54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15"/>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sz w:val="22"/>
                <w:szCs w:val="15"/>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38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569"/>
        <w:gridCol w:w="1185"/>
        <w:gridCol w:w="450"/>
        <w:gridCol w:w="660"/>
        <w:gridCol w:w="450"/>
        <w:gridCol w:w="495"/>
        <w:gridCol w:w="555"/>
        <w:gridCol w:w="360"/>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6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5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6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0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5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754"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45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6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0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9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56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8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450" w:type="dxa"/>
            <w:vMerge w:val="continue"/>
            <w:noWrap w:val="0"/>
            <w:vAlign w:val="center"/>
          </w:tcPr>
          <w:p>
            <w:pPr>
              <w:autoSpaceDN w:val="0"/>
              <w:jc w:val="center"/>
              <w:textAlignment w:val="center"/>
              <w:rPr>
                <w:rFonts w:ascii="Calibri" w:hAnsi="Calibri" w:eastAsia="华文细黑"/>
                <w:color w:val="000000"/>
                <w:sz w:val="20"/>
                <w:szCs w:val="22"/>
              </w:rPr>
            </w:pPr>
          </w:p>
        </w:tc>
        <w:tc>
          <w:tcPr>
            <w:tcW w:w="660" w:type="dxa"/>
            <w:vMerge w:val="continue"/>
            <w:noWrap w:val="0"/>
            <w:vAlign w:val="center"/>
          </w:tcPr>
          <w:p>
            <w:pPr>
              <w:autoSpaceDN w:val="0"/>
              <w:jc w:val="center"/>
              <w:textAlignment w:val="center"/>
              <w:rPr>
                <w:rFonts w:ascii="Calibri" w:hAnsi="Calibri" w:eastAsia="华文细黑"/>
                <w:color w:val="000000"/>
                <w:sz w:val="20"/>
                <w:szCs w:val="22"/>
              </w:rPr>
            </w:pPr>
          </w:p>
        </w:tc>
        <w:tc>
          <w:tcPr>
            <w:tcW w:w="45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9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6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jc w:val="center"/>
        </w:trPr>
        <w:tc>
          <w:tcPr>
            <w:tcW w:w="759" w:type="dxa"/>
            <w:noWrap w:val="0"/>
            <w:vAlign w:val="center"/>
          </w:tcPr>
          <w:p>
            <w:pPr>
              <w:spacing w:line="700" w:lineRule="exact"/>
              <w:jc w:val="center"/>
              <w:rPr>
                <w:rFonts w:ascii="Calibri" w:hAnsi="Calibri" w:eastAsia="楷体"/>
                <w:kern w:val="0"/>
                <w:szCs w:val="32"/>
              </w:rPr>
            </w:pPr>
          </w:p>
        </w:tc>
        <w:tc>
          <w:tcPr>
            <w:tcW w:w="1569" w:type="dxa"/>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退役军人事务局</w:t>
            </w:r>
            <w:r>
              <w:rPr>
                <w:rFonts w:ascii="Arial" w:hAnsi="Arial" w:eastAsia="宋体" w:cs="Arial"/>
                <w:i w:val="0"/>
                <w:iCs w:val="0"/>
                <w:color w:val="000000"/>
                <w:kern w:val="0"/>
                <w:sz w:val="20"/>
                <w:szCs w:val="20"/>
                <w:u w:val="none"/>
                <w:lang w:val="en-US" w:eastAsia="zh-CN" w:bidi="ar"/>
              </w:rPr>
              <w:t>2024</w:t>
            </w:r>
            <w:r>
              <w:rPr>
                <w:rFonts w:hint="eastAsia" w:ascii="宋体" w:hAnsi="宋体" w:eastAsia="宋体" w:cs="宋体"/>
                <w:i w:val="0"/>
                <w:iCs w:val="0"/>
                <w:color w:val="000000"/>
                <w:kern w:val="0"/>
                <w:sz w:val="20"/>
                <w:szCs w:val="20"/>
                <w:u w:val="none"/>
                <w:lang w:val="en-US" w:eastAsia="zh-CN" w:bidi="ar"/>
              </w:rPr>
              <w:t>年部门预算</w:t>
            </w:r>
          </w:p>
        </w:tc>
        <w:tc>
          <w:tcPr>
            <w:tcW w:w="1185"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2024年1800000企业军转干部补助</w:t>
            </w:r>
          </w:p>
        </w:tc>
        <w:tc>
          <w:tcPr>
            <w:tcW w:w="450" w:type="dxa"/>
            <w:noWrap w:val="0"/>
            <w:vAlign w:val="center"/>
          </w:tcPr>
          <w:p>
            <w:pPr>
              <w:spacing w:line="240" w:lineRule="auto"/>
              <w:jc w:val="center"/>
              <w:rPr>
                <w:rFonts w:hint="eastAsia" w:ascii="Calibri" w:hAnsi="Calibri" w:eastAsia="楷体"/>
                <w:kern w:val="0"/>
                <w:sz w:val="22"/>
                <w:szCs w:val="22"/>
                <w:lang w:eastAsia="zh-CN"/>
              </w:rPr>
            </w:pPr>
            <w:r>
              <w:rPr>
                <w:rFonts w:hint="eastAsia" w:ascii="Calibri" w:hAnsi="Calibri" w:eastAsia="楷体"/>
                <w:kern w:val="0"/>
                <w:sz w:val="22"/>
                <w:szCs w:val="22"/>
                <w:lang w:eastAsia="zh-CN"/>
              </w:rPr>
              <w:t>通榆县退</w:t>
            </w:r>
          </w:p>
        </w:tc>
        <w:tc>
          <w:tcPr>
            <w:tcW w:w="660" w:type="dxa"/>
            <w:noWrap w:val="0"/>
            <w:vAlign w:val="center"/>
          </w:tcPr>
          <w:p>
            <w:pPr>
              <w:spacing w:line="700" w:lineRule="exact"/>
              <w:jc w:val="center"/>
              <w:rPr>
                <w:rFonts w:hint="default" w:ascii="Calibri" w:hAnsi="Calibri" w:eastAsia="楷体"/>
                <w:kern w:val="0"/>
                <w:szCs w:val="32"/>
                <w:lang w:val="en-US" w:eastAsia="zh-CN"/>
              </w:rPr>
            </w:pPr>
            <w:r>
              <w:rPr>
                <w:rFonts w:hint="eastAsia" w:ascii="Calibri" w:hAnsi="Calibri" w:eastAsia="楷体"/>
                <w:kern w:val="0"/>
                <w:sz w:val="22"/>
                <w:szCs w:val="22"/>
                <w:lang w:val="en-US" w:eastAsia="zh-CN"/>
              </w:rPr>
              <w:t>180</w:t>
            </w:r>
          </w:p>
        </w:tc>
        <w:tc>
          <w:tcPr>
            <w:tcW w:w="450"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5"/>
                <w:szCs w:val="15"/>
                <w:lang w:val="en-US" w:eastAsia="zh-CN"/>
              </w:rPr>
              <w:t>180</w:t>
            </w:r>
          </w:p>
        </w:tc>
        <w:tc>
          <w:tcPr>
            <w:tcW w:w="49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569" w:type="dxa"/>
            <w:noWrap w:val="0"/>
            <w:vAlign w:val="center"/>
          </w:tcPr>
          <w:p>
            <w:pPr>
              <w:spacing w:line="700" w:lineRule="exact"/>
              <w:jc w:val="center"/>
              <w:rPr>
                <w:rFonts w:ascii="Calibri" w:hAnsi="Calibri" w:eastAsia="楷体"/>
                <w:kern w:val="0"/>
                <w:szCs w:val="32"/>
              </w:rPr>
            </w:pPr>
          </w:p>
        </w:tc>
        <w:tc>
          <w:tcPr>
            <w:tcW w:w="118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 w:val="18"/>
                <w:szCs w:val="18"/>
              </w:rPr>
            </w:pPr>
          </w:p>
        </w:tc>
        <w:tc>
          <w:tcPr>
            <w:tcW w:w="49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569" w:type="dxa"/>
            <w:noWrap w:val="0"/>
            <w:vAlign w:val="center"/>
          </w:tcPr>
          <w:p>
            <w:pPr>
              <w:spacing w:line="700" w:lineRule="exact"/>
              <w:jc w:val="center"/>
              <w:rPr>
                <w:rFonts w:ascii="Calibri" w:hAnsi="Calibri" w:eastAsia="楷体"/>
                <w:kern w:val="0"/>
                <w:szCs w:val="32"/>
              </w:rPr>
            </w:pPr>
          </w:p>
        </w:tc>
        <w:tc>
          <w:tcPr>
            <w:tcW w:w="118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 w:val="18"/>
                <w:szCs w:val="18"/>
              </w:rPr>
            </w:pPr>
          </w:p>
        </w:tc>
        <w:tc>
          <w:tcPr>
            <w:tcW w:w="49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569" w:type="dxa"/>
            <w:noWrap w:val="0"/>
            <w:vAlign w:val="center"/>
          </w:tcPr>
          <w:p>
            <w:pPr>
              <w:spacing w:line="700" w:lineRule="exact"/>
              <w:jc w:val="center"/>
              <w:rPr>
                <w:rFonts w:ascii="Calibri" w:hAnsi="Calibri" w:eastAsia="楷体"/>
                <w:kern w:val="0"/>
                <w:szCs w:val="32"/>
              </w:rPr>
            </w:pPr>
          </w:p>
        </w:tc>
        <w:tc>
          <w:tcPr>
            <w:tcW w:w="118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 w:val="18"/>
                <w:szCs w:val="18"/>
              </w:rPr>
            </w:pPr>
          </w:p>
        </w:tc>
        <w:tc>
          <w:tcPr>
            <w:tcW w:w="49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569"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180</w:t>
            </w:r>
          </w:p>
        </w:tc>
        <w:tc>
          <w:tcPr>
            <w:tcW w:w="118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660" w:type="dxa"/>
            <w:noWrap w:val="0"/>
            <w:vAlign w:val="center"/>
          </w:tcPr>
          <w:p>
            <w:pPr>
              <w:spacing w:line="700" w:lineRule="exact"/>
              <w:jc w:val="both"/>
              <w:rPr>
                <w:rFonts w:hint="default" w:ascii="Calibri" w:hAnsi="Calibri" w:eastAsia="楷体"/>
                <w:kern w:val="0"/>
                <w:szCs w:val="32"/>
                <w:lang w:val="en-US" w:eastAsia="zh-CN"/>
              </w:rPr>
            </w:pPr>
            <w:r>
              <w:rPr>
                <w:rFonts w:hint="eastAsia" w:ascii="Calibri" w:hAnsi="Calibri" w:eastAsia="楷体"/>
                <w:kern w:val="0"/>
                <w:sz w:val="22"/>
                <w:szCs w:val="22"/>
                <w:lang w:val="en-US" w:eastAsia="zh-CN"/>
              </w:rPr>
              <w:t>1800</w:t>
            </w:r>
            <w:r>
              <w:rPr>
                <w:rFonts w:hint="eastAsia" w:ascii="Calibri" w:hAnsi="Calibri" w:eastAsia="楷体"/>
                <w:kern w:val="0"/>
                <w:szCs w:val="32"/>
                <w:lang w:val="en-US" w:eastAsia="zh-CN"/>
              </w:rPr>
              <w:t>080</w:t>
            </w:r>
          </w:p>
        </w:tc>
        <w:tc>
          <w:tcPr>
            <w:tcW w:w="450" w:type="dxa"/>
            <w:noWrap w:val="0"/>
            <w:vAlign w:val="center"/>
          </w:tcPr>
          <w:p>
            <w:pPr>
              <w:spacing w:line="700" w:lineRule="exact"/>
              <w:jc w:val="center"/>
              <w:rPr>
                <w:rFonts w:hint="default" w:ascii="Calibri" w:hAnsi="Calibri" w:eastAsia="楷体"/>
                <w:kern w:val="0"/>
                <w:sz w:val="11"/>
                <w:szCs w:val="11"/>
                <w:lang w:val="en-US" w:eastAsia="zh-CN"/>
              </w:rPr>
            </w:pPr>
            <w:r>
              <w:rPr>
                <w:rFonts w:hint="eastAsia" w:ascii="Calibri" w:hAnsi="Calibri" w:eastAsia="楷体"/>
                <w:kern w:val="0"/>
                <w:sz w:val="15"/>
                <w:szCs w:val="15"/>
                <w:lang w:val="en-US" w:eastAsia="zh-CN"/>
              </w:rPr>
              <w:t>180</w:t>
            </w:r>
          </w:p>
        </w:tc>
        <w:tc>
          <w:tcPr>
            <w:tcW w:w="495" w:type="dxa"/>
            <w:noWrap w:val="0"/>
            <w:vAlign w:val="center"/>
          </w:tcPr>
          <w:p>
            <w:pPr>
              <w:spacing w:line="700" w:lineRule="exact"/>
              <w:jc w:val="center"/>
              <w:rPr>
                <w:rFonts w:ascii="Calibri" w:hAnsi="Calibri" w:eastAsia="楷体"/>
                <w:kern w:val="0"/>
                <w:szCs w:val="32"/>
              </w:rPr>
            </w:pPr>
          </w:p>
        </w:tc>
        <w:tc>
          <w:tcPr>
            <w:tcW w:w="555" w:type="dxa"/>
            <w:noWrap w:val="0"/>
            <w:vAlign w:val="center"/>
          </w:tcPr>
          <w:p>
            <w:pPr>
              <w:spacing w:line="700" w:lineRule="exact"/>
              <w:jc w:val="center"/>
              <w:rPr>
                <w:rFonts w:ascii="Calibri" w:hAnsi="Calibri" w:eastAsia="楷体"/>
                <w:kern w:val="0"/>
                <w:szCs w:val="32"/>
              </w:rPr>
            </w:pPr>
          </w:p>
        </w:tc>
        <w:tc>
          <w:tcPr>
            <w:tcW w:w="36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2024年1800000企业军转干部补助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企业军人干部人数</w:t>
            </w:r>
          </w:p>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40人</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3750元/人/月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保障了军转干部待遇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军转干部满意度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w:t>
      </w:r>
      <w:r>
        <w:rPr>
          <w:rFonts w:hint="eastAsia" w:eastAsia="黑体"/>
          <w:szCs w:val="32"/>
          <w:lang w:val="en-US" w:eastAsia="zh-CN"/>
        </w:rPr>
        <w:t>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eastAsia="宋体"/>
          <w:kern w:val="0"/>
          <w:sz w:val="28"/>
          <w:szCs w:val="28"/>
          <w:lang w:val="en-US" w:eastAsia="zh-CN"/>
        </w:rPr>
        <w:t>296.62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296.62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增加</w:t>
      </w:r>
      <w:r>
        <w:rPr>
          <w:rFonts w:hint="eastAsia" w:ascii="仿宋_GB2312" w:hAnsi="仿宋_GB2312" w:cs="仿宋_GB2312"/>
          <w:szCs w:val="32"/>
          <w:lang w:val="en-US" w:eastAsia="zh-CN"/>
        </w:rPr>
        <w:t>5.95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人员支出增加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296.62</w:t>
      </w:r>
      <w:bookmarkStart w:id="0" w:name="_GoBack"/>
      <w:bookmarkEnd w:id="0"/>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116.62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39.32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60.68</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_%；对附属单位补助支出_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283.29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4.93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w:t>
      </w:r>
      <w:r>
        <w:rPr>
          <w:rFonts w:hint="eastAsia" w:ascii="黑体" w:hAnsi="黑体" w:eastAsia="黑体" w:cs="黑体"/>
          <w:szCs w:val="30"/>
          <w:lang w:val="en-US" w:eastAsia="zh-CN"/>
        </w:rPr>
        <w:t>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296.62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116.62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39.32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60.68</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101.08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86.67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15.54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13.33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283.29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95.51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单位的正常运转、人员的工资发放以及企业军转干部补助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支出（类）支出</w:t>
      </w:r>
      <w:r>
        <w:rPr>
          <w:rFonts w:hint="eastAsia" w:ascii="仿宋_GB2312" w:hAnsi="仿宋_GB2312" w:cs="仿宋_GB2312"/>
          <w:szCs w:val="32"/>
          <w:lang w:val="en-US" w:eastAsia="zh-CN"/>
        </w:rPr>
        <w:t>4.93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1.66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职工的医疗保险</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2.83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职工的住房公积金。</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116.62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101.08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15.54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w:t>
      </w:r>
      <w:r>
        <w:rPr>
          <w:rFonts w:hint="eastAsia" w:ascii="黑体" w:hAnsi="黑体" w:eastAsia="黑体" w:cs="黑体"/>
          <w:szCs w:val="30"/>
          <w:lang w:val="en-US" w:eastAsia="zh-CN"/>
        </w:rPr>
        <w:t>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2023</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w:t>
      </w:r>
      <w:r>
        <w:rPr>
          <w:rFonts w:hint="eastAsia" w:ascii="黑体" w:hAnsi="黑体" w:eastAsia="黑体" w:cs="黑体"/>
          <w:szCs w:val="32"/>
          <w:highlight w:val="none"/>
          <w:lang w:val="en-US" w:eastAsia="zh-CN"/>
        </w:rPr>
        <w:t>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家行政单位机关运行经费财政拨款预算</w:t>
      </w:r>
      <w:r>
        <w:rPr>
          <w:rFonts w:hint="eastAsia" w:ascii="仿宋_GB2312" w:hAnsi="仿宋_GB2312" w:cs="仿宋_GB2312"/>
          <w:szCs w:val="32"/>
          <w:lang w:val="en-US" w:eastAsia="zh-CN"/>
        </w:rPr>
        <w:t>15.54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增加</w:t>
      </w:r>
      <w:r>
        <w:rPr>
          <w:rFonts w:hint="eastAsia" w:ascii="仿宋_GB2312" w:hAnsi="仿宋_GB2312" w:cs="仿宋_GB2312"/>
          <w:szCs w:val="32"/>
          <w:lang w:val="en-US" w:eastAsia="zh-CN"/>
        </w:rPr>
        <w:t>5.94</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61.87</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发放公务员交通补助</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NDJlMTk5MjBiNjAzZmFhNjlhZmZiZmEyNmNiY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C2D7451"/>
    <w:rsid w:val="2DF8796C"/>
    <w:rsid w:val="2EB22F18"/>
    <w:rsid w:val="2EE12108"/>
    <w:rsid w:val="2EED35E3"/>
    <w:rsid w:val="2F250383"/>
    <w:rsid w:val="2F63610B"/>
    <w:rsid w:val="300965A3"/>
    <w:rsid w:val="305807BF"/>
    <w:rsid w:val="30730D6E"/>
    <w:rsid w:val="30B91A70"/>
    <w:rsid w:val="328832C4"/>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474248"/>
    <w:rsid w:val="3EA14040"/>
    <w:rsid w:val="3EE8108D"/>
    <w:rsid w:val="405745EF"/>
    <w:rsid w:val="40B80EFF"/>
    <w:rsid w:val="41A35364"/>
    <w:rsid w:val="41C31686"/>
    <w:rsid w:val="42982B4E"/>
    <w:rsid w:val="436B1E42"/>
    <w:rsid w:val="43993170"/>
    <w:rsid w:val="43A93782"/>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4E42F6"/>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3F2569"/>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33</Pages>
  <Words>8216</Words>
  <Characters>10007</Characters>
  <Lines>71</Lines>
  <Paragraphs>20</Paragraphs>
  <TotalTime>4</TotalTime>
  <ScaleCrop>false</ScaleCrop>
  <LinksUpToDate>false</LinksUpToDate>
  <CharactersWithSpaces>10547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2024-01-29T06:59:09Z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534D4E924E3147FE948673F7984B6E1A_13</vt:lpwstr>
  </property>
</Properties>
</file>