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u w:val="single"/>
        </w:rPr>
      </w:pPr>
      <w:r>
        <w:rPr>
          <w:rFonts w:hint="eastAsia" w:eastAsia="方正小标宋简体"/>
          <w:sz w:val="44"/>
          <w:szCs w:val="44"/>
          <w:u w:val="single"/>
        </w:rPr>
        <w:t>通榆县水库移民服务中心</w:t>
      </w:r>
    </w:p>
    <w:p>
      <w:pPr>
        <w:jc w:val="center"/>
        <w:rPr>
          <w:rFonts w:eastAsia="方正小标宋简体"/>
          <w:sz w:val="44"/>
          <w:szCs w:val="44"/>
        </w:rPr>
      </w:pP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rPr>
          <w:rFonts w:ascii="宋体" w:hAnsi="宋体"/>
        </w:rPr>
      </w:pPr>
      <w:r>
        <w:rPr>
          <w:rFonts w:hint="eastAsia" w:ascii="宋体" w:hAnsi="宋体"/>
        </w:rPr>
        <w:t>为水库移民工作提供服务保障</w:t>
      </w:r>
    </w:p>
    <w:p>
      <w:pPr>
        <w:ind w:firstLine="640" w:firstLineChars="200"/>
      </w:pPr>
      <w:r>
        <w:rPr>
          <w:rFonts w:eastAsia="楷体_GB2312"/>
        </w:rPr>
        <w:t>二、机构设置</w:t>
      </w:r>
    </w:p>
    <w:p>
      <w:pPr>
        <w:pStyle w:val="51"/>
        <w:ind w:firstLine="640" w:firstLineChars="200"/>
        <w:rPr>
          <w:rFonts w:ascii="宋体" w:hAnsi="宋体"/>
        </w:rPr>
      </w:pPr>
      <w:r>
        <w:rPr>
          <w:rFonts w:eastAsia="仿宋_GB2312"/>
        </w:rPr>
        <w:t>根据上述职责，</w:t>
      </w:r>
      <w:r>
        <w:rPr>
          <w:rFonts w:hint="eastAsia" w:ascii="宋体" w:hAnsi="宋体"/>
        </w:rPr>
        <w:t>本单位内设3个科室，包括：工程科、财务科、办公室。</w:t>
      </w:r>
    </w:p>
    <w:p>
      <w:pPr>
        <w:pStyle w:val="51"/>
        <w:ind w:firstLine="640" w:firstLineChars="200"/>
        <w:rPr>
          <w:rFonts w:eastAsia="楷体"/>
        </w:rPr>
      </w:pPr>
      <w:r>
        <w:rPr>
          <w:rFonts w:hint="eastAsia" w:ascii="宋体" w:hAnsi="宋体"/>
        </w:rPr>
        <w:t>事业编制4人，本年度实有在职人员4人。</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54.01</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7.26</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7.26</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40.19</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40.19</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4.23</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4.23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2.33</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2.33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rPr>
              <w:t>54.01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698"/>
        <w:gridCol w:w="737"/>
        <w:gridCol w:w="682"/>
        <w:gridCol w:w="240"/>
        <w:gridCol w:w="283"/>
        <w:gridCol w:w="284"/>
        <w:gridCol w:w="206"/>
        <w:gridCol w:w="77"/>
        <w:gridCol w:w="284"/>
        <w:gridCol w:w="253"/>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130" w:type="dxa"/>
            <w:gridSpan w:val="8"/>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5"/>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698"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3878"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698"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微软雅黑" w:hAnsi="微软雅黑" w:eastAsia="微软雅黑" w:cs="微软雅黑"/>
                <w:color w:val="000000"/>
                <w:kern w:val="0"/>
                <w:sz w:val="16"/>
                <w:szCs w:val="16"/>
                <w:lang w:bidi="ar"/>
              </w:rPr>
              <w:t>小</w:t>
            </w:r>
            <w:r>
              <w:rPr>
                <w:rFonts w:hint="eastAsia" w:ascii="华文细黑" w:hAnsi="华文细黑" w:eastAsia="华文细黑" w:cs="华文细黑"/>
                <w:color w:val="000000"/>
                <w:kern w:val="0"/>
                <w:sz w:val="16"/>
                <w:szCs w:val="16"/>
                <w:lang w:bidi="ar"/>
              </w:rPr>
              <w:t>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eastAsia="宋体"/>
                <w:color w:val="000000"/>
                <w:sz w:val="20"/>
              </w:rPr>
              <w:t>通榆县水库移民服务中心</w:t>
            </w:r>
          </w:p>
        </w:tc>
        <w:tc>
          <w:tcPr>
            <w:tcW w:w="69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54.01</w:t>
            </w:r>
          </w:p>
        </w:tc>
        <w:tc>
          <w:tcPr>
            <w:tcW w:w="737"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54.01</w:t>
            </w:r>
          </w:p>
        </w:tc>
        <w:tc>
          <w:tcPr>
            <w:tcW w:w="682"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54.01</w:t>
            </w:r>
          </w:p>
        </w:tc>
        <w:tc>
          <w:tcPr>
            <w:tcW w:w="240"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283"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5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98"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r>
              <w:rPr>
                <w:rFonts w:hint="eastAsia" w:eastAsia="宋体"/>
                <w:kern w:val="0"/>
                <w:sz w:val="20"/>
              </w:rPr>
              <w:t>54.01</w:t>
            </w:r>
          </w:p>
        </w:tc>
        <w:tc>
          <w:tcPr>
            <w:tcW w:w="737"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r>
              <w:rPr>
                <w:rFonts w:hint="eastAsia" w:eastAsia="宋体"/>
                <w:kern w:val="0"/>
                <w:sz w:val="20"/>
              </w:rPr>
              <w:t>54.01</w:t>
            </w:r>
          </w:p>
        </w:tc>
        <w:tc>
          <w:tcPr>
            <w:tcW w:w="6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r>
              <w:rPr>
                <w:rFonts w:hint="eastAsia" w:eastAsia="宋体"/>
                <w:kern w:val="0"/>
                <w:sz w:val="20"/>
              </w:rPr>
              <w:t>54.01</w:t>
            </w: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hint="eastAsia" w:ascii="微软雅黑" w:hAnsi="微软雅黑" w:eastAsia="微软雅黑" w:cs="微软雅黑"/>
                      <w:color w:val="000000"/>
                      <w:kern w:val="0"/>
                      <w:sz w:val="20"/>
                    </w:rPr>
                    <w:t>单</w:t>
                  </w:r>
                  <w:r>
                    <w:rPr>
                      <w:rFonts w:eastAsia="华文细黑"/>
                      <w:color w:val="000000"/>
                      <w:kern w:val="0"/>
                      <w:sz w:val="20"/>
                    </w:rPr>
                    <w:t>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eastAsia" w:ascii="Arial" w:hAnsi="Arial" w:eastAsia="宋体" w:cs="Arial"/>
                      <w:color w:val="000000"/>
                      <w:kern w:val="0"/>
                      <w:sz w:val="20"/>
                      <w:lang w:bidi="ar"/>
                    </w:rPr>
                    <w:t>7.26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eastAsia" w:ascii="Arial" w:hAnsi="Arial" w:eastAsia="宋体" w:cs="Arial"/>
                      <w:color w:val="000000"/>
                      <w:kern w:val="0"/>
                      <w:sz w:val="20"/>
                      <w:lang w:bidi="ar"/>
                    </w:rPr>
                    <w:t>7.26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eastAsia" w:ascii="Arial" w:hAnsi="Arial" w:eastAsia="宋体" w:cs="Arial"/>
                      <w:color w:val="000000"/>
                      <w:kern w:val="0"/>
                      <w:sz w:val="20"/>
                      <w:lang w:bidi="ar"/>
                    </w:rPr>
                    <w:t>7.26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eastAsia" w:ascii="Arial" w:hAnsi="Arial" w:eastAsia="宋体" w:cs="Arial"/>
                      <w:color w:val="000000"/>
                      <w:kern w:val="0"/>
                      <w:sz w:val="20"/>
                      <w:lang w:bidi="ar"/>
                    </w:rPr>
                    <w:t>7.26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5.64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5.64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1.38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1.38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eastAsia" w:ascii="Arial" w:hAnsi="Arial" w:eastAsia="宋体" w:cs="Arial"/>
                      <w:color w:val="000000"/>
                      <w:kern w:val="0"/>
                      <w:sz w:val="20"/>
                      <w:lang w:bidi="ar"/>
                    </w:rPr>
                    <w:t>0.24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eastAsia" w:eastAsia="宋体"/>
                      <w:color w:val="000000"/>
                      <w:kern w:val="0"/>
                      <w:sz w:val="20"/>
                    </w:rPr>
                    <w:t>0.24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2.33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2.33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0.07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0.07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lang w:bidi="ar"/>
                    </w:rPr>
                    <w:t>　水利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lang w:bidi="ar"/>
                    </w:rPr>
                    <w:t>　　水利建设征地及移民支出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ascii="Arial" w:hAnsi="Arial" w:eastAsia="宋体" w:cs="Arial"/>
                      <w:color w:val="000000"/>
                      <w:kern w:val="0"/>
                      <w:sz w:val="20"/>
                      <w:lang w:bidi="ar"/>
                    </w:rPr>
                    <w:t>4.23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hint="eastAsia" w:ascii="微软雅黑" w:hAnsi="微软雅黑" w:eastAsia="微软雅黑" w:cs="微软雅黑"/>
                      <w:color w:val="000000"/>
                      <w:kern w:val="0"/>
                      <w:sz w:val="20"/>
                    </w:rPr>
                    <w:t>合</w:t>
                  </w:r>
                  <w:r>
                    <w:rPr>
                      <w:rFonts w:eastAsia="华文细黑"/>
                      <w:color w:val="000000"/>
                      <w:kern w:val="0"/>
                      <w:sz w:val="20"/>
                    </w:rPr>
                    <w:t>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rPr>
                    <w:t>54.01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rPr>
                    <w:t>54.01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ind w:firstLine="640" w:firstLineChars="200"/>
        <w:rPr>
          <w:rFonts w:hAnsi="楷体" w:eastAsia="楷体"/>
        </w:rPr>
      </w:pPr>
      <w:r>
        <w:rPr>
          <w:rFonts w:hint="eastAsia" w:hAnsi="楷体" w:eastAsia="楷体"/>
        </w:rPr>
        <w:t>、</w:t>
      </w: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7.26</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7.26</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2.33</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2.33</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40.19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40.19</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4.23</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4.23</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54.01</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jc w:val="center"/>
                    <w:rPr>
                      <w:rFonts w:eastAsia="黑体"/>
                      <w:kern w:val="0"/>
                      <w:sz w:val="20"/>
                    </w:rPr>
                  </w:pPr>
                  <w:r>
                    <w:rPr>
                      <w:rFonts w:hint="eastAsia" w:eastAsia="宋体"/>
                      <w:kern w:val="0"/>
                      <w:sz w:val="20"/>
                    </w:rPr>
                    <w:t>54.01</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54.01</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54.01</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合</w:t>
                  </w:r>
                  <w:r>
                    <w:rPr>
                      <w:rFonts w:eastAsia="华文细黑"/>
                      <w:color w:val="000000"/>
                      <w:kern w:val="0"/>
                      <w:sz w:val="20"/>
                    </w:rPr>
                    <w:t>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人</w:t>
                  </w:r>
                  <w:r>
                    <w:rPr>
                      <w:rFonts w:eastAsia="华文细黑"/>
                      <w:color w:val="000000"/>
                      <w:kern w:val="0"/>
                      <w:sz w:val="20"/>
                    </w:rPr>
                    <w:t>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公</w:t>
                  </w:r>
                  <w:r>
                    <w:rPr>
                      <w:rFonts w:eastAsia="华文细黑"/>
                      <w:color w:val="000000"/>
                      <w:kern w:val="0"/>
                      <w:sz w:val="20"/>
                    </w:rPr>
                    <w:t>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lang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lang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40.</w:t>
                  </w:r>
                  <w:r>
                    <w:rPr>
                      <w:rFonts w:hint="eastAsia" w:ascii="Arial" w:hAnsi="Arial" w:eastAsia="宋体" w:cs="Arial"/>
                      <w:color w:val="000000"/>
                      <w:kern w:val="0"/>
                      <w:sz w:val="20"/>
                      <w:lang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40.</w:t>
                  </w:r>
                  <w:r>
                    <w:rPr>
                      <w:rFonts w:hint="eastAsia" w:ascii="Arial" w:hAnsi="Arial" w:eastAsia="宋体" w:cs="Arial"/>
                      <w:color w:val="000000"/>
                      <w:kern w:val="0"/>
                      <w:sz w:val="20"/>
                      <w:lang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36.3</w:t>
                  </w:r>
                  <w:r>
                    <w:rPr>
                      <w:rFonts w:hint="eastAsia" w:ascii="Arial" w:hAnsi="Arial" w:eastAsia="宋体" w:cs="Arial"/>
                      <w:color w:val="000000"/>
                      <w:kern w:val="0"/>
                      <w:sz w:val="20"/>
                      <w:lang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水利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40.</w:t>
                  </w:r>
                  <w:r>
                    <w:rPr>
                      <w:rFonts w:hint="eastAsia" w:ascii="Arial" w:hAnsi="Arial" w:eastAsia="宋体" w:cs="Arial"/>
                      <w:color w:val="000000"/>
                      <w:kern w:val="0"/>
                      <w:sz w:val="20"/>
                      <w:lang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40.</w:t>
                  </w:r>
                  <w:r>
                    <w:rPr>
                      <w:rFonts w:hint="eastAsia" w:ascii="Arial" w:hAnsi="Arial" w:eastAsia="宋体" w:cs="Arial"/>
                      <w:color w:val="000000"/>
                      <w:kern w:val="0"/>
                      <w:sz w:val="20"/>
                      <w:lang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36.3</w:t>
                  </w:r>
                  <w:r>
                    <w:rPr>
                      <w:rFonts w:hint="eastAsia" w:ascii="Arial" w:hAnsi="Arial" w:eastAsia="宋体" w:cs="Arial"/>
                      <w:color w:val="000000"/>
                      <w:kern w:val="0"/>
                      <w:sz w:val="20"/>
                      <w:lang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水利建设征地及移民支出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40.</w:t>
                  </w:r>
                  <w:r>
                    <w:rPr>
                      <w:rFonts w:hint="eastAsia" w:ascii="Arial" w:hAnsi="Arial" w:eastAsia="宋体" w:cs="Arial"/>
                      <w:color w:val="000000"/>
                      <w:kern w:val="0"/>
                      <w:sz w:val="20"/>
                      <w:lang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40.</w:t>
                  </w:r>
                  <w:r>
                    <w:rPr>
                      <w:rFonts w:hint="eastAsia" w:ascii="Arial" w:hAnsi="Arial" w:eastAsia="宋体" w:cs="Arial"/>
                      <w:color w:val="000000"/>
                      <w:kern w:val="0"/>
                      <w:sz w:val="20"/>
                      <w:lang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36.3</w:t>
                  </w:r>
                  <w:r>
                    <w:rPr>
                      <w:rFonts w:hint="eastAsia" w:ascii="Arial" w:hAnsi="Arial" w:eastAsia="宋体" w:cs="Arial"/>
                      <w:color w:val="000000"/>
                      <w:kern w:val="0"/>
                      <w:sz w:val="20"/>
                      <w:lang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eastAsia="宋体"/>
                      <w:color w:val="000000"/>
                      <w:kern w:val="0"/>
                      <w:sz w:val="20"/>
                    </w:rPr>
                  </w:pPr>
                  <w:r>
                    <w:rPr>
                      <w:rFonts w:ascii="Arial" w:hAnsi="Arial" w:eastAsia="宋体" w:cs="Arial"/>
                      <w:color w:val="000000"/>
                      <w:kern w:val="0"/>
                      <w:sz w:val="20"/>
                      <w:lang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hint="eastAsia" w:ascii="微软雅黑" w:hAnsi="微软雅黑" w:eastAsia="微软雅黑" w:cs="微软雅黑"/>
                      <w:color w:val="000000"/>
                      <w:kern w:val="0"/>
                      <w:sz w:val="20"/>
                    </w:rPr>
                    <w:t>合</w:t>
                  </w:r>
                  <w:r>
                    <w:rPr>
                      <w:rFonts w:eastAsia="华文细黑"/>
                      <w:color w:val="000000"/>
                      <w:kern w:val="0"/>
                      <w:sz w:val="20"/>
                    </w:rPr>
                    <w:t>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rPr>
                    <w:t>54.01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eastAsia="宋体"/>
                      <w:color w:val="000000"/>
                      <w:kern w:val="0"/>
                      <w:sz w:val="20"/>
                    </w:rPr>
                  </w:pPr>
                  <w:r>
                    <w:rPr>
                      <w:rFonts w:hint="eastAsia" w:eastAsia="宋体"/>
                      <w:kern w:val="0"/>
                      <w:sz w:val="20"/>
                    </w:rPr>
                    <w:t>54.01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rPr>
                    <w:t>50.17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789"/>
      </w:tblGrid>
      <w:tr>
        <w:tblPrEx>
          <w:tblCellMar>
            <w:top w:w="0" w:type="dxa"/>
            <w:left w:w="108" w:type="dxa"/>
            <w:bottom w:w="0" w:type="dxa"/>
            <w:right w:w="108" w:type="dxa"/>
          </w:tblCellMar>
        </w:tblPrEx>
        <w:trPr>
          <w:trHeight w:val="615" w:hRule="atLeast"/>
          <w:jc w:val="center"/>
        </w:trPr>
        <w:tc>
          <w:tcPr>
            <w:tcW w:w="8889" w:type="dxa"/>
            <w:gridSpan w:val="4"/>
            <w:tcBorders>
              <w:top w:val="nil"/>
              <w:left w:val="nil"/>
              <w:bottom w:val="nil"/>
              <w:right w:val="nil"/>
            </w:tcBorders>
            <w:vAlign w:val="bottom"/>
          </w:tcPr>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493"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7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49.57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49.57</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19.27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19.27</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1.31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1.31</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3.84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3.84</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10.82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10.82</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5.64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5.64</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1.38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1.38</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2.26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2.26</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0.32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0.32</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4.23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4.23</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0.49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0.49</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3.84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3.84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2.14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2.14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　电费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0.80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　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0.70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对个人和家庭的补助</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eastAsia="宋体"/>
                <w:kern w:val="0"/>
                <w:sz w:val="20"/>
              </w:rPr>
            </w:pPr>
            <w:r>
              <w:rPr>
                <w:rFonts w:ascii="Arial" w:hAnsi="Arial" w:eastAsia="宋体" w:cs="Arial"/>
                <w:color w:val="000000"/>
                <w:kern w:val="0"/>
                <w:sz w:val="20"/>
                <w:lang w:bidi="ar"/>
              </w:rPr>
              <w:t>0.60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0.60</w:t>
            </w:r>
          </w:p>
        </w:tc>
        <w:tc>
          <w:tcPr>
            <w:tcW w:w="178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lang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r>
              <w:rPr>
                <w:rFonts w:ascii="Arial" w:hAnsi="Arial" w:eastAsia="宋体" w:cs="Arial"/>
                <w:color w:val="000000"/>
                <w:kern w:val="0"/>
                <w:sz w:val="20"/>
                <w:lang w:bidi="ar"/>
              </w:rPr>
              <w:t>　退休费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eastAsia="宋体"/>
                <w:kern w:val="0"/>
                <w:sz w:val="20"/>
              </w:rPr>
            </w:pPr>
            <w:r>
              <w:rPr>
                <w:rFonts w:ascii="Arial" w:hAnsi="Arial" w:eastAsia="宋体" w:cs="Arial"/>
                <w:color w:val="000000"/>
                <w:kern w:val="0"/>
                <w:sz w:val="20"/>
                <w:lang w:bidi="ar"/>
              </w:rPr>
              <w:t>0.60</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lang w:bidi="ar"/>
              </w:rPr>
              <w:t>0.60</w:t>
            </w:r>
          </w:p>
        </w:tc>
        <w:tc>
          <w:tcPr>
            <w:tcW w:w="178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lang w:bidi="ar"/>
              </w:rPr>
              <w:t>0.00</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int="eastAsia" w:ascii="微软雅黑" w:hAnsi="微软雅黑" w:eastAsia="微软雅黑" w:cs="微软雅黑"/>
                <w:color w:val="000000"/>
                <w:kern w:val="0"/>
                <w:sz w:val="20"/>
              </w:rPr>
              <w:t>单</w:t>
            </w:r>
            <w:r>
              <w:rPr>
                <w:rFonts w:hAnsi="华文细黑" w:eastAsia="华文细黑"/>
                <w:color w:val="000000"/>
                <w:kern w:val="0"/>
                <w:sz w:val="20"/>
              </w:rPr>
              <w:t>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当</w:t>
            </w:r>
            <w:r>
              <w:rPr>
                <w:rFonts w:hint="eastAsia" w:eastAsia="华文细黑"/>
                <w:color w:val="000000"/>
                <w:kern w:val="0"/>
                <w:sz w:val="20"/>
              </w:rPr>
              <w:t>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上</w:t>
            </w:r>
            <w:r>
              <w:rPr>
                <w:rFonts w:hint="eastAsia" w:eastAsia="华文细黑"/>
                <w:color w:val="000000"/>
                <w:kern w:val="0"/>
                <w:sz w:val="20"/>
              </w:rPr>
              <w:t>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rPr>
              <w:t>5</w:t>
            </w:r>
            <w:r>
              <w:rPr>
                <w:color w:val="000000"/>
                <w:kern w:val="0"/>
                <w:sz w:val="28"/>
                <w:szCs w:val="28"/>
              </w:rPr>
              <w:t>人，其中：在职人员</w:t>
            </w:r>
            <w:r>
              <w:rPr>
                <w:rFonts w:hint="eastAsia" w:eastAsia="宋体"/>
                <w:color w:val="000000"/>
                <w:kern w:val="0"/>
                <w:sz w:val="28"/>
                <w:szCs w:val="28"/>
                <w:u w:val="single"/>
              </w:rPr>
              <w:t>4</w:t>
            </w:r>
            <w:r>
              <w:rPr>
                <w:color w:val="000000"/>
                <w:kern w:val="0"/>
                <w:sz w:val="28"/>
                <w:szCs w:val="28"/>
              </w:rPr>
              <w:t>人，离退休人员</w:t>
            </w:r>
            <w:r>
              <w:rPr>
                <w:rFonts w:hint="eastAsia" w:eastAsia="宋体"/>
                <w:color w:val="000000"/>
                <w:kern w:val="0"/>
                <w:sz w:val="28"/>
                <w:szCs w:val="28"/>
                <w:u w:val="single"/>
              </w:rPr>
              <w:t>1</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442"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p>
    <w:p>
      <w:pPr>
        <w:spacing w:line="700" w:lineRule="exact"/>
        <w:rPr>
          <w:rFonts w:eastAsia="楷体_GB2312"/>
          <w:kern w:val="0"/>
          <w:szCs w:val="32"/>
        </w:rPr>
      </w:pPr>
      <w:bookmarkStart w:id="0" w:name="_GoBack"/>
      <w:bookmarkEnd w:id="0"/>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ascii="楷体" w:hAnsi="楷体" w:eastAsia="楷体" w:cs="楷体"/>
          <w:kern w:val="0"/>
          <w:sz w:val="24"/>
          <w:szCs w:val="24"/>
        </w:rPr>
      </w:pPr>
    </w:p>
    <w:tbl>
      <w:tblPr>
        <w:tblStyle w:val="9"/>
        <w:tblpPr w:leftFromText="180" w:rightFromText="180" w:vertAnchor="page" w:horzAnchor="page" w:tblpX="1260" w:tblpY="232"/>
        <w:tblW w:w="17578" w:type="dxa"/>
        <w:tblInd w:w="0" w:type="dxa"/>
        <w:tblLayout w:type="fixed"/>
        <w:tblCellMar>
          <w:top w:w="0" w:type="dxa"/>
          <w:left w:w="108" w:type="dxa"/>
          <w:bottom w:w="0" w:type="dxa"/>
          <w:right w:w="108" w:type="dxa"/>
        </w:tblCellMar>
      </w:tblPr>
      <w:tblGrid>
        <w:gridCol w:w="2552"/>
        <w:gridCol w:w="2267"/>
        <w:gridCol w:w="2269"/>
        <w:gridCol w:w="1701"/>
        <w:gridCol w:w="8789"/>
      </w:tblGrid>
      <w:tr>
        <w:tblPrEx>
          <w:tblCellMar>
            <w:top w:w="0" w:type="dxa"/>
            <w:left w:w="108" w:type="dxa"/>
            <w:bottom w:w="0" w:type="dxa"/>
            <w:right w:w="108" w:type="dxa"/>
          </w:tblCellMar>
        </w:tblPrEx>
        <w:trPr>
          <w:trHeight w:val="390" w:hRule="atLeast"/>
        </w:trPr>
        <w:tc>
          <w:tcPr>
            <w:tcW w:w="8789" w:type="dxa"/>
            <w:gridSpan w:val="4"/>
            <w:tcBorders>
              <w:top w:val="nil"/>
              <w:left w:val="nil"/>
              <w:bottom w:val="single" w:color="000000" w:sz="4" w:space="0"/>
              <w:right w:val="nil"/>
            </w:tcBorders>
            <w:tcMar>
              <w:top w:w="15" w:type="dxa"/>
              <w:left w:w="15" w:type="dxa"/>
              <w:bottom w:w="15" w:type="dxa"/>
              <w:right w:w="15" w:type="dxa"/>
            </w:tcMar>
            <w:vAlign w:val="center"/>
          </w:tcPr>
          <w:p>
            <w:pPr>
              <w:widowControl/>
              <w:rPr>
                <w:rFonts w:eastAsia="方正小标宋简体"/>
                <w:kern w:val="0"/>
                <w:sz w:val="36"/>
                <w:szCs w:val="36"/>
              </w:rPr>
            </w:pPr>
          </w:p>
          <w:p>
            <w:pPr>
              <w:widowControl/>
              <w:ind w:firstLine="2520" w:firstLineChars="700"/>
              <w:rPr>
                <w:rFonts w:eastAsia="方正小标宋简体"/>
                <w:kern w:val="0"/>
                <w:sz w:val="36"/>
                <w:szCs w:val="36"/>
              </w:rPr>
            </w:pPr>
            <w:r>
              <w:rPr>
                <w:rFonts w:hint="eastAsia" w:eastAsia="方正小标宋简体"/>
                <w:kern w:val="0"/>
                <w:sz w:val="36"/>
                <w:szCs w:val="36"/>
              </w:rPr>
              <w:t>国有资本经营预算支出表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eastAsia="华文细黑"/>
                <w:color w:val="000000"/>
                <w:kern w:val="0"/>
                <w:sz w:val="20"/>
              </w:rPr>
              <w:tab/>
            </w:r>
            <w:r>
              <w:rPr>
                <w:rFonts w:hint="eastAsia" w:ascii="宋体" w:hAnsi="宋体" w:eastAsia="宋体" w:cs="宋体"/>
                <w:color w:val="000000"/>
                <w:kern w:val="0"/>
                <w:sz w:val="20"/>
              </w:rPr>
              <w:t>单位：万元</w:t>
            </w:r>
          </w:p>
        </w:tc>
        <w:tc>
          <w:tcPr>
            <w:tcW w:w="8789" w:type="dxa"/>
            <w:tcBorders>
              <w:top w:val="nil"/>
              <w:left w:val="nil"/>
              <w:bottom w:val="single" w:color="000000" w:sz="4" w:space="0"/>
              <w:right w:val="nil"/>
            </w:tcBorders>
            <w:tcMar>
              <w:top w:w="15" w:type="dxa"/>
              <w:left w:w="15" w:type="dxa"/>
              <w:bottom w:w="15" w:type="dxa"/>
              <w:right w:w="15" w:type="dxa"/>
            </w:tcMar>
            <w:vAlign w:val="center"/>
          </w:tcPr>
          <w:p>
            <w:pPr>
              <w:widowControl/>
              <w:tabs>
                <w:tab w:val="left" w:pos="7576"/>
                <w:tab w:val="right" w:pos="8879"/>
              </w:tabs>
              <w:jc w:val="left"/>
              <w:rPr>
                <w:rFonts w:eastAsia="华文细黑"/>
                <w:color w:val="000000"/>
                <w:kern w:val="0"/>
                <w:sz w:val="20"/>
              </w:rPr>
            </w:pPr>
          </w:p>
        </w:tc>
      </w:tr>
      <w:tr>
        <w:tblPrEx>
          <w:tblCellMar>
            <w:top w:w="0" w:type="dxa"/>
            <w:left w:w="108" w:type="dxa"/>
            <w:bottom w:w="0" w:type="dxa"/>
            <w:right w:w="108" w:type="dxa"/>
          </w:tblCellMar>
        </w:tblPrEx>
        <w:trPr>
          <w:trHeight w:val="390" w:hRule="atLeast"/>
        </w:trPr>
        <w:tc>
          <w:tcPr>
            <w:tcW w:w="2552" w:type="dxa"/>
            <w:vMerge w:val="restart"/>
            <w:tcBorders>
              <w:top w:val="nil"/>
              <w:left w:val="single" w:color="000000" w:sz="4" w:space="0"/>
              <w:bottom w:val="single" w:color="000000" w:sz="4" w:space="0"/>
              <w:right w:val="single" w:color="000000" w:sz="4" w:space="0"/>
            </w:tcBorders>
            <w:tcMar>
              <w:top w:w="15" w:type="dxa"/>
              <w:left w:w="15" w:type="dxa"/>
              <w:bottom w:w="15" w:type="dxa"/>
              <w:right w:w="15" w:type="dxa"/>
            </w:tcMar>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top w:val="nil"/>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c>
          <w:tcPr>
            <w:tcW w:w="878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rPr>
                <w:rFonts w:hint="eastAsia" w:ascii="宋体" w:hAnsi="宋体" w:eastAsia="宋体" w:cs="宋体"/>
                <w:color w:val="000000"/>
                <w:kern w:val="0"/>
                <w:sz w:val="20"/>
              </w:rPr>
            </w:pPr>
          </w:p>
        </w:tc>
      </w:tr>
      <w:tr>
        <w:tblPrEx>
          <w:tblCellMar>
            <w:top w:w="0" w:type="dxa"/>
            <w:left w:w="108" w:type="dxa"/>
            <w:bottom w:w="0" w:type="dxa"/>
            <w:right w:w="108" w:type="dxa"/>
          </w:tblCellMar>
        </w:tblPrEx>
        <w:trPr>
          <w:trHeight w:val="312" w:hRule="atLeast"/>
        </w:trPr>
        <w:tc>
          <w:tcPr>
            <w:tcW w:w="255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0" w:type="dxa"/>
            <w:left w:w="108" w:type="dxa"/>
            <w:bottom w:w="0" w:type="dxa"/>
            <w:right w:w="108" w:type="dxa"/>
          </w:tblCellMar>
        </w:tblPrEx>
        <w:trPr>
          <w:trHeight w:val="630" w:hRule="atLeast"/>
        </w:trPr>
        <w:tc>
          <w:tcPr>
            <w:tcW w:w="2552" w:type="dxa"/>
            <w:tcBorders>
              <w:top w:val="nil"/>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2267" w:type="dxa"/>
            <w:tcBorders>
              <w:top w:val="nil"/>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r>
      <w:tr>
        <w:tblPrEx>
          <w:tblCellMar>
            <w:top w:w="0" w:type="dxa"/>
            <w:left w:w="108" w:type="dxa"/>
            <w:bottom w:w="0" w:type="dxa"/>
            <w:right w:w="108" w:type="dxa"/>
          </w:tblCellMar>
        </w:tblPrEx>
        <w:trPr>
          <w:trHeight w:val="39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right"/>
              <w:rPr>
                <w:rFonts w:ascii="宋体" w:hAnsi="宋体" w:eastAsia="宋体" w:cs="宋体"/>
                <w:color w:val="000000"/>
                <w:kern w:val="0"/>
                <w:sz w:val="20"/>
              </w:rPr>
            </w:pPr>
          </w:p>
        </w:tc>
      </w:tr>
      <w:tr>
        <w:tblPrEx>
          <w:tblCellMar>
            <w:top w:w="0" w:type="dxa"/>
            <w:left w:w="108" w:type="dxa"/>
            <w:bottom w:w="0" w:type="dxa"/>
            <w:right w:w="108" w:type="dxa"/>
          </w:tblCellMar>
        </w:tblPrEx>
        <w:trPr>
          <w:trHeight w:val="330" w:hRule="atLeast"/>
        </w:trPr>
        <w:tc>
          <w:tcPr>
            <w:tcW w:w="2552" w:type="dxa"/>
            <w:tcBorders>
              <w:top w:val="single" w:color="000000" w:sz="4" w:space="0"/>
              <w:left w:val="single" w:color="000000" w:sz="4" w:space="0"/>
              <w:bottom w:val="single" w:color="000000" w:sz="4" w:space="0"/>
              <w:right w:val="nil"/>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15" w:type="dxa"/>
              <w:right w:w="15" w:type="dxa"/>
            </w:tcMar>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ascii="Calibri" w:hAnsi="Calibri" w:eastAsia="华文细黑"/>
                <w:color w:val="000000"/>
                <w:sz w:val="20"/>
                <w:szCs w:val="22"/>
              </w:rPr>
            </w:pPr>
            <w:r>
              <w:rPr>
                <w:rFonts w:hint="eastAsia" w:ascii="微软雅黑" w:hAnsi="微软雅黑" w:eastAsia="微软雅黑" w:cs="微软雅黑"/>
                <w:color w:val="000000"/>
                <w:sz w:val="20"/>
                <w:szCs w:val="22"/>
              </w:rPr>
              <w:t>合</w:t>
            </w:r>
            <w:r>
              <w:rPr>
                <w:rFonts w:hint="eastAsia" w:ascii="Calibri" w:hAnsi="Calibri" w:eastAsia="华文细黑"/>
                <w:color w:val="000000"/>
                <w:sz w:val="20"/>
                <w:szCs w:val="22"/>
              </w:rPr>
              <w:t>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54.01万元，其中：当年预算54.01万元；上年结转0万元。2024年当年预算比2023年预算减少8.13万元，主要原因是减少日常单位运行项目。</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54.01万元，其中：本年收入54.01万元，占0%；上年结转0万元，占0%。本年收入中，一般公共预算拨款收入54.01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eastAsia="楷体"/>
          <w:szCs w:val="30"/>
        </w:rPr>
        <w:br w:type="page"/>
      </w:r>
      <w:r>
        <w:rPr>
          <w:rFonts w:hint="eastAsia" w:ascii="黑体" w:hAnsi="黑体" w:eastAsia="黑体" w:cs="黑体"/>
          <w:szCs w:val="32"/>
        </w:rPr>
        <w:t>三、2024年支出预算情况</w:t>
      </w:r>
    </w:p>
    <w:p>
      <w:pPr>
        <w:ind w:firstLine="640" w:firstLineChars="200"/>
        <w:rPr>
          <w:rFonts w:ascii="仿宋_GB2312" w:hAnsi="仿宋_GB2312" w:cs="仿宋_GB2312"/>
          <w:szCs w:val="32"/>
        </w:rPr>
      </w:pPr>
      <w:r>
        <w:rPr>
          <w:rFonts w:hint="eastAsia" w:ascii="仿宋_GB2312" w:hAnsi="仿宋_GB2312" w:cs="仿宋_GB2312"/>
          <w:szCs w:val="32"/>
        </w:rPr>
        <w:t>2024年支出预算54.01万元，其中：基本支出54.01万元，占100%；项目支出0万元，占0%；事业单位经营支出0万元，占0%；上缴上级支出0万元，占0%；对附属单位补助支出0万元，占0%。</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ascii="黑体" w:hAnsi="黑体" w:eastAsia="黑体" w:cs="黑体"/>
          <w:szCs w:val="32"/>
        </w:rPr>
      </w:pPr>
      <w:r>
        <w:rPr>
          <w:rFonts w:eastAsia="楷体"/>
          <w:szCs w:val="32"/>
        </w:rPr>
        <w:br w:type="page"/>
      </w: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2024年财政拨款收支总预算54.01万元，其中：本年收入54.01万元，上年结转0万元。支出包括：</w:t>
      </w:r>
      <w:r>
        <w:rPr>
          <w:rFonts w:hint="eastAsia" w:ascii="仿宋_GB2312" w:hAnsi="仿宋_GB2312" w:cs="仿宋_GB2312"/>
          <w:kern w:val="0"/>
          <w:szCs w:val="32"/>
        </w:rPr>
        <w:t>一般公共服务支出</w:t>
      </w:r>
      <w:r>
        <w:rPr>
          <w:rFonts w:hint="eastAsia" w:ascii="仿宋_GB2312" w:hAnsi="仿宋_GB2312" w:cs="仿宋_GB2312"/>
          <w:szCs w:val="32"/>
        </w:rPr>
        <w:t>0万元，</w:t>
      </w:r>
      <w:r>
        <w:rPr>
          <w:rFonts w:hint="eastAsia" w:ascii="仿宋_GB2312" w:hAnsi="仿宋_GB2312" w:cs="仿宋_GB2312"/>
          <w:kern w:val="0"/>
          <w:szCs w:val="32"/>
        </w:rPr>
        <w:t>国防支出</w:t>
      </w:r>
      <w:r>
        <w:rPr>
          <w:rFonts w:hint="eastAsia" w:ascii="仿宋_GB2312" w:hAnsi="仿宋_GB2312" w:cs="仿宋_GB2312"/>
          <w:szCs w:val="32"/>
        </w:rPr>
        <w:t>0万元，</w:t>
      </w:r>
      <w:r>
        <w:rPr>
          <w:rFonts w:hint="eastAsia" w:ascii="仿宋_GB2312" w:hAnsi="仿宋_GB2312" w:cs="仿宋_GB2312"/>
          <w:kern w:val="0"/>
          <w:szCs w:val="32"/>
        </w:rPr>
        <w:t>公共安全支出</w:t>
      </w:r>
      <w:r>
        <w:rPr>
          <w:rFonts w:hint="eastAsia" w:ascii="仿宋_GB2312" w:hAnsi="仿宋_GB2312" w:cs="仿宋_GB2312"/>
          <w:szCs w:val="32"/>
        </w:rPr>
        <w:t>0万元，</w:t>
      </w:r>
      <w:r>
        <w:rPr>
          <w:rFonts w:hint="eastAsia" w:ascii="仿宋_GB2312" w:hAnsi="仿宋_GB2312" w:cs="仿宋_GB2312"/>
          <w:kern w:val="0"/>
          <w:szCs w:val="32"/>
        </w:rPr>
        <w:t>教育支出</w:t>
      </w:r>
      <w:r>
        <w:rPr>
          <w:rFonts w:hint="eastAsia" w:ascii="仿宋_GB2312" w:hAnsi="仿宋_GB2312" w:cs="仿宋_GB2312"/>
          <w:szCs w:val="32"/>
        </w:rPr>
        <w:t>0万元，</w:t>
      </w:r>
      <w:r>
        <w:rPr>
          <w:rFonts w:hint="eastAsia" w:ascii="仿宋_GB2312" w:hAnsi="仿宋_GB2312" w:cs="仿宋_GB2312"/>
          <w:kern w:val="0"/>
          <w:szCs w:val="32"/>
        </w:rPr>
        <w:t>科学技术支出</w:t>
      </w:r>
      <w:r>
        <w:rPr>
          <w:rFonts w:hint="eastAsia" w:ascii="仿宋_GB2312" w:hAnsi="仿宋_GB2312" w:cs="仿宋_GB2312"/>
          <w:szCs w:val="32"/>
        </w:rPr>
        <w:t>0万元，</w:t>
      </w:r>
      <w:r>
        <w:rPr>
          <w:rFonts w:hint="eastAsia" w:ascii="仿宋_GB2312" w:hAnsi="仿宋_GB2312" w:cs="仿宋_GB2312"/>
          <w:kern w:val="0"/>
          <w:szCs w:val="32"/>
        </w:rPr>
        <w:t>文化旅游体育与传媒支出</w:t>
      </w:r>
      <w:r>
        <w:rPr>
          <w:rFonts w:hint="eastAsia" w:ascii="仿宋_GB2312" w:hAnsi="仿宋_GB2312" w:cs="仿宋_GB2312"/>
          <w:szCs w:val="32"/>
        </w:rPr>
        <w:t>0万元，</w:t>
      </w:r>
      <w:r>
        <w:rPr>
          <w:rFonts w:hint="eastAsia" w:ascii="仿宋_GB2312" w:hAnsi="仿宋_GB2312" w:cs="仿宋_GB2312"/>
          <w:kern w:val="0"/>
          <w:szCs w:val="32"/>
        </w:rPr>
        <w:t>社会保障和就业支出</w:t>
      </w:r>
      <w:r>
        <w:rPr>
          <w:rFonts w:hint="eastAsia" w:ascii="仿宋_GB2312" w:hAnsi="仿宋_GB2312" w:cs="仿宋_GB2312"/>
          <w:szCs w:val="32"/>
        </w:rPr>
        <w:t>7.26万元，</w:t>
      </w:r>
      <w:r>
        <w:rPr>
          <w:rFonts w:hint="eastAsia" w:ascii="仿宋_GB2312" w:hAnsi="仿宋_GB2312" w:cs="仿宋_GB2312"/>
          <w:kern w:val="0"/>
          <w:szCs w:val="32"/>
        </w:rPr>
        <w:t>社会保险基金支出</w:t>
      </w:r>
      <w:r>
        <w:rPr>
          <w:rFonts w:hint="eastAsia" w:ascii="仿宋_GB2312" w:hAnsi="仿宋_GB2312" w:cs="仿宋_GB2312"/>
          <w:szCs w:val="32"/>
        </w:rPr>
        <w:t>0万元，</w:t>
      </w:r>
      <w:r>
        <w:rPr>
          <w:rFonts w:hint="eastAsia" w:ascii="仿宋_GB2312" w:hAnsi="仿宋_GB2312" w:cs="仿宋_GB2312"/>
          <w:kern w:val="0"/>
          <w:szCs w:val="32"/>
        </w:rPr>
        <w:t>卫生健康支出</w:t>
      </w:r>
      <w:r>
        <w:rPr>
          <w:rFonts w:hint="eastAsia" w:ascii="仿宋_GB2312" w:hAnsi="仿宋_GB2312" w:cs="仿宋_GB2312"/>
          <w:szCs w:val="32"/>
        </w:rPr>
        <w:t>2.33万元，</w:t>
      </w:r>
      <w:r>
        <w:rPr>
          <w:rFonts w:hint="eastAsia" w:ascii="仿宋_GB2312" w:hAnsi="仿宋_GB2312" w:cs="仿宋_GB2312"/>
          <w:kern w:val="0"/>
          <w:szCs w:val="32"/>
        </w:rPr>
        <w:t>节能环保支出</w:t>
      </w:r>
      <w:r>
        <w:rPr>
          <w:rFonts w:hint="eastAsia" w:ascii="仿宋_GB2312" w:hAnsi="仿宋_GB2312" w:cs="仿宋_GB2312"/>
          <w:szCs w:val="32"/>
        </w:rPr>
        <w:t>0万元，</w:t>
      </w:r>
      <w:r>
        <w:rPr>
          <w:rFonts w:hint="eastAsia" w:ascii="仿宋_GB2312" w:hAnsi="仿宋_GB2312" w:cs="仿宋_GB2312"/>
          <w:kern w:val="0"/>
          <w:szCs w:val="32"/>
        </w:rPr>
        <w:t>城乡社区支出</w:t>
      </w:r>
      <w:r>
        <w:rPr>
          <w:rFonts w:hint="eastAsia" w:ascii="仿宋_GB2312" w:hAnsi="仿宋_GB2312" w:cs="仿宋_GB2312"/>
          <w:szCs w:val="32"/>
        </w:rPr>
        <w:t>0万元，</w:t>
      </w:r>
      <w:r>
        <w:rPr>
          <w:rFonts w:hint="eastAsia" w:ascii="仿宋_GB2312" w:hAnsi="仿宋_GB2312" w:cs="仿宋_GB2312"/>
          <w:kern w:val="0"/>
          <w:szCs w:val="32"/>
        </w:rPr>
        <w:t>农林水支出</w:t>
      </w:r>
      <w:r>
        <w:rPr>
          <w:rFonts w:hint="eastAsia" w:ascii="仿宋_GB2312" w:hAnsi="仿宋_GB2312" w:cs="仿宋_GB2312"/>
          <w:szCs w:val="32"/>
        </w:rPr>
        <w:t>40.19万元，</w:t>
      </w:r>
      <w:r>
        <w:rPr>
          <w:rFonts w:hint="eastAsia" w:ascii="仿宋_GB2312" w:hAnsi="仿宋_GB2312" w:cs="仿宋_GB2312"/>
          <w:kern w:val="0"/>
          <w:szCs w:val="32"/>
        </w:rPr>
        <w:t>交通运输支出</w:t>
      </w:r>
      <w:r>
        <w:rPr>
          <w:rFonts w:hint="eastAsia" w:ascii="仿宋_GB2312" w:hAnsi="仿宋_GB2312" w:cs="仿宋_GB2312"/>
          <w:szCs w:val="32"/>
        </w:rPr>
        <w:t>0万元，</w:t>
      </w:r>
      <w:r>
        <w:rPr>
          <w:rFonts w:hint="eastAsia" w:ascii="仿宋_GB2312" w:hAnsi="仿宋_GB2312" w:cs="仿宋_GB2312"/>
          <w:kern w:val="0"/>
          <w:szCs w:val="32"/>
        </w:rPr>
        <w:t>资源勘探信息等支出</w:t>
      </w:r>
      <w:r>
        <w:rPr>
          <w:rFonts w:hint="eastAsia" w:ascii="仿宋_GB2312" w:hAnsi="仿宋_GB2312" w:cs="仿宋_GB2312"/>
          <w:szCs w:val="32"/>
        </w:rPr>
        <w:t>0万元，</w:t>
      </w:r>
      <w:r>
        <w:rPr>
          <w:rFonts w:hint="eastAsia" w:ascii="仿宋_GB2312" w:hAnsi="仿宋_GB2312" w:cs="仿宋_GB2312"/>
          <w:kern w:val="0"/>
          <w:szCs w:val="32"/>
        </w:rPr>
        <w:t>商业服务业等支出</w:t>
      </w:r>
      <w:r>
        <w:rPr>
          <w:rFonts w:hint="eastAsia" w:ascii="仿宋_GB2312" w:hAnsi="仿宋_GB2312" w:cs="仿宋_GB2312"/>
          <w:szCs w:val="32"/>
        </w:rPr>
        <w:t>0万元，</w:t>
      </w:r>
      <w:r>
        <w:rPr>
          <w:rFonts w:hint="eastAsia" w:ascii="仿宋_GB2312" w:hAnsi="仿宋_GB2312" w:cs="仿宋_GB2312"/>
          <w:kern w:val="0"/>
          <w:szCs w:val="32"/>
        </w:rPr>
        <w:t>金融支出</w:t>
      </w:r>
      <w:r>
        <w:rPr>
          <w:rFonts w:hint="eastAsia" w:ascii="仿宋_GB2312" w:hAnsi="仿宋_GB2312" w:cs="仿宋_GB2312"/>
          <w:szCs w:val="32"/>
        </w:rPr>
        <w:t>0万元，</w:t>
      </w:r>
      <w:r>
        <w:rPr>
          <w:rFonts w:hint="eastAsia" w:ascii="仿宋_GB2312" w:hAnsi="仿宋_GB2312" w:cs="仿宋_GB2312"/>
          <w:kern w:val="0"/>
          <w:szCs w:val="32"/>
        </w:rPr>
        <w:t>援助其他地区支出</w:t>
      </w:r>
      <w:r>
        <w:rPr>
          <w:rFonts w:hint="eastAsia" w:ascii="仿宋_GB2312" w:hAnsi="仿宋_GB2312" w:cs="仿宋_GB2312"/>
          <w:szCs w:val="32"/>
        </w:rPr>
        <w:t>0万元，</w:t>
      </w:r>
      <w:r>
        <w:rPr>
          <w:rFonts w:hint="eastAsia" w:ascii="仿宋_GB2312" w:hAnsi="仿宋_GB2312" w:cs="仿宋_GB2312"/>
          <w:kern w:val="0"/>
          <w:szCs w:val="32"/>
        </w:rPr>
        <w:t>自然资源海洋气象等支出</w:t>
      </w:r>
      <w:r>
        <w:rPr>
          <w:rFonts w:hint="eastAsia" w:ascii="仿宋_GB2312" w:hAnsi="仿宋_GB2312" w:cs="仿宋_GB2312"/>
          <w:szCs w:val="32"/>
        </w:rPr>
        <w:t>0万元，</w:t>
      </w:r>
      <w:r>
        <w:rPr>
          <w:rFonts w:hint="eastAsia" w:ascii="仿宋_GB2312" w:hAnsi="仿宋_GB2312" w:cs="仿宋_GB2312"/>
          <w:kern w:val="0"/>
          <w:szCs w:val="32"/>
        </w:rPr>
        <w:t>住房保障支出</w:t>
      </w:r>
      <w:r>
        <w:rPr>
          <w:rFonts w:hint="eastAsia" w:ascii="仿宋_GB2312" w:hAnsi="仿宋_GB2312" w:cs="仿宋_GB2312"/>
          <w:szCs w:val="32"/>
        </w:rPr>
        <w:t>4.23万元，</w:t>
      </w:r>
      <w:r>
        <w:rPr>
          <w:rFonts w:hint="eastAsia" w:ascii="仿宋_GB2312" w:hAnsi="仿宋_GB2312" w:cs="仿宋_GB2312"/>
          <w:kern w:val="0"/>
          <w:szCs w:val="32"/>
        </w:rPr>
        <w:t>粮油物资储备支出</w:t>
      </w:r>
      <w:r>
        <w:rPr>
          <w:rFonts w:hint="eastAsia" w:ascii="仿宋_GB2312" w:hAnsi="仿宋_GB2312" w:cs="仿宋_GB2312"/>
          <w:szCs w:val="32"/>
        </w:rPr>
        <w:t>0万元，灾害防治及应急管理支出0万元，</w:t>
      </w:r>
      <w:r>
        <w:rPr>
          <w:rFonts w:hint="eastAsia" w:ascii="仿宋_GB2312" w:hAnsi="仿宋_GB2312" w:cs="仿宋_GB2312"/>
          <w:kern w:val="0"/>
          <w:szCs w:val="32"/>
        </w:rPr>
        <w:t>其他支出</w:t>
      </w:r>
      <w:r>
        <w:rPr>
          <w:rFonts w:hint="eastAsia" w:ascii="仿宋_GB2312" w:hAnsi="仿宋_GB2312" w:cs="仿宋_GB2312"/>
          <w:szCs w:val="32"/>
        </w:rPr>
        <w:t>0万元，</w:t>
      </w:r>
      <w:r>
        <w:rPr>
          <w:rFonts w:hint="eastAsia" w:ascii="仿宋_GB2312" w:hAnsi="仿宋_GB2312" w:cs="仿宋_GB2312"/>
          <w:kern w:val="0"/>
          <w:szCs w:val="32"/>
        </w:rPr>
        <w:t>结转下年支出</w:t>
      </w:r>
      <w:r>
        <w:rPr>
          <w:rFonts w:hint="eastAsia" w:ascii="仿宋_GB2312" w:hAnsi="仿宋_GB2312" w:cs="仿宋_GB2312"/>
          <w:szCs w:val="32"/>
        </w:rPr>
        <w:t>0万元。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2024年一般公共预算拨款54.01万元，其中：基本支出54.01万元，占100%；项目支出0万元，占0%。基本支出中，人员经费50.17万元，占92.89%；公用经费3.84万元，占7.11%。</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一般公共服务（类）支出0万元，占0%，主要用于无。</w:t>
      </w:r>
    </w:p>
    <w:p>
      <w:pPr>
        <w:spacing w:line="520" w:lineRule="exact"/>
        <w:ind w:firstLine="200"/>
        <w:rPr>
          <w:rFonts w:ascii="仿宋_GB2312" w:hAnsi="仿宋_GB2312" w:cs="仿宋_GB2312"/>
          <w:szCs w:val="32"/>
        </w:rPr>
      </w:pPr>
      <w:r>
        <w:rPr>
          <w:rFonts w:hint="eastAsia" w:ascii="仿宋_GB2312" w:hAnsi="仿宋_GB2312" w:cs="仿宋_GB2312"/>
          <w:szCs w:val="32"/>
        </w:rPr>
        <w:t>国防（类）支出0万元，占0%，主要用于无。</w:t>
      </w:r>
    </w:p>
    <w:p>
      <w:pPr>
        <w:spacing w:line="520" w:lineRule="exact"/>
        <w:ind w:firstLine="200"/>
        <w:rPr>
          <w:rFonts w:ascii="仿宋_GB2312" w:hAnsi="仿宋_GB2312" w:cs="仿宋_GB2312"/>
          <w:szCs w:val="32"/>
        </w:rPr>
      </w:pPr>
      <w:r>
        <w:rPr>
          <w:rFonts w:hint="eastAsia" w:ascii="仿宋_GB2312" w:hAnsi="仿宋_GB2312" w:cs="仿宋_GB2312"/>
          <w:szCs w:val="32"/>
        </w:rPr>
        <w:t>教育（类）支出0万元，占0%，主要用于无。</w:t>
      </w:r>
    </w:p>
    <w:p>
      <w:pPr>
        <w:spacing w:line="520" w:lineRule="exact"/>
        <w:ind w:firstLine="200"/>
        <w:rPr>
          <w:rFonts w:ascii="仿宋_GB2312" w:hAnsi="仿宋_GB2312" w:cs="仿宋_GB2312"/>
          <w:szCs w:val="32"/>
        </w:rPr>
      </w:pPr>
      <w:r>
        <w:rPr>
          <w:rFonts w:hint="eastAsia" w:ascii="仿宋_GB2312" w:hAnsi="仿宋_GB2312" w:cs="仿宋_GB2312"/>
          <w:szCs w:val="32"/>
        </w:rPr>
        <w:t>科学技术（类）支出0万元，占0%，主要用于无。</w:t>
      </w:r>
    </w:p>
    <w:p>
      <w:pPr>
        <w:spacing w:line="520" w:lineRule="exact"/>
        <w:ind w:firstLine="200"/>
        <w:rPr>
          <w:rFonts w:ascii="仿宋_GB2312" w:hAnsi="仿宋_GB2312" w:cs="仿宋_GB2312"/>
          <w:szCs w:val="32"/>
        </w:rPr>
      </w:pPr>
      <w:r>
        <w:rPr>
          <w:rFonts w:hint="eastAsia" w:ascii="仿宋_GB2312" w:hAnsi="仿宋_GB2312" w:cs="仿宋_GB2312"/>
          <w:szCs w:val="32"/>
        </w:rPr>
        <w:t>文化旅游体育与传媒（类）支出0万元，占0%，主要用于无。</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社会保障和就业（类）支出7.26万元，占13.44%，主要用于职工养老保险支持。</w:t>
      </w:r>
    </w:p>
    <w:p>
      <w:pPr>
        <w:spacing w:line="520" w:lineRule="exact"/>
        <w:ind w:firstLine="200"/>
        <w:rPr>
          <w:rFonts w:ascii="仿宋_GB2312" w:hAnsi="仿宋_GB2312" w:cs="仿宋_GB2312"/>
          <w:szCs w:val="32"/>
        </w:rPr>
      </w:pPr>
      <w:r>
        <w:rPr>
          <w:rFonts w:hint="eastAsia" w:ascii="仿宋_GB2312" w:hAnsi="仿宋_GB2312" w:cs="仿宋_GB2312"/>
          <w:szCs w:val="32"/>
        </w:rPr>
        <w:t>农林水支出（类）支出40.19万元，占74.41%，主要用于本单位正常机构运行。</w:t>
      </w:r>
    </w:p>
    <w:p>
      <w:pPr>
        <w:spacing w:line="520" w:lineRule="exact"/>
        <w:ind w:firstLine="200"/>
        <w:rPr>
          <w:rFonts w:ascii="仿宋_GB2312" w:hAnsi="仿宋_GB2312" w:cs="仿宋_GB2312"/>
          <w:szCs w:val="32"/>
        </w:rPr>
      </w:pPr>
      <w:r>
        <w:rPr>
          <w:rFonts w:hint="eastAsia" w:ascii="仿宋_GB2312" w:hAnsi="仿宋_GB2312" w:cs="仿宋_GB2312"/>
          <w:szCs w:val="32"/>
        </w:rPr>
        <w:t>卫生健康支出2.33万元，占4.32%，主要用于职工医疗保险支出。</w:t>
      </w:r>
    </w:p>
    <w:p>
      <w:pPr>
        <w:spacing w:line="520" w:lineRule="exact"/>
        <w:ind w:firstLine="200"/>
        <w:rPr>
          <w:szCs w:val="32"/>
        </w:rPr>
      </w:pPr>
      <w:r>
        <w:rPr>
          <w:rFonts w:hint="eastAsia" w:ascii="仿宋_GB2312" w:hAnsi="仿宋_GB2312" w:cs="仿宋_GB2312"/>
          <w:szCs w:val="32"/>
        </w:rPr>
        <w:t>住房保障（类）支出4.23万元，占7.83%，主要用于职工住房公积金。</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eastAsia="楷体"/>
          <w:szCs w:val="32"/>
        </w:rPr>
        <w:br w:type="page"/>
      </w: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2024年一般公共预算基本支出54.01万元，其中：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人员经费50.17元，主要包括：</w:t>
      </w:r>
      <w:r>
        <w:rPr>
          <w:rFonts w:hint="eastAsia" w:ascii="仿宋_GB2312" w:hAnsi="仿宋_GB2312" w:cs="仿宋_GB2312"/>
          <w:kern w:val="0"/>
          <w:szCs w:val="32"/>
        </w:rPr>
        <w:t>基本工资、津贴补贴</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szCs w:val="32"/>
        </w:rPr>
        <w:t>、</w:t>
      </w:r>
      <w:r>
        <w:rPr>
          <w:rFonts w:hint="eastAsia" w:ascii="仿宋_GB2312" w:hAnsi="仿宋_GB2312" w:cs="仿宋_GB2312"/>
          <w:kern w:val="0"/>
          <w:szCs w:val="32"/>
        </w:rPr>
        <w:t>社会保障缴费</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hint="eastAsia" w:ascii="仿宋_GB2312" w:hAnsi="仿宋_GB2312" w:cs="仿宋_GB2312"/>
          <w:szCs w:val="32"/>
        </w:rPr>
        <w:t>、</w:t>
      </w:r>
      <w:r>
        <w:rPr>
          <w:rFonts w:hint="eastAsia" w:ascii="仿宋_GB2312" w:hAnsi="仿宋_GB2312" w:cs="仿宋_GB2312"/>
          <w:kern w:val="0"/>
          <w:szCs w:val="32"/>
        </w:rPr>
        <w:t>离休费</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szCs w:val="32"/>
        </w:rPr>
        <w:t>、</w:t>
      </w:r>
      <w:r>
        <w:rPr>
          <w:rFonts w:hint="eastAsia" w:ascii="仿宋_GB2312" w:hAnsi="仿宋_GB2312" w:cs="仿宋_GB2312"/>
          <w:kern w:val="0"/>
          <w:szCs w:val="32"/>
        </w:rPr>
        <w:t>抚恤金</w:t>
      </w:r>
      <w:r>
        <w:rPr>
          <w:rFonts w:hint="eastAsia" w:ascii="仿宋_GB2312" w:hAnsi="仿宋_GB2312" w:cs="仿宋_GB2312"/>
          <w:szCs w:val="32"/>
        </w:rPr>
        <w:t>、</w:t>
      </w:r>
      <w:r>
        <w:rPr>
          <w:rFonts w:hint="eastAsia" w:ascii="仿宋_GB2312" w:hAnsi="仿宋_GB2312" w:cs="仿宋_GB2312"/>
          <w:kern w:val="0"/>
          <w:szCs w:val="32"/>
        </w:rPr>
        <w:t>生活补助</w:t>
      </w:r>
      <w:r>
        <w:rPr>
          <w:rFonts w:hint="eastAsia" w:ascii="仿宋_GB2312" w:hAnsi="仿宋_GB2312" w:cs="仿宋_GB2312"/>
          <w:szCs w:val="32"/>
        </w:rPr>
        <w:t>、</w:t>
      </w:r>
      <w:r>
        <w:rPr>
          <w:rFonts w:hint="eastAsia" w:ascii="仿宋_GB2312" w:hAnsi="仿宋_GB2312" w:cs="仿宋_GB2312"/>
          <w:kern w:val="0"/>
          <w:szCs w:val="32"/>
        </w:rPr>
        <w:t>助学金</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szCs w:val="32"/>
        </w:rPr>
        <w:t>、</w:t>
      </w:r>
      <w:r>
        <w:rPr>
          <w:rFonts w:hint="eastAsia" w:ascii="仿宋_GB2312" w:hAnsi="仿宋_GB2312" w:cs="仿宋_GB2312"/>
          <w:kern w:val="0"/>
          <w:szCs w:val="32"/>
        </w:rPr>
        <w:t>采暖补贴</w:t>
      </w:r>
      <w:r>
        <w:rPr>
          <w:rFonts w:hint="eastAsia" w:ascii="仿宋_GB2312" w:hAnsi="仿宋_GB2312" w:cs="仿宋_GB2312"/>
          <w:szCs w:val="32"/>
        </w:rPr>
        <w:t>、</w:t>
      </w:r>
      <w:r>
        <w:rPr>
          <w:rFonts w:hint="eastAsia" w:ascii="仿宋_GB2312" w:hAnsi="仿宋_GB2312" w:cs="仿宋_GB2312"/>
          <w:kern w:val="0"/>
          <w:szCs w:val="32"/>
        </w:rPr>
        <w:t>其他对个人和家庭的补助支出。</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szCs w:val="32"/>
        </w:rPr>
        <w:t>3.84万元，主要包括：</w:t>
      </w:r>
      <w:r>
        <w:rPr>
          <w:rFonts w:hint="eastAsia" w:ascii="仿宋_GB2312" w:hAnsi="仿宋_GB2312" w:cs="仿宋_GB2312"/>
          <w:kern w:val="0"/>
          <w:szCs w:val="32"/>
        </w:rPr>
        <w:t>办公费</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szCs w:val="32"/>
        </w:rPr>
        <w:t>、</w:t>
      </w:r>
      <w:r>
        <w:rPr>
          <w:rFonts w:hint="eastAsia" w:ascii="仿宋_GB2312" w:hAnsi="仿宋_GB2312" w:cs="仿宋_GB2312"/>
          <w:kern w:val="0"/>
          <w:szCs w:val="32"/>
        </w:rPr>
        <w:t>水费</w:t>
      </w:r>
      <w:r>
        <w:rPr>
          <w:rFonts w:hint="eastAsia" w:ascii="仿宋_GB2312" w:hAnsi="仿宋_GB2312" w:cs="仿宋_GB2312"/>
          <w:szCs w:val="32"/>
        </w:rPr>
        <w:t>、</w:t>
      </w:r>
      <w:r>
        <w:rPr>
          <w:rFonts w:hint="eastAsia" w:ascii="仿宋_GB2312" w:hAnsi="仿宋_GB2312" w:cs="仿宋_GB2312"/>
          <w:kern w:val="0"/>
          <w:szCs w:val="32"/>
        </w:rPr>
        <w:t>电费</w:t>
      </w:r>
      <w:r>
        <w:rPr>
          <w:rFonts w:hint="eastAsia" w:ascii="仿宋_GB2312" w:hAnsi="仿宋_GB2312" w:cs="仿宋_GB2312"/>
          <w:szCs w:val="32"/>
        </w:rPr>
        <w:t>、</w:t>
      </w:r>
      <w:r>
        <w:rPr>
          <w:rFonts w:hint="eastAsia" w:ascii="仿宋_GB2312" w:hAnsi="仿宋_GB2312" w:cs="仿宋_GB2312"/>
          <w:kern w:val="0"/>
          <w:szCs w:val="32"/>
        </w:rPr>
        <w:t>邮电费</w:t>
      </w:r>
      <w:r>
        <w:rPr>
          <w:rFonts w:hint="eastAsia" w:ascii="仿宋_GB2312" w:hAnsi="仿宋_GB2312" w:cs="仿宋_GB2312"/>
          <w:szCs w:val="32"/>
        </w:rPr>
        <w:t>、</w:t>
      </w:r>
      <w:r>
        <w:rPr>
          <w:rFonts w:hint="eastAsia" w:ascii="仿宋_GB2312" w:hAnsi="仿宋_GB2312" w:cs="仿宋_GB2312"/>
          <w:kern w:val="0"/>
          <w:szCs w:val="32"/>
        </w:rPr>
        <w:t>取暖费</w:t>
      </w:r>
      <w:r>
        <w:rPr>
          <w:rFonts w:hint="eastAsia" w:ascii="仿宋_GB2312" w:hAnsi="仿宋_GB2312" w:cs="仿宋_GB2312"/>
          <w:szCs w:val="32"/>
        </w:rPr>
        <w:t>、</w:t>
      </w:r>
      <w:r>
        <w:rPr>
          <w:rFonts w:hint="eastAsia" w:ascii="仿宋_GB2312" w:hAnsi="仿宋_GB2312" w:cs="仿宋_GB2312"/>
          <w:kern w:val="0"/>
          <w:szCs w:val="32"/>
        </w:rPr>
        <w:t>物业管理费</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szCs w:val="32"/>
        </w:rPr>
        <w:t>、</w:t>
      </w:r>
      <w:r>
        <w:rPr>
          <w:rFonts w:hint="eastAsia" w:ascii="仿宋_GB2312" w:hAnsi="仿宋_GB2312" w:cs="仿宋_GB2312"/>
          <w:kern w:val="0"/>
          <w:szCs w:val="32"/>
        </w:rPr>
        <w:t>维修（护）费</w:t>
      </w:r>
      <w:r>
        <w:rPr>
          <w:rFonts w:hint="eastAsia" w:ascii="仿宋_GB2312" w:hAnsi="仿宋_GB2312" w:cs="仿宋_GB2312"/>
          <w:szCs w:val="32"/>
        </w:rPr>
        <w:t>、</w:t>
      </w:r>
      <w:r>
        <w:rPr>
          <w:rFonts w:hint="eastAsia" w:ascii="仿宋_GB2312" w:hAnsi="仿宋_GB2312" w:cs="仿宋_GB2312"/>
          <w:kern w:val="0"/>
          <w:szCs w:val="32"/>
        </w:rPr>
        <w:t>会议费</w:t>
      </w:r>
      <w:r>
        <w:rPr>
          <w:rFonts w:hint="eastAsia" w:ascii="仿宋_GB2312" w:hAnsi="仿宋_GB2312" w:cs="仿宋_GB2312"/>
          <w:szCs w:val="32"/>
        </w:rPr>
        <w:t>、</w:t>
      </w:r>
      <w:r>
        <w:rPr>
          <w:rFonts w:hint="eastAsia" w:ascii="仿宋_GB2312" w:hAnsi="仿宋_GB2312" w:cs="仿宋_GB2312"/>
          <w:kern w:val="0"/>
          <w:szCs w:val="32"/>
        </w:rPr>
        <w:t>培训费</w:t>
      </w:r>
      <w:r>
        <w:rPr>
          <w:rFonts w:hint="eastAsia" w:ascii="仿宋_GB2312" w:hAnsi="仿宋_GB2312" w:cs="仿宋_GB2312"/>
          <w:szCs w:val="32"/>
        </w:rPr>
        <w:t>、</w:t>
      </w:r>
      <w:r>
        <w:rPr>
          <w:rFonts w:hint="eastAsia" w:ascii="仿宋_GB2312" w:hAnsi="仿宋_GB2312" w:cs="仿宋_GB2312"/>
          <w:kern w:val="0"/>
          <w:szCs w:val="32"/>
        </w:rPr>
        <w:t>公务接待费</w:t>
      </w:r>
      <w:r>
        <w:rPr>
          <w:rFonts w:hint="eastAsia" w:ascii="仿宋_GB2312" w:hAnsi="仿宋_GB2312" w:cs="仿宋_GB2312"/>
          <w:szCs w:val="32"/>
        </w:rPr>
        <w:t>、</w:t>
      </w:r>
      <w:r>
        <w:rPr>
          <w:rFonts w:hint="eastAsia" w:ascii="仿宋_GB2312" w:hAnsi="仿宋_GB2312" w:cs="仿宋_GB2312"/>
          <w:kern w:val="0"/>
          <w:szCs w:val="32"/>
        </w:rPr>
        <w:t>工会经费、福利费</w:t>
      </w:r>
      <w:r>
        <w:rPr>
          <w:rFonts w:hint="eastAsia" w:ascii="仿宋_GB2312" w:hAnsi="仿宋_GB2312" w:cs="仿宋_GB2312"/>
          <w:szCs w:val="32"/>
        </w:rPr>
        <w:t>、公</w:t>
      </w:r>
      <w:r>
        <w:rPr>
          <w:rFonts w:hint="eastAsia" w:ascii="仿宋_GB2312" w:hAnsi="仿宋_GB2312" w:cs="仿宋_GB2312"/>
          <w:kern w:val="0"/>
          <w:szCs w:val="32"/>
        </w:rPr>
        <w:t>务用车运行维护费</w:t>
      </w:r>
      <w:r>
        <w:rPr>
          <w:rFonts w:hint="eastAsia" w:ascii="仿宋_GB2312" w:hAnsi="仿宋_GB2312" w:cs="仿宋_GB2312"/>
          <w:szCs w:val="32"/>
        </w:rPr>
        <w:t>、</w:t>
      </w:r>
      <w:r>
        <w:rPr>
          <w:rFonts w:hint="eastAsia" w:ascii="仿宋_GB2312" w:hAnsi="仿宋_GB2312" w:cs="仿宋_GB2312"/>
          <w:kern w:val="0"/>
          <w:szCs w:val="32"/>
        </w:rPr>
        <w:t>其他交通补助</w:t>
      </w:r>
      <w:r>
        <w:rPr>
          <w:rFonts w:hint="eastAsia" w:ascii="仿宋_GB2312" w:hAnsi="仿宋_GB2312" w:cs="仿宋_GB2312"/>
          <w:szCs w:val="32"/>
        </w:rPr>
        <w:t>、</w:t>
      </w:r>
      <w:r>
        <w:rPr>
          <w:rFonts w:hint="eastAsia" w:ascii="仿宋_GB2312" w:hAnsi="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eastAsia="楷体"/>
          <w:szCs w:val="32"/>
        </w:rPr>
      </w:pPr>
      <w:r>
        <w:rPr>
          <w:rFonts w:eastAsia="楷体"/>
          <w:szCs w:val="32"/>
        </w:rPr>
        <w:t>本部门无一般公共预算拨款</w:t>
      </w:r>
      <w:r>
        <w:rPr>
          <w:rFonts w:hint="eastAsia" w:eastAsia="楷体"/>
          <w:szCs w:val="32"/>
        </w:rPr>
        <w:t>“三公”经费情况</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本部门无机关运行经费支出。</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本单位无政府采购情况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本单位无国有资产占有使用情况</w:t>
      </w:r>
    </w:p>
    <w:p>
      <w:pPr>
        <w:numPr>
          <w:ilvl w:val="0"/>
          <w:numId w:val="1"/>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本单位无项目支出情况说明</w:t>
      </w:r>
    </w:p>
    <w:p>
      <w:pPr>
        <w:spacing w:line="540" w:lineRule="exact"/>
        <w:ind w:firstLine="640" w:firstLineChars="200"/>
        <w:rPr>
          <w:rFonts w:eastAsia="楷体"/>
          <w:szCs w:val="32"/>
        </w:rPr>
      </w:pPr>
      <w:r>
        <w:rPr>
          <w:rFonts w:hint="eastAsia" w:eastAsia="楷体"/>
          <w:szCs w:val="32"/>
        </w:rPr>
        <w:t>（五）项目支出绩效目标情况说明</w:t>
      </w:r>
    </w:p>
    <w:p>
      <w:pPr>
        <w:spacing w:line="540" w:lineRule="exact"/>
        <w:ind w:firstLine="640" w:firstLineChars="200"/>
        <w:rPr>
          <w:rFonts w:ascii="仿宋_GB2312" w:hAnsi="仿宋_GB2312" w:cs="仿宋_GB2312"/>
        </w:rPr>
      </w:pPr>
      <w:r>
        <w:rPr>
          <w:rFonts w:hint="eastAsia" w:ascii="仿宋_GB2312" w:hAnsi="仿宋_GB2312" w:cs="仿宋_GB2312"/>
        </w:rPr>
        <w:t>本单位项目支出绩效目标情况说明。</w:t>
      </w:r>
    </w:p>
    <w:p>
      <w:pPr>
        <w:spacing w:line="540" w:lineRule="exact"/>
        <w:ind w:firstLine="640" w:firstLineChars="200"/>
        <w:rPr>
          <w:rFonts w:ascii="仿宋_GB2312" w:hAnsi="仿宋_GB2312" w:cs="仿宋_GB2312"/>
        </w:rPr>
      </w:pPr>
    </w:p>
    <w:p>
      <w:pPr>
        <w:spacing w:line="540" w:lineRule="exact"/>
        <w:ind w:firstLine="640" w:firstLineChars="200"/>
        <w:rPr>
          <w:rFonts w:ascii="仿宋_GB2312" w:hAnsi="仿宋_GB2312" w:cs="仿宋_GB2312"/>
        </w:rPr>
      </w:pPr>
    </w:p>
    <w:p>
      <w:pPr>
        <w:spacing w:line="540" w:lineRule="exact"/>
        <w:ind w:firstLine="640" w:firstLineChars="200"/>
        <w:rPr>
          <w:rFonts w:ascii="仿宋_GB2312" w:hAnsi="仿宋_GB2312" w:cs="仿宋_GB2312"/>
        </w:rPr>
      </w:pPr>
    </w:p>
    <w:p>
      <w:pPr>
        <w:spacing w:line="540" w:lineRule="exact"/>
        <w:ind w:firstLine="640" w:firstLineChars="200"/>
        <w:rPr>
          <w:rFonts w:ascii="仿宋_GB2312" w:hAnsi="仿宋_GB2312" w:cs="仿宋_GB2312"/>
        </w:rPr>
      </w:pPr>
    </w:p>
    <w:p>
      <w:pPr>
        <w:spacing w:line="540" w:lineRule="exact"/>
        <w:ind w:firstLine="640" w:firstLineChars="200"/>
        <w:rPr>
          <w:rFonts w:ascii="仿宋_GB2312" w:hAnsi="仿宋_GB2312" w:cs="仿宋_GB231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851" w:right="1588" w:bottom="1560"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20</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MWZjNzQzZTAxODFiZTRiM2I2NGJlMjZiNjhlOWYifQ=="/>
  </w:docVars>
  <w:rsids>
    <w:rsidRoot w:val="48674ED2"/>
    <w:rsid w:val="000C6D48"/>
    <w:rsid w:val="000D7FB8"/>
    <w:rsid w:val="00102492"/>
    <w:rsid w:val="00145456"/>
    <w:rsid w:val="00151A58"/>
    <w:rsid w:val="002300BA"/>
    <w:rsid w:val="00292A39"/>
    <w:rsid w:val="002A5441"/>
    <w:rsid w:val="002E7CD8"/>
    <w:rsid w:val="00367BC1"/>
    <w:rsid w:val="00396D8D"/>
    <w:rsid w:val="00426F96"/>
    <w:rsid w:val="00487479"/>
    <w:rsid w:val="004E4E98"/>
    <w:rsid w:val="00514321"/>
    <w:rsid w:val="00584D1B"/>
    <w:rsid w:val="00586A56"/>
    <w:rsid w:val="005D5B16"/>
    <w:rsid w:val="005F314F"/>
    <w:rsid w:val="00623896"/>
    <w:rsid w:val="006358AE"/>
    <w:rsid w:val="006B3914"/>
    <w:rsid w:val="006D31E0"/>
    <w:rsid w:val="007638E0"/>
    <w:rsid w:val="00812796"/>
    <w:rsid w:val="00825722"/>
    <w:rsid w:val="00841DA8"/>
    <w:rsid w:val="00851A6F"/>
    <w:rsid w:val="00870789"/>
    <w:rsid w:val="00873164"/>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9225F"/>
    <w:rsid w:val="00CA1F41"/>
    <w:rsid w:val="00CA1FFF"/>
    <w:rsid w:val="00CC6E11"/>
    <w:rsid w:val="00CC7209"/>
    <w:rsid w:val="00D33284"/>
    <w:rsid w:val="00D44841"/>
    <w:rsid w:val="00D55467"/>
    <w:rsid w:val="00D71247"/>
    <w:rsid w:val="00DE15EB"/>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BAD3D54"/>
    <w:rsid w:val="0C2A5C84"/>
    <w:rsid w:val="0DA001B0"/>
    <w:rsid w:val="0DB6446C"/>
    <w:rsid w:val="0DEB170B"/>
    <w:rsid w:val="0E4C7841"/>
    <w:rsid w:val="0F3E0406"/>
    <w:rsid w:val="0F8B592F"/>
    <w:rsid w:val="0FD62F63"/>
    <w:rsid w:val="107728C7"/>
    <w:rsid w:val="10AE7F82"/>
    <w:rsid w:val="10C93B35"/>
    <w:rsid w:val="11177619"/>
    <w:rsid w:val="112605C8"/>
    <w:rsid w:val="118F0152"/>
    <w:rsid w:val="12E711B7"/>
    <w:rsid w:val="136D62BD"/>
    <w:rsid w:val="13F21722"/>
    <w:rsid w:val="1441443C"/>
    <w:rsid w:val="1447352A"/>
    <w:rsid w:val="14C12787"/>
    <w:rsid w:val="15593E10"/>
    <w:rsid w:val="159F7E25"/>
    <w:rsid w:val="15F848D0"/>
    <w:rsid w:val="160E1FA5"/>
    <w:rsid w:val="160F2600"/>
    <w:rsid w:val="17765BCA"/>
    <w:rsid w:val="17A027D8"/>
    <w:rsid w:val="1A817DF8"/>
    <w:rsid w:val="1ADC594E"/>
    <w:rsid w:val="1AEB5252"/>
    <w:rsid w:val="1AEB7DB3"/>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4783E01"/>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0A3452"/>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87E0E09"/>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827583"/>
    <w:rsid w:val="63952BB5"/>
    <w:rsid w:val="63DF08E4"/>
    <w:rsid w:val="64127E15"/>
    <w:rsid w:val="64C04AFD"/>
    <w:rsid w:val="661A7B69"/>
    <w:rsid w:val="664909C1"/>
    <w:rsid w:val="66C63EB5"/>
    <w:rsid w:val="677772D0"/>
    <w:rsid w:val="679461D3"/>
    <w:rsid w:val="6858287E"/>
    <w:rsid w:val="687E0A63"/>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0D0C41"/>
    <w:rsid w:val="7CAD595B"/>
    <w:rsid w:val="7CF65D07"/>
    <w:rsid w:val="7D2975D1"/>
    <w:rsid w:val="7DCC0CD6"/>
    <w:rsid w:val="7E8C4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4">
    <w:name w:val="页脚 New New New New New"/>
    <w:basedOn w:val="1"/>
    <w:autoRedefine/>
    <w:qFormat/>
    <w:uiPriority w:val="0"/>
    <w:pPr>
      <w:tabs>
        <w:tab w:val="center" w:pos="4153"/>
        <w:tab w:val="right" w:pos="8306"/>
      </w:tabs>
      <w:snapToGrid w:val="0"/>
      <w:jc w:val="left"/>
    </w:pPr>
    <w:rPr>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sz w:val="18"/>
    </w:rPr>
  </w:style>
  <w:style w:type="paragraph" w:customStyle="1" w:styleId="60">
    <w:name w:val="页脚 New New New New New New"/>
    <w:basedOn w:val="1"/>
    <w:autoRedefine/>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Template>
  <Pages>28</Pages>
  <Words>1345</Words>
  <Characters>7670</Characters>
  <Lines>63</Lines>
  <Paragraphs>17</Paragraphs>
  <TotalTime>131</TotalTime>
  <ScaleCrop>false</ScaleCrop>
  <LinksUpToDate>false</LinksUpToDate>
  <CharactersWithSpaces>8998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2024-01-25T06:00:00Z</cp:lastPrinted>
  <dcterms:modified xsi:type="dcterms:W3CDTF">2024-01-26T06:11:44Z</dcterms:modified>
  <dc:title>主  持  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