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rPr>
        <w:t>通榆县兴隆水库工程管理所2024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320" w:firstLineChars="100"/>
        <w:jc w:val="left"/>
        <w:rPr>
          <w:rFonts w:ascii="宋体"/>
        </w:rPr>
      </w:pPr>
      <w:r>
        <w:rPr>
          <w:rFonts w:hint="eastAsia"/>
          <w:bCs/>
          <w:color w:val="6D6E71"/>
        </w:rPr>
        <w:t>　</w:t>
      </w:r>
      <w:r>
        <w:rPr>
          <w:rFonts w:ascii="宋体" w:hAnsi="宋体"/>
        </w:rPr>
        <w:t>1</w:t>
      </w:r>
      <w:r>
        <w:rPr>
          <w:rFonts w:hint="eastAsia" w:ascii="宋体" w:hAnsi="宋体"/>
        </w:rPr>
        <w:t>、掌握水库运行状况，保障工程安全和效益发挥。</w:t>
      </w:r>
    </w:p>
    <w:p>
      <w:pPr>
        <w:ind w:firstLine="640" w:firstLineChars="200"/>
        <w:jc w:val="left"/>
        <w:rPr>
          <w:rFonts w:ascii="宋体"/>
        </w:rPr>
      </w:pPr>
      <w:r>
        <w:rPr>
          <w:rFonts w:ascii="宋体" w:hAnsi="宋体"/>
        </w:rPr>
        <w:t>2</w:t>
      </w:r>
      <w:r>
        <w:rPr>
          <w:rFonts w:hint="eastAsia" w:ascii="宋体" w:hAnsi="宋体"/>
        </w:rPr>
        <w:t>、组织制定水库调度运行方案及工程维修、更新改造方案。</w:t>
      </w:r>
    </w:p>
    <w:p>
      <w:pPr>
        <w:ind w:firstLine="640" w:firstLineChars="200"/>
        <w:jc w:val="left"/>
        <w:rPr>
          <w:rFonts w:ascii="宋体"/>
        </w:rPr>
      </w:pPr>
      <w:r>
        <w:rPr>
          <w:rFonts w:ascii="宋体" w:hAnsi="宋体"/>
        </w:rPr>
        <w:t>3</w:t>
      </w:r>
      <w:r>
        <w:rPr>
          <w:rFonts w:hint="eastAsia" w:ascii="宋体" w:hAnsi="宋体"/>
        </w:rPr>
        <w:t>、按规定实施水库调度。</w:t>
      </w:r>
    </w:p>
    <w:p>
      <w:pPr>
        <w:ind w:firstLine="640" w:firstLineChars="200"/>
        <w:jc w:val="left"/>
        <w:rPr>
          <w:rFonts w:ascii="宋体"/>
        </w:rPr>
      </w:pPr>
      <w:r>
        <w:rPr>
          <w:rFonts w:ascii="宋体" w:hAnsi="宋体"/>
        </w:rPr>
        <w:t>4</w:t>
      </w:r>
      <w:r>
        <w:rPr>
          <w:rFonts w:hint="eastAsia" w:ascii="宋体" w:hAnsi="宋体"/>
        </w:rPr>
        <w:t>、负责汛前准备、汛期抢险、水毁修复等技术管理工作。</w:t>
      </w:r>
    </w:p>
    <w:p>
      <w:pPr>
        <w:ind w:left="1120" w:leftChars="200" w:hanging="480" w:hangingChars="150"/>
        <w:jc w:val="left"/>
        <w:rPr>
          <w:rFonts w:ascii="宋体"/>
        </w:rPr>
      </w:pPr>
      <w:r>
        <w:rPr>
          <w:rFonts w:ascii="宋体" w:hAnsi="宋体"/>
        </w:rPr>
        <w:t>5</w:t>
      </w:r>
      <w:r>
        <w:rPr>
          <w:rFonts w:hint="eastAsia" w:ascii="宋体" w:hAnsi="宋体"/>
        </w:rPr>
        <w:t>、负责进行大坝安全监测、机电设备、通信设施的检查、运行、维护工作。</w:t>
      </w:r>
    </w:p>
    <w:p>
      <w:pPr>
        <w:ind w:firstLine="640" w:firstLineChars="200"/>
        <w:jc w:val="left"/>
        <w:rPr>
          <w:rFonts w:ascii="宋体"/>
        </w:rPr>
      </w:pPr>
      <w:r>
        <w:rPr>
          <w:rFonts w:ascii="宋体" w:hAnsi="宋体"/>
        </w:rPr>
        <w:t>6</w:t>
      </w:r>
      <w:r>
        <w:rPr>
          <w:rFonts w:hint="eastAsia" w:ascii="宋体" w:hAnsi="宋体"/>
        </w:rPr>
        <w:t>、负责水文和气象观测工作。</w:t>
      </w:r>
    </w:p>
    <w:p>
      <w:pPr>
        <w:pStyle w:val="51"/>
        <w:ind w:left="1120" w:leftChars="200" w:hanging="480" w:hangingChars="150"/>
        <w:rPr>
          <w:rFonts w:ascii="宋体" w:hAnsi="宋体" w:eastAsia="仿宋_GB2312"/>
          <w:kern w:val="2"/>
          <w:szCs w:val="20"/>
        </w:rPr>
      </w:pPr>
      <w:r>
        <w:rPr>
          <w:rFonts w:ascii="宋体" w:hAnsi="宋体" w:eastAsia="仿宋_GB2312"/>
          <w:kern w:val="2"/>
          <w:szCs w:val="20"/>
        </w:rPr>
        <w:t>7</w:t>
      </w:r>
      <w:r>
        <w:rPr>
          <w:rFonts w:hint="eastAsia" w:ascii="宋体" w:hAnsi="宋体" w:eastAsia="仿宋_GB2312"/>
          <w:kern w:val="2"/>
          <w:szCs w:val="20"/>
        </w:rPr>
        <w:t>、负责管理范围内水资源、水域、生态环境及水利工程或设施的保护工作</w:t>
      </w:r>
      <w:r>
        <w:rPr>
          <w:rFonts w:hint="eastAsia" w:ascii="宋体" w:hAnsi="宋体" w:eastAsia="仿宋_GB2312"/>
          <w:kern w:val="2"/>
          <w:sz w:val="44"/>
          <w:szCs w:val="44"/>
        </w:rPr>
        <w:t xml:space="preserve">   </w:t>
      </w:r>
    </w:p>
    <w:p>
      <w:pPr>
        <w:pStyle w:val="51"/>
        <w:ind w:left="818" w:leftChars="118" w:hanging="440" w:hangingChars="100"/>
        <w:rPr>
          <w:rFonts w:ascii="仿宋_GB2312" w:hAnsi="宋体" w:eastAsia="仿宋_GB2312"/>
          <w:b/>
          <w:kern w:val="2"/>
        </w:rPr>
      </w:pPr>
      <w:r>
        <w:rPr>
          <w:rFonts w:hint="eastAsia" w:ascii="宋体" w:hAnsi="宋体" w:eastAsia="仿宋_GB2312"/>
          <w:kern w:val="2"/>
          <w:sz w:val="44"/>
          <w:szCs w:val="44"/>
        </w:rPr>
        <w:t xml:space="preserve"> </w:t>
      </w:r>
      <w:r>
        <w:rPr>
          <w:rFonts w:hint="eastAsia" w:ascii="仿宋_GB2312" w:hAnsi="宋体" w:eastAsia="仿宋_GB2312"/>
          <w:b/>
          <w:kern w:val="2"/>
        </w:rPr>
        <w:t xml:space="preserve"> 二 机构设置             </w:t>
      </w:r>
    </w:p>
    <w:p>
      <w:pPr>
        <w:pStyle w:val="51"/>
        <w:ind w:left="1120" w:leftChars="200" w:hanging="480" w:hangingChars="150"/>
        <w:rPr>
          <w:rFonts w:ascii="仿宋_GB2312" w:hAnsi="宋体" w:eastAsia="仿宋_GB2312"/>
          <w:kern w:val="2"/>
          <w:sz w:val="44"/>
          <w:szCs w:val="44"/>
        </w:rPr>
      </w:pPr>
      <w:r>
        <w:rPr>
          <w:rFonts w:hint="eastAsia" w:ascii="仿宋_GB2312" w:hAnsi="宋体" w:eastAsia="仿宋_GB2312"/>
        </w:rPr>
        <w:t>1、通榆县兴隆水库工程管理所是水利局下属的事业单位，内设四个科室包括财务科、人事科、工程科、综合科。</w:t>
      </w:r>
    </w:p>
    <w:p>
      <w:pPr>
        <w:pStyle w:val="51"/>
        <w:ind w:firstLine="640" w:firstLineChars="200"/>
        <w:rPr>
          <w:rFonts w:ascii="仿宋_GB2312" w:hAnsi="宋体" w:eastAsia="仿宋_GB2312"/>
        </w:rPr>
      </w:pPr>
      <w:r>
        <w:rPr>
          <w:rFonts w:hint="eastAsia" w:ascii="仿宋_GB2312" w:hAnsi="宋体" w:eastAsia="仿宋_GB2312"/>
        </w:rPr>
        <w:t>2、人员编制情况</w:t>
      </w:r>
    </w:p>
    <w:p>
      <w:pPr>
        <w:pStyle w:val="51"/>
        <w:ind w:firstLine="1120" w:firstLineChars="350"/>
        <w:rPr>
          <w:rFonts w:ascii="仿宋_GB2312" w:hAnsi="宋体" w:eastAsia="仿宋_GB2312"/>
        </w:rPr>
      </w:pPr>
      <w:r>
        <w:rPr>
          <w:rFonts w:hint="eastAsia" w:ascii="仿宋_GB2312" w:hAnsi="宋体" w:eastAsia="仿宋_GB2312"/>
        </w:rPr>
        <w:t>本单位事业编制12人，在职10人。</w:t>
      </w:r>
    </w:p>
    <w:p>
      <w:pPr>
        <w:pStyle w:val="51"/>
        <w:ind w:firstLine="640" w:firstLineChars="200"/>
        <w:rPr>
          <w:rFonts w:ascii="仿宋_GB2312" w:hAnsi="宋体" w:eastAsia="仿宋_GB2312"/>
        </w:rPr>
      </w:pPr>
      <w:r>
        <w:rPr>
          <w:rFonts w:hint="eastAsia" w:ascii="仿宋_GB2312" w:hAnsi="宋体" w:eastAsia="仿宋_GB2312"/>
        </w:rPr>
        <w:t>3、实有人员情况</w:t>
      </w:r>
    </w:p>
    <w:p>
      <w:pPr>
        <w:pStyle w:val="51"/>
        <w:ind w:firstLine="1120" w:firstLineChars="350"/>
        <w:rPr>
          <w:rFonts w:ascii="仿宋_GB2312" w:hAnsi="宋体" w:eastAsia="仿宋_GB2312"/>
        </w:rPr>
      </w:pPr>
      <w:r>
        <w:rPr>
          <w:rFonts w:hint="eastAsia" w:ascii="仿宋_GB2312" w:hAnsi="宋体" w:eastAsia="仿宋_GB2312"/>
        </w:rPr>
        <w:t>事业在职10人，离休0人，退休1人。</w:t>
      </w:r>
    </w:p>
    <w:p>
      <w:pPr>
        <w:pStyle w:val="51"/>
        <w:ind w:firstLine="640" w:firstLineChars="200"/>
        <w:rPr>
          <w:rFonts w:ascii="仿宋_GB2312" w:hAnsi="仿宋_GB2312" w:eastAsia="仿宋_GB2312" w:cs="仿宋_GB2312"/>
        </w:rPr>
      </w:pPr>
    </w:p>
    <w:p>
      <w:pP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18.55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104.37</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10.26</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5.96</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二十、住房保障支出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rPr>
              <w:t>139.14</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188" w:type="dxa"/>
        <w:jc w:val="center"/>
        <w:tblLayout w:type="fixed"/>
        <w:tblCellMar>
          <w:top w:w="0" w:type="dxa"/>
          <w:left w:w="108" w:type="dxa"/>
          <w:bottom w:w="0" w:type="dxa"/>
          <w:right w:w="108" w:type="dxa"/>
        </w:tblCellMar>
      </w:tblPr>
      <w:tblGrid>
        <w:gridCol w:w="688"/>
        <w:gridCol w:w="370"/>
        <w:gridCol w:w="804"/>
        <w:gridCol w:w="791"/>
        <w:gridCol w:w="865"/>
        <w:gridCol w:w="314"/>
        <w:gridCol w:w="242"/>
        <w:gridCol w:w="236"/>
        <w:gridCol w:w="416"/>
        <w:gridCol w:w="92"/>
        <w:gridCol w:w="324"/>
        <w:gridCol w:w="416"/>
        <w:gridCol w:w="321"/>
        <w:gridCol w:w="95"/>
        <w:gridCol w:w="290"/>
        <w:gridCol w:w="126"/>
        <w:gridCol w:w="20"/>
        <w:gridCol w:w="396"/>
        <w:gridCol w:w="135"/>
        <w:gridCol w:w="281"/>
        <w:gridCol w:w="250"/>
        <w:gridCol w:w="166"/>
        <w:gridCol w:w="416"/>
        <w:gridCol w:w="416"/>
        <w:gridCol w:w="416"/>
        <w:gridCol w:w="302"/>
      </w:tblGrid>
      <w:tr>
        <w:tblPrEx>
          <w:tblCellMar>
            <w:top w:w="0" w:type="dxa"/>
            <w:left w:w="108" w:type="dxa"/>
            <w:bottom w:w="0" w:type="dxa"/>
            <w:right w:w="108" w:type="dxa"/>
          </w:tblCellMar>
        </w:tblPrEx>
        <w:trPr>
          <w:trHeight w:val="441" w:hRule="atLeast"/>
          <w:jc w:val="center"/>
        </w:trPr>
        <w:tc>
          <w:tcPr>
            <w:tcW w:w="688" w:type="dxa"/>
            <w:tcBorders>
              <w:bottom w:val="single" w:color="000000" w:sz="4" w:space="0"/>
            </w:tcBorders>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3"/>
            <w:vAlign w:val="center"/>
          </w:tcPr>
          <w:p>
            <w:pPr>
              <w:autoSpaceDN w:val="0"/>
              <w:jc w:val="left"/>
              <w:textAlignment w:val="center"/>
              <w:rPr>
                <w:rFonts w:eastAsia="华文细黑"/>
                <w:color w:val="000000"/>
                <w:sz w:val="20"/>
              </w:rPr>
            </w:pPr>
          </w:p>
        </w:tc>
        <w:tc>
          <w:tcPr>
            <w:tcW w:w="53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527" w:hRule="atLeast"/>
          <w:jc w:val="center"/>
        </w:trPr>
        <w:tc>
          <w:tcPr>
            <w:tcW w:w="105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804"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402"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924" w:type="dxa"/>
            <w:gridSpan w:val="11"/>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804"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31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23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302"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058" w:type="dxa"/>
            <w:gridSpan w:val="2"/>
            <w:tcBorders>
              <w:left w:val="single" w:color="000000" w:sz="4" w:space="0"/>
              <w:right w:val="single" w:color="000000" w:sz="4" w:space="0"/>
            </w:tcBorders>
            <w:vAlign w:val="center"/>
          </w:tcPr>
          <w:p>
            <w:pPr>
              <w:widowControl/>
              <w:jc w:val="left"/>
              <w:rPr>
                <w:rFonts w:hint="eastAsia" w:eastAsia="宋体"/>
                <w:color w:val="000000"/>
                <w:sz w:val="20"/>
                <w:lang w:val="en-US" w:eastAsia="zh-CN"/>
              </w:rPr>
            </w:pPr>
            <w:r>
              <w:rPr>
                <w:rFonts w:hint="eastAsia" w:eastAsia="宋体"/>
                <w:color w:val="000000"/>
                <w:sz w:val="20"/>
              </w:rPr>
              <w:t>通榆县</w:t>
            </w:r>
            <w:r>
              <w:rPr>
                <w:rFonts w:hint="eastAsia" w:eastAsia="宋体"/>
                <w:color w:val="000000"/>
                <w:sz w:val="20"/>
                <w:lang w:eastAsia="zh-CN"/>
              </w:rPr>
              <w:t>胜利水库工程管理所</w:t>
            </w:r>
          </w:p>
        </w:tc>
        <w:tc>
          <w:tcPr>
            <w:tcW w:w="80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139.14</w:t>
            </w:r>
          </w:p>
        </w:tc>
        <w:tc>
          <w:tcPr>
            <w:tcW w:w="79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139.14</w:t>
            </w:r>
          </w:p>
        </w:tc>
        <w:tc>
          <w:tcPr>
            <w:tcW w:w="865"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139.14</w:t>
            </w:r>
          </w:p>
        </w:tc>
        <w:tc>
          <w:tcPr>
            <w:tcW w:w="314"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242"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36"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02"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05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0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139.14</w:t>
            </w:r>
          </w:p>
        </w:tc>
        <w:tc>
          <w:tcPr>
            <w:tcW w:w="7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139.14</w:t>
            </w:r>
          </w:p>
        </w:tc>
        <w:tc>
          <w:tcPr>
            <w:tcW w:w="865"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139.14</w:t>
            </w:r>
          </w:p>
        </w:tc>
        <w:tc>
          <w:tcPr>
            <w:tcW w:w="314"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4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36"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0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r>
                    <w:rPr>
                      <w:rFonts w:hint="eastAsia" w:ascii="宋体" w:hAnsi="宋体" w:eastAsia="宋体" w:cs="宋体"/>
                      <w:color w:val="000000"/>
                      <w:kern w:val="0"/>
                      <w:sz w:val="20"/>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18.55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18.55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14.91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14.91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3.64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3.64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r>
                    <w:rPr>
                      <w:rFonts w:hint="eastAsia" w:ascii="宋体" w:hAnsi="宋体" w:eastAsia="宋体" w:cs="宋体"/>
                      <w:color w:val="000000"/>
                      <w:kern w:val="0"/>
                      <w:sz w:val="20"/>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r>
                    <w:rPr>
                      <w:rFonts w:hint="eastAsia" w:ascii="宋体" w:hAnsi="宋体" w:eastAsia="宋体" w:cs="宋体"/>
                      <w:color w:val="000000"/>
                      <w:kern w:val="0"/>
                      <w:sz w:val="20"/>
                    </w:rPr>
                    <w:t xml:space="preserve">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numPr>
                      <w:ilvl w:val="0"/>
                      <w:numId w:val="1"/>
                    </w:numPr>
                    <w:jc w:val="left"/>
                    <w:rPr>
                      <w:rFonts w:ascii="宋体" w:hAnsi="宋体" w:eastAsia="宋体" w:cs="宋体"/>
                      <w:color w:val="000000"/>
                      <w:kern w:val="0"/>
                      <w:sz w:val="20"/>
                    </w:rPr>
                  </w:pPr>
                  <w:r>
                    <w:rPr>
                      <w:rFonts w:hint="eastAsia" w:ascii="宋体" w:hAnsi="宋体" w:eastAsia="宋体" w:cs="宋体"/>
                      <w:color w:val="000000"/>
                      <w:kern w:val="0"/>
                      <w:sz w:val="20"/>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水利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水土保持</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r>
                    <w:rPr>
                      <w:rFonts w:hint="eastAsia" w:ascii="宋体" w:hAnsi="宋体" w:eastAsia="宋体" w:cs="宋体"/>
                      <w:color w:val="000000"/>
                      <w:kern w:val="0"/>
                      <w:sz w:val="20"/>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kern w:val="0"/>
                      <w:sz w:val="20"/>
                    </w:rPr>
                    <w:t>139.14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kern w:val="0"/>
                      <w:sz w:val="20"/>
                    </w:rPr>
                    <w:t>139.14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rPr>
          <w:rFonts w:hAnsi="楷体" w:eastAsia="楷体"/>
        </w:rPr>
      </w:pPr>
    </w:p>
    <w:tbl>
      <w:tblPr>
        <w:tblStyle w:val="9"/>
        <w:tblW w:w="0" w:type="auto"/>
        <w:jc w:val="center"/>
        <w:tblLayout w:type="autofit"/>
        <w:tblCellMar>
          <w:top w:w="0" w:type="dxa"/>
          <w:left w:w="108" w:type="dxa"/>
          <w:bottom w:w="0" w:type="dxa"/>
          <w:right w:w="108" w:type="dxa"/>
        </w:tblCellMar>
      </w:tblPr>
      <w:tblGrid>
        <w:gridCol w:w="8947"/>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center"/>
          </w:tcPr>
          <w:tbl>
            <w:tblPr>
              <w:tblStyle w:val="9"/>
              <w:tblpPr w:leftFromText="180" w:rightFromText="180" w:vertAnchor="page" w:horzAnchor="page" w:tblpX="114" w:tblpY="657"/>
              <w:tblOverlap w:val="never"/>
              <w:tblW w:w="5000" w:type="pct"/>
              <w:tblInd w:w="0" w:type="dxa"/>
              <w:tblLayout w:type="autofit"/>
              <w:tblCellMar>
                <w:top w:w="0" w:type="dxa"/>
                <w:left w:w="108" w:type="dxa"/>
                <w:bottom w:w="0" w:type="dxa"/>
                <w:right w:w="108" w:type="dxa"/>
              </w:tblCellMar>
            </w:tblPr>
            <w:tblGrid>
              <w:gridCol w:w="1282"/>
              <w:gridCol w:w="978"/>
              <w:gridCol w:w="842"/>
              <w:gridCol w:w="601"/>
              <w:gridCol w:w="1346"/>
              <w:gridCol w:w="978"/>
              <w:gridCol w:w="842"/>
              <w:gridCol w:w="599"/>
              <w:gridCol w:w="599"/>
              <w:gridCol w:w="664"/>
            </w:tblGrid>
            <w:tr>
              <w:tblPrEx>
                <w:tblCellMar>
                  <w:top w:w="0" w:type="dxa"/>
                  <w:left w:w="108" w:type="dxa"/>
                  <w:bottom w:w="0" w:type="dxa"/>
                  <w:right w:w="108" w:type="dxa"/>
                </w:tblCellMar>
              </w:tblPrEx>
              <w:trPr>
                <w:trHeight w:val="663" w:hRule="atLeast"/>
              </w:trPr>
              <w:tc>
                <w:tcPr>
                  <w:tcW w:w="5000" w:type="pct"/>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5000" w:type="pct"/>
                  <w:gridSpan w:val="10"/>
                  <w:tcBorders>
                    <w:top w:val="nil"/>
                    <w:left w:val="nil"/>
                    <w:bottom w:val="nil"/>
                    <w:right w:val="nil"/>
                  </w:tcBorders>
                  <w:vAlign w:val="bottom"/>
                </w:tcPr>
                <w:p>
                  <w:pPr>
                    <w:widowControl/>
                    <w:jc w:val="center"/>
                    <w:rPr>
                      <w:rFonts w:eastAsia="华文细黑"/>
                      <w:color w:val="000000"/>
                      <w:kern w:val="0"/>
                      <w:sz w:val="20"/>
                    </w:rPr>
                  </w:pP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2121" w:type="pct"/>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2878" w:type="pct"/>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735" w:type="pct"/>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560" w:type="pct"/>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482" w:type="pct"/>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343" w:type="pct"/>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771" w:type="pct"/>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560" w:type="pct"/>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825"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721"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735"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560"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482"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343"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771"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560"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34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34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37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521" w:hRule="atLeast"/>
              </w:trPr>
              <w:tc>
                <w:tcPr>
                  <w:tcW w:w="735"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一、本年收入</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343"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一、一般公共服务支出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735"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一般公共预算拨款</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139.14</w:t>
                  </w: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二、公共安全支出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bookmarkEnd w:id="0"/>
            <w:tr>
              <w:tblPrEx>
                <w:tblCellMar>
                  <w:top w:w="0" w:type="dxa"/>
                  <w:left w:w="108" w:type="dxa"/>
                  <w:bottom w:w="0" w:type="dxa"/>
                  <w:right w:w="108" w:type="dxa"/>
                </w:tblCellMar>
              </w:tblPrEx>
              <w:trPr>
                <w:trHeight w:val="528" w:hRule="atLeast"/>
              </w:trPr>
              <w:tc>
                <w:tcPr>
                  <w:tcW w:w="735"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政府性基金预算拨款</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三、教育支出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735"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国有资本经营预算拨款</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四、科学技术支出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shd w:val="solid" w:color="FFFFFF" w:fill="auto"/>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shd w:val="solid" w:color="FFFFFF" w:fill="auto"/>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18.55</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18.55</w:t>
                  </w: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5.96</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5.96</w:t>
                  </w: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八、节能环保支出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九、城乡社区事务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十、农林水事务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104.37</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104.37</w:t>
                  </w: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十一、交通运输</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十六、住房保障支出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10.26</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10.26</w:t>
                  </w: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十八、储备事务支出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Cs/>
                      <w:kern w:val="0"/>
                      <w:sz w:val="20"/>
                    </w:rPr>
                  </w:pPr>
                  <w:r>
                    <w:rPr>
                      <w:rFonts w:hint="eastAsia" w:ascii="宋体" w:hAnsi="宋体" w:eastAsia="宋体" w:cs="宋体"/>
                      <w:bCs/>
                      <w:kern w:val="0"/>
                      <w:sz w:val="20"/>
                    </w:rPr>
                    <w:t>二十、其他支出</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139.14</w:t>
                  </w: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735"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bCs/>
                      <w:kern w:val="0"/>
                      <w:sz w:val="20"/>
                    </w:rPr>
                  </w:pPr>
                  <w:r>
                    <w:rPr>
                      <w:rFonts w:hint="eastAsia" w:eastAsia="宋体"/>
                      <w:bCs/>
                      <w:kern w:val="0"/>
                      <w:sz w:val="20"/>
                    </w:rPr>
                    <w:t>财政拨款结转</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kern w:val="0"/>
                      <w:sz w:val="20"/>
                    </w:rPr>
                    <w:t>结转下年</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735"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r>
                    <w:rPr>
                      <w:rFonts w:eastAsia="宋体"/>
                      <w:sz w:val="20"/>
                    </w:rPr>
                    <w:t>一般公共预算拨款</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735"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r>
                    <w:rPr>
                      <w:rFonts w:eastAsia="宋体"/>
                      <w:sz w:val="20"/>
                    </w:rPr>
                    <w:t>政府性基金预算拨款</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735"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r>
                    <w:rPr>
                      <w:rFonts w:hint="eastAsia" w:eastAsia="宋体"/>
                      <w:sz w:val="20"/>
                    </w:rPr>
                    <w:t>国有资本经营预算拨款</w:t>
                  </w:r>
                </w:p>
              </w:tc>
              <w:tc>
                <w:tcPr>
                  <w:tcW w:w="560"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343"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560"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482" w:type="pct"/>
                  <w:tcBorders>
                    <w:top w:val="single" w:color="auto" w:sz="4" w:space="0"/>
                    <w:left w:val="single" w:color="auto" w:sz="4" w:space="0"/>
                    <w:bottom w:val="single" w:color="auto" w:sz="4" w:space="0"/>
                    <w:right w:val="single" w:color="auto" w:sz="4" w:space="0"/>
                  </w:tcBorders>
                  <w:vAlign w:val="center"/>
                </w:tcPr>
                <w:p>
                  <w:pPr>
                    <w:ind w:firstLine="200" w:firstLineChars="100"/>
                    <w:jc w:val="center"/>
                    <w:rPr>
                      <w:rFonts w:eastAsia="宋体"/>
                      <w:sz w:val="20"/>
                    </w:rPr>
                  </w:pPr>
                </w:p>
              </w:tc>
              <w:tc>
                <w:tcPr>
                  <w:tcW w:w="343" w:type="pct"/>
                  <w:tcBorders>
                    <w:top w:val="single" w:color="auto" w:sz="4" w:space="0"/>
                    <w:left w:val="single" w:color="auto" w:sz="4" w:space="0"/>
                    <w:bottom w:val="single" w:color="auto" w:sz="4" w:space="0"/>
                    <w:right w:val="single" w:color="auto" w:sz="4" w:space="0"/>
                  </w:tcBorders>
                </w:tcPr>
                <w:p>
                  <w:pPr>
                    <w:ind w:firstLine="200" w:firstLineChars="100"/>
                    <w:jc w:val="center"/>
                    <w:rPr>
                      <w:rFonts w:eastAsia="宋体"/>
                      <w:sz w:val="20"/>
                    </w:rPr>
                  </w:pPr>
                </w:p>
              </w:tc>
              <w:tc>
                <w:tcPr>
                  <w:tcW w:w="343" w:type="pct"/>
                  <w:tcBorders>
                    <w:top w:val="single" w:color="auto" w:sz="4" w:space="0"/>
                    <w:left w:val="single" w:color="auto" w:sz="4" w:space="0"/>
                    <w:bottom w:val="single" w:color="auto" w:sz="4" w:space="0"/>
                    <w:right w:val="single" w:color="auto" w:sz="4" w:space="0"/>
                  </w:tcBorders>
                </w:tcPr>
                <w:p>
                  <w:pPr>
                    <w:ind w:firstLine="200" w:firstLineChars="100"/>
                    <w:jc w:val="center"/>
                    <w:rPr>
                      <w:rFonts w:eastAsia="宋体"/>
                      <w:sz w:val="20"/>
                    </w:rPr>
                  </w:pPr>
                </w:p>
              </w:tc>
              <w:tc>
                <w:tcPr>
                  <w:tcW w:w="378" w:type="pct"/>
                  <w:tcBorders>
                    <w:top w:val="single" w:color="auto" w:sz="4" w:space="0"/>
                    <w:left w:val="single" w:color="auto" w:sz="4" w:space="0"/>
                    <w:bottom w:val="single" w:color="auto" w:sz="4" w:space="0"/>
                    <w:right w:val="single" w:color="auto" w:sz="4" w:space="0"/>
                  </w:tcBorders>
                </w:tcPr>
                <w:p>
                  <w:pPr>
                    <w:ind w:firstLine="200" w:firstLineChars="100"/>
                    <w:jc w:val="center"/>
                    <w:rPr>
                      <w:rFonts w:eastAsia="宋体"/>
                      <w:sz w:val="20"/>
                    </w:rPr>
                  </w:pPr>
                </w:p>
              </w:tc>
            </w:tr>
            <w:tr>
              <w:tblPrEx>
                <w:tblCellMar>
                  <w:top w:w="0" w:type="dxa"/>
                  <w:left w:w="108" w:type="dxa"/>
                  <w:bottom w:w="0" w:type="dxa"/>
                  <w:right w:w="108" w:type="dxa"/>
                </w:tblCellMar>
              </w:tblPrEx>
              <w:trPr>
                <w:trHeight w:val="471" w:hRule="atLeast"/>
              </w:trPr>
              <w:tc>
                <w:tcPr>
                  <w:tcW w:w="735"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bookmarkStart w:id="1" w:name="_GoBack" w:colFirst="6" w:colLast="6"/>
                  <w:r>
                    <w:rPr>
                      <w:rFonts w:eastAsia="黑体"/>
                      <w:b/>
                      <w:bCs/>
                      <w:kern w:val="0"/>
                      <w:sz w:val="20"/>
                    </w:rPr>
                    <w:t>收入总计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宋体"/>
                      <w:kern w:val="0"/>
                      <w:sz w:val="20"/>
                    </w:rPr>
                    <w:t>139.14</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宋体"/>
                      <w:kern w:val="0"/>
                      <w:sz w:val="20"/>
                    </w:rPr>
                    <w:t>139.14</w:t>
                  </w:r>
                </w:p>
              </w:tc>
              <w:tc>
                <w:tcPr>
                  <w:tcW w:w="343"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560"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482" w:type="pct"/>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139.14</w:t>
                  </w: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43"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378" w:type="pct"/>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r>
                    <w:rPr>
                      <w:rFonts w:hint="eastAsia" w:ascii="宋体" w:hAnsi="宋体" w:eastAsia="宋体" w:cs="宋体"/>
                      <w:color w:val="000000"/>
                      <w:kern w:val="0"/>
                      <w:sz w:val="20"/>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18.55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14.91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14.91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3.64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3.64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3.64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r>
                    <w:rPr>
                      <w:rFonts w:hint="eastAsia" w:ascii="宋体" w:hAnsi="宋体" w:eastAsia="宋体" w:cs="宋体"/>
                      <w:color w:val="000000"/>
                      <w:kern w:val="0"/>
                      <w:sz w:val="20"/>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r>
                    <w:rPr>
                      <w:rFonts w:hint="eastAsia" w:ascii="宋体" w:hAnsi="宋体" w:eastAsia="宋体" w:cs="宋体"/>
                      <w:color w:val="000000"/>
                      <w:kern w:val="0"/>
                      <w:sz w:val="20"/>
                    </w:rPr>
                    <w:t xml:space="preserve">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numPr>
                      <w:ilvl w:val="0"/>
                      <w:numId w:val="1"/>
                    </w:numPr>
                    <w:jc w:val="left"/>
                    <w:rPr>
                      <w:rFonts w:ascii="宋体" w:hAnsi="宋体" w:eastAsia="宋体" w:cs="宋体"/>
                      <w:color w:val="000000"/>
                      <w:kern w:val="0"/>
                      <w:sz w:val="20"/>
                    </w:rPr>
                  </w:pPr>
                  <w:r>
                    <w:rPr>
                      <w:rFonts w:hint="eastAsia" w:ascii="宋体" w:hAnsi="宋体" w:eastAsia="宋体" w:cs="宋体"/>
                      <w:color w:val="000000"/>
                      <w:kern w:val="0"/>
                      <w:sz w:val="20"/>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eastAsia="宋体"/>
                      <w:color w:val="000000"/>
                      <w:kern w:val="0"/>
                      <w:sz w:val="20"/>
                    </w:rPr>
                  </w:pPr>
                  <w:r>
                    <w:rPr>
                      <w:rFonts w:hint="eastAsia" w:eastAsia="宋体"/>
                      <w:color w:val="000000"/>
                      <w:kern w:val="0"/>
                      <w:sz w:val="20"/>
                    </w:rPr>
                    <w:t>94.77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水利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104.37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rPr>
                    <w:t>94.77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水土保持</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r>
                    <w:rPr>
                      <w:rFonts w:hint="eastAsia" w:ascii="宋体" w:hAnsi="宋体" w:eastAsia="宋体" w:cs="宋体"/>
                      <w:color w:val="000000"/>
                      <w:kern w:val="0"/>
                      <w:sz w:val="20"/>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ascii="宋体" w:hAnsi="宋体" w:eastAsia="宋体" w:cs="宋体"/>
                      <w:color w:val="000000"/>
                      <w:kern w:val="0"/>
                      <w:sz w:val="20"/>
                    </w:rPr>
                  </w:pPr>
                  <w:r>
                    <w:rPr>
                      <w:rFonts w:hint="eastAsia" w:ascii="宋体" w:hAnsi="宋体" w:eastAsia="宋体" w:cs="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ascii="宋体" w:hAnsi="宋体" w:eastAsia="宋体" w:cs="宋体"/>
                      <w:color w:val="000000"/>
                      <w:kern w:val="0"/>
                      <w:sz w:val="20"/>
                    </w:rPr>
                  </w:pPr>
                  <w:r>
                    <w:rPr>
                      <w:rFonts w:hint="eastAsia" w:ascii="宋体" w:hAnsi="宋体" w:eastAsia="宋体" w:cs="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10.26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kern w:val="0"/>
                      <w:sz w:val="20"/>
                    </w:rPr>
                    <w:t>139.14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ascii="宋体" w:hAnsi="宋体" w:eastAsia="宋体" w:cs="宋体"/>
                      <w:color w:val="000000"/>
                      <w:kern w:val="0"/>
                      <w:sz w:val="20"/>
                    </w:rPr>
                  </w:pPr>
                  <w:r>
                    <w:rPr>
                      <w:rFonts w:hint="eastAsia" w:ascii="宋体" w:hAnsi="宋体" w:eastAsia="宋体" w:cs="宋体"/>
                      <w:kern w:val="0"/>
                      <w:sz w:val="20"/>
                    </w:rPr>
                    <w:t>139.14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right="100"/>
                    <w:jc w:val="right"/>
                    <w:rPr>
                      <w:rFonts w:eastAsia="宋体"/>
                      <w:color w:val="000000"/>
                      <w:kern w:val="0"/>
                      <w:sz w:val="20"/>
                    </w:rPr>
                  </w:pPr>
                  <w:r>
                    <w:rPr>
                      <w:rFonts w:hint="eastAsia" w:eastAsia="宋体"/>
                      <w:color w:val="000000"/>
                      <w:kern w:val="0"/>
                      <w:sz w:val="20"/>
                    </w:rPr>
                    <w:t>129.54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r>
                    <w:rPr>
                      <w:rFonts w:hint="eastAsia" w:eastAsia="宋体"/>
                      <w:color w:val="000000"/>
                      <w:kern w:val="0"/>
                      <w:sz w:val="20"/>
                    </w:rPr>
                    <w:t>9.60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2792"/>
        <w:gridCol w:w="2220"/>
        <w:gridCol w:w="1704"/>
        <w:gridCol w:w="1831"/>
      </w:tblGrid>
      <w:tr>
        <w:tblPrEx>
          <w:tblCellMar>
            <w:top w:w="0" w:type="dxa"/>
            <w:left w:w="108" w:type="dxa"/>
            <w:bottom w:w="0" w:type="dxa"/>
            <w:right w:w="108" w:type="dxa"/>
          </w:tblCellMar>
        </w:tblPrEx>
        <w:trPr>
          <w:trHeight w:val="615" w:hRule="atLeast"/>
          <w:jc w:val="center"/>
        </w:trPr>
        <w:tc>
          <w:tcPr>
            <w:tcW w:w="8547"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2792"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2792"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129.00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129.00</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59.11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59.11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3.35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3.35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3.82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3.82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27.11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27.11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14.91</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kern w:val="0"/>
                <w:sz w:val="20"/>
              </w:rPr>
              <w:t>14.91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医疗保障缴费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5.96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5.96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4.48</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4.48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10.26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10.26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9.60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9.60</w:t>
            </w: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2.00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2.00</w:t>
            </w: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rPr>
              <w:t>取暖费</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1.00</w:t>
            </w: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1.00</w:t>
            </w: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 xml:space="preserve">    差旅费</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0.20</w:t>
            </w: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0.20</w:t>
            </w: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 xml:space="preserve">    维修费</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5.00</w:t>
            </w: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5.00</w:t>
            </w: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 xml:space="preserve">    其他商品费</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1.40</w:t>
            </w: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1.40</w:t>
            </w: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 xml:space="preserve">    </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三、对个人和家庭的补助</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sz w:val="20"/>
              </w:rPr>
              <w:t>0.54</w:t>
            </w: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0.54</w:t>
            </w: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 xml:space="preserve">   退休费</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r>
              <w:rPr>
                <w:rFonts w:hint="eastAsia" w:asciiTheme="minorEastAsia" w:hAnsiTheme="minorEastAsia" w:eastAsiaTheme="minorEastAsia" w:cstheme="minorEastAsia"/>
                <w:sz w:val="20"/>
              </w:rPr>
              <w:t>0.54</w:t>
            </w: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0.54</w:t>
            </w: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四、资本性支出</w:t>
            </w:r>
          </w:p>
        </w:tc>
        <w:tc>
          <w:tcPr>
            <w:tcW w:w="2220"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kern w:val="0"/>
                <w:sz w:val="20"/>
              </w:rPr>
            </w:pPr>
          </w:p>
        </w:tc>
        <w:tc>
          <w:tcPr>
            <w:tcW w:w="1704"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c>
          <w:tcPr>
            <w:tcW w:w="1831" w:type="dxa"/>
            <w:tcBorders>
              <w:top w:val="single" w:color="auto" w:sz="4" w:space="0"/>
              <w:left w:val="single" w:color="auto" w:sz="4" w:space="0"/>
              <w:bottom w:val="single" w:color="auto" w:sz="4" w:space="0"/>
              <w:right w:val="single" w:color="auto" w:sz="4" w:space="0"/>
            </w:tcBorders>
          </w:tcPr>
          <w:p>
            <w:pPr>
              <w:widowControl/>
              <w:jc w:val="right"/>
              <w:rPr>
                <w:rFonts w:asciiTheme="minorEastAsia" w:hAnsiTheme="minorEastAsia" w:eastAsiaTheme="minorEastAsia" w:cstheme="minorEastAsia"/>
                <w:sz w:val="20"/>
              </w:rPr>
            </w:pPr>
          </w:p>
        </w:tc>
      </w:tr>
      <w:tr>
        <w:tblPrEx>
          <w:tblCellMar>
            <w:top w:w="0" w:type="dxa"/>
            <w:left w:w="108" w:type="dxa"/>
            <w:bottom w:w="0" w:type="dxa"/>
            <w:right w:w="108" w:type="dxa"/>
          </w:tblCellMar>
        </w:tblPrEx>
        <w:trPr>
          <w:trHeight w:val="600" w:hRule="atLeast"/>
          <w:jc w:val="center"/>
        </w:trPr>
        <w:tc>
          <w:tcPr>
            <w:tcW w:w="2792"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eastAsia="宋体"/>
                <w:color w:val="000000"/>
                <w:kern w:val="0"/>
                <w:sz w:val="20"/>
              </w:rPr>
            </w:pPr>
            <w:r>
              <w:rPr>
                <w:rFonts w:hint="eastAsia" w:eastAsia="宋体"/>
                <w:color w:val="000000"/>
                <w:kern w:val="0"/>
                <w:sz w:val="20"/>
              </w:rPr>
              <w:t xml:space="preserve">    办公设备购置</w:t>
            </w:r>
          </w:p>
        </w:tc>
        <w:tc>
          <w:tcPr>
            <w:tcW w:w="2220" w:type="dxa"/>
            <w:tcBorders>
              <w:top w:val="single" w:color="auto" w:sz="4" w:space="0"/>
              <w:left w:val="single" w:color="auto" w:sz="4" w:space="0"/>
              <w:bottom w:val="single" w:color="auto" w:sz="4" w:space="0"/>
              <w:right w:val="single" w:color="auto" w:sz="4" w:space="0"/>
            </w:tcBorders>
          </w:tcPr>
          <w:p>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sz w:val="20"/>
              </w:rPr>
              <w:t xml:space="preserve">            </w:t>
            </w:r>
          </w:p>
        </w:tc>
        <w:tc>
          <w:tcPr>
            <w:tcW w:w="1704" w:type="dxa"/>
            <w:tcBorders>
              <w:top w:val="single" w:color="auto" w:sz="4" w:space="0"/>
              <w:left w:val="single" w:color="auto" w:sz="4" w:space="0"/>
              <w:bottom w:val="single" w:color="auto" w:sz="4" w:space="0"/>
              <w:right w:val="single" w:color="auto" w:sz="4" w:space="0"/>
            </w:tcBorders>
          </w:tcPr>
          <w:p>
            <w:pPr>
              <w:widowControl/>
              <w:jc w:val="center"/>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            </w:t>
            </w:r>
          </w:p>
        </w:tc>
        <w:tc>
          <w:tcPr>
            <w:tcW w:w="1831" w:type="dxa"/>
            <w:tcBorders>
              <w:top w:val="single" w:color="auto" w:sz="4" w:space="0"/>
              <w:left w:val="single" w:color="auto" w:sz="4" w:space="0"/>
              <w:bottom w:val="single" w:color="auto" w:sz="4" w:space="0"/>
              <w:right w:val="single" w:color="auto" w:sz="4" w:space="0"/>
            </w:tcBorders>
          </w:tcPr>
          <w:p>
            <w:pPr>
              <w:widowControl/>
              <w:jc w:val="center"/>
              <w:rPr>
                <w:rFonts w:asciiTheme="minorEastAsia" w:hAnsiTheme="minorEastAsia" w:eastAsiaTheme="minorEastAsia" w:cstheme="minorEastAsia"/>
                <w:sz w:val="20"/>
              </w:rPr>
            </w:pPr>
            <w:r>
              <w:rPr>
                <w:rFonts w:hint="eastAsia" w:asciiTheme="minorEastAsia" w:hAnsiTheme="minorEastAsia" w:eastAsiaTheme="minorEastAsia" w:cstheme="minorEastAsia"/>
                <w:sz w:val="20"/>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hint="eastAsia" w:eastAsia="宋体"/>
                <w:color w:val="000000"/>
                <w:kern w:val="0"/>
                <w:sz w:val="28"/>
                <w:szCs w:val="28"/>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rPr>
              <w:t>11</w:t>
            </w:r>
            <w:r>
              <w:rPr>
                <w:color w:val="000000"/>
                <w:kern w:val="0"/>
                <w:sz w:val="28"/>
                <w:szCs w:val="28"/>
              </w:rPr>
              <w:t>人，其中：在职人员</w:t>
            </w:r>
            <w:r>
              <w:rPr>
                <w:rFonts w:hint="eastAsia" w:eastAsia="宋体"/>
                <w:color w:val="000000"/>
                <w:kern w:val="0"/>
                <w:sz w:val="28"/>
                <w:szCs w:val="28"/>
              </w:rPr>
              <w:t>10</w:t>
            </w:r>
            <w:r>
              <w:rPr>
                <w:color w:val="000000"/>
                <w:kern w:val="0"/>
                <w:sz w:val="28"/>
                <w:szCs w:val="28"/>
              </w:rPr>
              <w:t>人，离退休人员</w:t>
            </w:r>
            <w:r>
              <w:rPr>
                <w:rFonts w:hint="eastAsia" w:eastAsia="宋体"/>
                <w:color w:val="000000"/>
                <w:kern w:val="0"/>
                <w:sz w:val="28"/>
                <w:szCs w:val="28"/>
              </w:rPr>
              <w:t>1</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hint="eastAsia"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hint="eastAsia"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hint="eastAsia" w:ascii="Calibri" w:hAnsi="Calibri" w:eastAsia="华文细黑"/>
                <w:color w:val="000000"/>
                <w:sz w:val="20"/>
                <w:szCs w:val="22"/>
              </w:rPr>
            </w:pPr>
          </w:p>
        </w:tc>
        <w:tc>
          <w:tcPr>
            <w:tcW w:w="498" w:type="dxa"/>
            <w:vMerge w:val="continue"/>
            <w:vAlign w:val="center"/>
          </w:tcPr>
          <w:p>
            <w:pPr>
              <w:autoSpaceDN w:val="0"/>
              <w:jc w:val="center"/>
              <w:textAlignment w:val="center"/>
              <w:rPr>
                <w:rFonts w:hint="eastAsia" w:ascii="Calibri" w:hAnsi="Calibri" w:eastAsia="华文细黑"/>
                <w:color w:val="000000"/>
                <w:sz w:val="20"/>
                <w:szCs w:val="22"/>
              </w:rPr>
            </w:pPr>
          </w:p>
        </w:tc>
        <w:tc>
          <w:tcPr>
            <w:tcW w:w="55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hint="eastAsia" w:ascii="Calibri" w:hAnsi="Calibri" w:eastAsia="楷体"/>
                <w:kern w:val="0"/>
                <w:szCs w:val="32"/>
              </w:rPr>
            </w:pPr>
          </w:p>
        </w:tc>
        <w:tc>
          <w:tcPr>
            <w:tcW w:w="1063" w:type="dxa"/>
            <w:vAlign w:val="center"/>
          </w:tcPr>
          <w:p>
            <w:pPr>
              <w:spacing w:line="700" w:lineRule="exact"/>
              <w:jc w:val="center"/>
              <w:rPr>
                <w:rFonts w:hint="eastAsia" w:ascii="Calibri" w:hAnsi="Calibri" w:eastAsia="楷体"/>
                <w:kern w:val="0"/>
                <w:szCs w:val="32"/>
              </w:rPr>
            </w:pPr>
          </w:p>
        </w:tc>
        <w:tc>
          <w:tcPr>
            <w:tcW w:w="1107" w:type="dxa"/>
            <w:vAlign w:val="center"/>
          </w:tcPr>
          <w:p>
            <w:pPr>
              <w:spacing w:line="700" w:lineRule="exact"/>
              <w:jc w:val="center"/>
              <w:rPr>
                <w:rFonts w:hint="eastAsia" w:ascii="Calibri" w:hAnsi="Calibri" w:eastAsia="楷体"/>
                <w:kern w:val="0"/>
                <w:szCs w:val="32"/>
              </w:rPr>
            </w:pPr>
          </w:p>
        </w:tc>
        <w:tc>
          <w:tcPr>
            <w:tcW w:w="864" w:type="dxa"/>
            <w:vAlign w:val="center"/>
          </w:tcPr>
          <w:p>
            <w:pPr>
              <w:spacing w:line="700" w:lineRule="exact"/>
              <w:jc w:val="center"/>
              <w:rPr>
                <w:rFonts w:hint="eastAsia" w:ascii="Calibri" w:hAnsi="Calibri" w:eastAsia="楷体"/>
                <w:kern w:val="0"/>
                <w:szCs w:val="32"/>
              </w:rPr>
            </w:pPr>
          </w:p>
        </w:tc>
        <w:tc>
          <w:tcPr>
            <w:tcW w:w="498" w:type="dxa"/>
            <w:vAlign w:val="center"/>
          </w:tcPr>
          <w:p>
            <w:pPr>
              <w:spacing w:line="700" w:lineRule="exact"/>
              <w:jc w:val="center"/>
              <w:rPr>
                <w:rFonts w:hint="eastAsia" w:ascii="Calibri" w:hAnsi="Calibri" w:eastAsia="楷体"/>
                <w:kern w:val="0"/>
                <w:szCs w:val="32"/>
              </w:rPr>
            </w:pPr>
          </w:p>
        </w:tc>
        <w:tc>
          <w:tcPr>
            <w:tcW w:w="553" w:type="dxa"/>
            <w:vAlign w:val="center"/>
          </w:tcPr>
          <w:p>
            <w:pPr>
              <w:spacing w:line="700" w:lineRule="exact"/>
              <w:jc w:val="center"/>
              <w:rPr>
                <w:rFonts w:hint="eastAsia" w:ascii="Calibri" w:hAnsi="Calibri" w:eastAsia="楷体"/>
                <w:kern w:val="0"/>
                <w:szCs w:val="32"/>
              </w:rPr>
            </w:pPr>
          </w:p>
        </w:tc>
        <w:tc>
          <w:tcPr>
            <w:tcW w:w="554" w:type="dxa"/>
            <w:vAlign w:val="center"/>
          </w:tcPr>
          <w:p>
            <w:pPr>
              <w:spacing w:line="700" w:lineRule="exact"/>
              <w:jc w:val="center"/>
              <w:rPr>
                <w:rFonts w:hint="eastAsia" w:ascii="Calibri" w:hAnsi="Calibri" w:eastAsia="楷体"/>
                <w:kern w:val="0"/>
                <w:szCs w:val="32"/>
              </w:rPr>
            </w:pPr>
          </w:p>
        </w:tc>
        <w:tc>
          <w:tcPr>
            <w:tcW w:w="521" w:type="dxa"/>
            <w:vAlign w:val="center"/>
          </w:tcPr>
          <w:p>
            <w:pPr>
              <w:spacing w:line="700" w:lineRule="exact"/>
              <w:jc w:val="center"/>
              <w:rPr>
                <w:rFonts w:hint="eastAsia" w:ascii="Calibri" w:hAnsi="Calibri" w:eastAsia="楷体"/>
                <w:kern w:val="0"/>
                <w:szCs w:val="32"/>
              </w:rPr>
            </w:pPr>
          </w:p>
        </w:tc>
        <w:tc>
          <w:tcPr>
            <w:tcW w:w="564" w:type="dxa"/>
            <w:vAlign w:val="center"/>
          </w:tcPr>
          <w:p>
            <w:pPr>
              <w:spacing w:line="700" w:lineRule="exact"/>
              <w:jc w:val="center"/>
              <w:rPr>
                <w:rFonts w:hint="eastAsia" w:ascii="Calibri" w:hAnsi="Calibri" w:eastAsia="楷体"/>
                <w:kern w:val="0"/>
                <w:szCs w:val="32"/>
              </w:rPr>
            </w:pPr>
          </w:p>
        </w:tc>
        <w:tc>
          <w:tcPr>
            <w:tcW w:w="532" w:type="dxa"/>
            <w:vAlign w:val="center"/>
          </w:tcPr>
          <w:p>
            <w:pPr>
              <w:spacing w:line="700" w:lineRule="exact"/>
              <w:jc w:val="center"/>
              <w:rPr>
                <w:rFonts w:hint="eastAsia" w:ascii="Calibri" w:hAnsi="Calibri" w:eastAsia="楷体"/>
                <w:kern w:val="0"/>
                <w:szCs w:val="32"/>
              </w:rPr>
            </w:pPr>
          </w:p>
        </w:tc>
        <w:tc>
          <w:tcPr>
            <w:tcW w:w="598" w:type="dxa"/>
            <w:vAlign w:val="center"/>
          </w:tcPr>
          <w:p>
            <w:pPr>
              <w:spacing w:line="700" w:lineRule="exact"/>
              <w:jc w:val="center"/>
              <w:rPr>
                <w:rFonts w:hint="eastAsia" w:ascii="Calibri" w:hAnsi="Calibri" w:eastAsia="楷体"/>
                <w:kern w:val="0"/>
                <w:szCs w:val="32"/>
              </w:rPr>
            </w:pPr>
          </w:p>
        </w:tc>
        <w:tc>
          <w:tcPr>
            <w:tcW w:w="443" w:type="dxa"/>
            <w:vAlign w:val="center"/>
          </w:tcPr>
          <w:p>
            <w:pPr>
              <w:spacing w:line="700" w:lineRule="exact"/>
              <w:jc w:val="center"/>
              <w:rPr>
                <w:rFonts w:hint="eastAsia" w:ascii="Calibri" w:hAnsi="Calibri" w:eastAsia="楷体"/>
                <w:kern w:val="0"/>
                <w:szCs w:val="32"/>
              </w:rPr>
            </w:pPr>
          </w:p>
        </w:tc>
        <w:tc>
          <w:tcPr>
            <w:tcW w:w="425" w:type="dxa"/>
            <w:vAlign w:val="center"/>
          </w:tcPr>
          <w:p>
            <w:pPr>
              <w:spacing w:line="700" w:lineRule="exact"/>
              <w:jc w:val="center"/>
              <w:rPr>
                <w:rFonts w:hint="eastAsia"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hint="eastAsia" w:ascii="Calibri" w:hAnsi="Calibri" w:eastAsia="楷体"/>
                <w:kern w:val="0"/>
                <w:szCs w:val="32"/>
              </w:rPr>
            </w:pPr>
          </w:p>
        </w:tc>
        <w:tc>
          <w:tcPr>
            <w:tcW w:w="1063" w:type="dxa"/>
            <w:vAlign w:val="center"/>
          </w:tcPr>
          <w:p>
            <w:pPr>
              <w:spacing w:line="700" w:lineRule="exact"/>
              <w:jc w:val="center"/>
              <w:rPr>
                <w:rFonts w:hint="eastAsia" w:ascii="Calibri" w:hAnsi="Calibri" w:eastAsia="楷体"/>
                <w:kern w:val="0"/>
                <w:szCs w:val="32"/>
              </w:rPr>
            </w:pPr>
          </w:p>
        </w:tc>
        <w:tc>
          <w:tcPr>
            <w:tcW w:w="1107" w:type="dxa"/>
            <w:vAlign w:val="center"/>
          </w:tcPr>
          <w:p>
            <w:pPr>
              <w:spacing w:line="700" w:lineRule="exact"/>
              <w:jc w:val="center"/>
              <w:rPr>
                <w:rFonts w:hint="eastAsia" w:ascii="Calibri" w:hAnsi="Calibri" w:eastAsia="楷体"/>
                <w:kern w:val="0"/>
                <w:szCs w:val="32"/>
              </w:rPr>
            </w:pPr>
          </w:p>
        </w:tc>
        <w:tc>
          <w:tcPr>
            <w:tcW w:w="864" w:type="dxa"/>
            <w:vAlign w:val="center"/>
          </w:tcPr>
          <w:p>
            <w:pPr>
              <w:spacing w:line="700" w:lineRule="exact"/>
              <w:jc w:val="center"/>
              <w:rPr>
                <w:rFonts w:hint="eastAsia" w:ascii="Calibri" w:hAnsi="Calibri" w:eastAsia="楷体"/>
                <w:kern w:val="0"/>
                <w:szCs w:val="32"/>
              </w:rPr>
            </w:pPr>
          </w:p>
        </w:tc>
        <w:tc>
          <w:tcPr>
            <w:tcW w:w="498" w:type="dxa"/>
            <w:vAlign w:val="center"/>
          </w:tcPr>
          <w:p>
            <w:pPr>
              <w:spacing w:line="700" w:lineRule="exact"/>
              <w:jc w:val="center"/>
              <w:rPr>
                <w:rFonts w:hint="eastAsia" w:ascii="Calibri" w:hAnsi="Calibri" w:eastAsia="楷体"/>
                <w:kern w:val="0"/>
                <w:szCs w:val="32"/>
              </w:rPr>
            </w:pPr>
          </w:p>
        </w:tc>
        <w:tc>
          <w:tcPr>
            <w:tcW w:w="553" w:type="dxa"/>
            <w:vAlign w:val="center"/>
          </w:tcPr>
          <w:p>
            <w:pPr>
              <w:spacing w:line="700" w:lineRule="exact"/>
              <w:jc w:val="center"/>
              <w:rPr>
                <w:rFonts w:hint="eastAsia" w:ascii="Calibri" w:hAnsi="Calibri" w:eastAsia="楷体"/>
                <w:kern w:val="0"/>
                <w:szCs w:val="32"/>
              </w:rPr>
            </w:pPr>
          </w:p>
        </w:tc>
        <w:tc>
          <w:tcPr>
            <w:tcW w:w="554" w:type="dxa"/>
            <w:vAlign w:val="center"/>
          </w:tcPr>
          <w:p>
            <w:pPr>
              <w:spacing w:line="700" w:lineRule="exact"/>
              <w:jc w:val="center"/>
              <w:rPr>
                <w:rFonts w:hint="eastAsia" w:ascii="Calibri" w:hAnsi="Calibri" w:eastAsia="楷体"/>
                <w:kern w:val="0"/>
                <w:szCs w:val="32"/>
              </w:rPr>
            </w:pPr>
          </w:p>
        </w:tc>
        <w:tc>
          <w:tcPr>
            <w:tcW w:w="521" w:type="dxa"/>
            <w:vAlign w:val="center"/>
          </w:tcPr>
          <w:p>
            <w:pPr>
              <w:spacing w:line="700" w:lineRule="exact"/>
              <w:jc w:val="center"/>
              <w:rPr>
                <w:rFonts w:hint="eastAsia" w:ascii="Calibri" w:hAnsi="Calibri" w:eastAsia="楷体"/>
                <w:kern w:val="0"/>
                <w:szCs w:val="32"/>
              </w:rPr>
            </w:pPr>
          </w:p>
        </w:tc>
        <w:tc>
          <w:tcPr>
            <w:tcW w:w="564" w:type="dxa"/>
            <w:vAlign w:val="center"/>
          </w:tcPr>
          <w:p>
            <w:pPr>
              <w:spacing w:line="700" w:lineRule="exact"/>
              <w:jc w:val="center"/>
              <w:rPr>
                <w:rFonts w:hint="eastAsia" w:ascii="Calibri" w:hAnsi="Calibri" w:eastAsia="楷体"/>
                <w:kern w:val="0"/>
                <w:szCs w:val="32"/>
              </w:rPr>
            </w:pPr>
          </w:p>
        </w:tc>
        <w:tc>
          <w:tcPr>
            <w:tcW w:w="532" w:type="dxa"/>
            <w:vAlign w:val="center"/>
          </w:tcPr>
          <w:p>
            <w:pPr>
              <w:spacing w:line="700" w:lineRule="exact"/>
              <w:jc w:val="center"/>
              <w:rPr>
                <w:rFonts w:hint="eastAsia" w:ascii="Calibri" w:hAnsi="Calibri" w:eastAsia="楷体"/>
                <w:kern w:val="0"/>
                <w:szCs w:val="32"/>
              </w:rPr>
            </w:pPr>
          </w:p>
        </w:tc>
        <w:tc>
          <w:tcPr>
            <w:tcW w:w="598" w:type="dxa"/>
            <w:vAlign w:val="center"/>
          </w:tcPr>
          <w:p>
            <w:pPr>
              <w:spacing w:line="700" w:lineRule="exact"/>
              <w:jc w:val="center"/>
              <w:rPr>
                <w:rFonts w:hint="eastAsia" w:ascii="Calibri" w:hAnsi="Calibri" w:eastAsia="楷体"/>
                <w:kern w:val="0"/>
                <w:szCs w:val="32"/>
              </w:rPr>
            </w:pPr>
          </w:p>
        </w:tc>
        <w:tc>
          <w:tcPr>
            <w:tcW w:w="443" w:type="dxa"/>
            <w:vAlign w:val="center"/>
          </w:tcPr>
          <w:p>
            <w:pPr>
              <w:spacing w:line="700" w:lineRule="exact"/>
              <w:jc w:val="center"/>
              <w:rPr>
                <w:rFonts w:hint="eastAsia" w:ascii="Calibri" w:hAnsi="Calibri" w:eastAsia="楷体"/>
                <w:kern w:val="0"/>
                <w:szCs w:val="32"/>
              </w:rPr>
            </w:pPr>
          </w:p>
        </w:tc>
        <w:tc>
          <w:tcPr>
            <w:tcW w:w="425" w:type="dxa"/>
            <w:vAlign w:val="center"/>
          </w:tcPr>
          <w:p>
            <w:pPr>
              <w:spacing w:line="700" w:lineRule="exact"/>
              <w:jc w:val="center"/>
              <w:rPr>
                <w:rFonts w:hint="eastAsia"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hint="eastAsia" w:ascii="Calibri" w:hAnsi="Calibri" w:eastAsia="楷体"/>
                <w:kern w:val="0"/>
                <w:szCs w:val="32"/>
              </w:rPr>
            </w:pPr>
          </w:p>
        </w:tc>
        <w:tc>
          <w:tcPr>
            <w:tcW w:w="1063" w:type="dxa"/>
            <w:vAlign w:val="center"/>
          </w:tcPr>
          <w:p>
            <w:pPr>
              <w:spacing w:line="700" w:lineRule="exact"/>
              <w:jc w:val="center"/>
              <w:rPr>
                <w:rFonts w:hint="eastAsia" w:ascii="Calibri" w:hAnsi="Calibri" w:eastAsia="楷体"/>
                <w:kern w:val="0"/>
                <w:szCs w:val="32"/>
              </w:rPr>
            </w:pPr>
          </w:p>
        </w:tc>
        <w:tc>
          <w:tcPr>
            <w:tcW w:w="1107" w:type="dxa"/>
            <w:vAlign w:val="center"/>
          </w:tcPr>
          <w:p>
            <w:pPr>
              <w:spacing w:line="700" w:lineRule="exact"/>
              <w:jc w:val="center"/>
              <w:rPr>
                <w:rFonts w:hint="eastAsia" w:ascii="Calibri" w:hAnsi="Calibri" w:eastAsia="楷体"/>
                <w:kern w:val="0"/>
                <w:szCs w:val="32"/>
              </w:rPr>
            </w:pPr>
          </w:p>
        </w:tc>
        <w:tc>
          <w:tcPr>
            <w:tcW w:w="864" w:type="dxa"/>
            <w:vAlign w:val="center"/>
          </w:tcPr>
          <w:p>
            <w:pPr>
              <w:spacing w:line="700" w:lineRule="exact"/>
              <w:jc w:val="center"/>
              <w:rPr>
                <w:rFonts w:hint="eastAsia" w:ascii="Calibri" w:hAnsi="Calibri" w:eastAsia="楷体"/>
                <w:kern w:val="0"/>
                <w:szCs w:val="32"/>
              </w:rPr>
            </w:pPr>
          </w:p>
        </w:tc>
        <w:tc>
          <w:tcPr>
            <w:tcW w:w="498" w:type="dxa"/>
            <w:vAlign w:val="center"/>
          </w:tcPr>
          <w:p>
            <w:pPr>
              <w:spacing w:line="700" w:lineRule="exact"/>
              <w:jc w:val="center"/>
              <w:rPr>
                <w:rFonts w:hint="eastAsia" w:ascii="Calibri" w:hAnsi="Calibri" w:eastAsia="楷体"/>
                <w:kern w:val="0"/>
                <w:szCs w:val="32"/>
              </w:rPr>
            </w:pPr>
          </w:p>
        </w:tc>
        <w:tc>
          <w:tcPr>
            <w:tcW w:w="553" w:type="dxa"/>
            <w:vAlign w:val="center"/>
          </w:tcPr>
          <w:p>
            <w:pPr>
              <w:spacing w:line="700" w:lineRule="exact"/>
              <w:jc w:val="center"/>
              <w:rPr>
                <w:rFonts w:hint="eastAsia" w:ascii="Calibri" w:hAnsi="Calibri" w:eastAsia="楷体"/>
                <w:kern w:val="0"/>
                <w:szCs w:val="32"/>
              </w:rPr>
            </w:pPr>
          </w:p>
        </w:tc>
        <w:tc>
          <w:tcPr>
            <w:tcW w:w="554" w:type="dxa"/>
            <w:vAlign w:val="center"/>
          </w:tcPr>
          <w:p>
            <w:pPr>
              <w:spacing w:line="700" w:lineRule="exact"/>
              <w:jc w:val="center"/>
              <w:rPr>
                <w:rFonts w:hint="eastAsia" w:ascii="Calibri" w:hAnsi="Calibri" w:eastAsia="楷体"/>
                <w:kern w:val="0"/>
                <w:szCs w:val="32"/>
              </w:rPr>
            </w:pPr>
          </w:p>
        </w:tc>
        <w:tc>
          <w:tcPr>
            <w:tcW w:w="521" w:type="dxa"/>
            <w:vAlign w:val="center"/>
          </w:tcPr>
          <w:p>
            <w:pPr>
              <w:spacing w:line="700" w:lineRule="exact"/>
              <w:jc w:val="center"/>
              <w:rPr>
                <w:rFonts w:hint="eastAsia" w:ascii="Calibri" w:hAnsi="Calibri" w:eastAsia="楷体"/>
                <w:kern w:val="0"/>
                <w:szCs w:val="32"/>
              </w:rPr>
            </w:pPr>
          </w:p>
        </w:tc>
        <w:tc>
          <w:tcPr>
            <w:tcW w:w="564" w:type="dxa"/>
            <w:vAlign w:val="center"/>
          </w:tcPr>
          <w:p>
            <w:pPr>
              <w:spacing w:line="700" w:lineRule="exact"/>
              <w:jc w:val="center"/>
              <w:rPr>
                <w:rFonts w:hint="eastAsia" w:ascii="Calibri" w:hAnsi="Calibri" w:eastAsia="楷体"/>
                <w:kern w:val="0"/>
                <w:szCs w:val="32"/>
              </w:rPr>
            </w:pPr>
          </w:p>
        </w:tc>
        <w:tc>
          <w:tcPr>
            <w:tcW w:w="532" w:type="dxa"/>
            <w:vAlign w:val="center"/>
          </w:tcPr>
          <w:p>
            <w:pPr>
              <w:spacing w:line="700" w:lineRule="exact"/>
              <w:jc w:val="center"/>
              <w:rPr>
                <w:rFonts w:hint="eastAsia" w:ascii="Calibri" w:hAnsi="Calibri" w:eastAsia="楷体"/>
                <w:kern w:val="0"/>
                <w:szCs w:val="32"/>
              </w:rPr>
            </w:pPr>
          </w:p>
        </w:tc>
        <w:tc>
          <w:tcPr>
            <w:tcW w:w="598" w:type="dxa"/>
            <w:vAlign w:val="center"/>
          </w:tcPr>
          <w:p>
            <w:pPr>
              <w:spacing w:line="700" w:lineRule="exact"/>
              <w:jc w:val="center"/>
              <w:rPr>
                <w:rFonts w:hint="eastAsia" w:ascii="Calibri" w:hAnsi="Calibri" w:eastAsia="楷体"/>
                <w:kern w:val="0"/>
                <w:szCs w:val="32"/>
              </w:rPr>
            </w:pPr>
          </w:p>
        </w:tc>
        <w:tc>
          <w:tcPr>
            <w:tcW w:w="443" w:type="dxa"/>
            <w:vAlign w:val="center"/>
          </w:tcPr>
          <w:p>
            <w:pPr>
              <w:spacing w:line="700" w:lineRule="exact"/>
              <w:jc w:val="center"/>
              <w:rPr>
                <w:rFonts w:hint="eastAsia" w:ascii="Calibri" w:hAnsi="Calibri" w:eastAsia="楷体"/>
                <w:kern w:val="0"/>
                <w:szCs w:val="32"/>
              </w:rPr>
            </w:pPr>
          </w:p>
        </w:tc>
        <w:tc>
          <w:tcPr>
            <w:tcW w:w="425" w:type="dxa"/>
            <w:vAlign w:val="center"/>
          </w:tcPr>
          <w:p>
            <w:pPr>
              <w:spacing w:line="700" w:lineRule="exact"/>
              <w:jc w:val="center"/>
              <w:rPr>
                <w:rFonts w:hint="eastAsia"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hint="eastAsia" w:ascii="Calibri" w:hAnsi="Calibri" w:eastAsia="楷体"/>
                <w:kern w:val="0"/>
                <w:szCs w:val="32"/>
              </w:rPr>
            </w:pPr>
          </w:p>
        </w:tc>
        <w:tc>
          <w:tcPr>
            <w:tcW w:w="1063" w:type="dxa"/>
            <w:vAlign w:val="center"/>
          </w:tcPr>
          <w:p>
            <w:pPr>
              <w:spacing w:line="700" w:lineRule="exact"/>
              <w:jc w:val="center"/>
              <w:rPr>
                <w:rFonts w:hint="eastAsia" w:ascii="Calibri" w:hAnsi="Calibri" w:eastAsia="楷体"/>
                <w:kern w:val="0"/>
                <w:szCs w:val="32"/>
              </w:rPr>
            </w:pPr>
          </w:p>
        </w:tc>
        <w:tc>
          <w:tcPr>
            <w:tcW w:w="1107" w:type="dxa"/>
            <w:vAlign w:val="center"/>
          </w:tcPr>
          <w:p>
            <w:pPr>
              <w:spacing w:line="700" w:lineRule="exact"/>
              <w:jc w:val="center"/>
              <w:rPr>
                <w:rFonts w:hint="eastAsia" w:ascii="Calibri" w:hAnsi="Calibri" w:eastAsia="楷体"/>
                <w:kern w:val="0"/>
                <w:szCs w:val="32"/>
              </w:rPr>
            </w:pPr>
          </w:p>
        </w:tc>
        <w:tc>
          <w:tcPr>
            <w:tcW w:w="864" w:type="dxa"/>
            <w:vAlign w:val="center"/>
          </w:tcPr>
          <w:p>
            <w:pPr>
              <w:spacing w:line="700" w:lineRule="exact"/>
              <w:jc w:val="center"/>
              <w:rPr>
                <w:rFonts w:hint="eastAsia" w:ascii="Calibri" w:hAnsi="Calibri" w:eastAsia="楷体"/>
                <w:kern w:val="0"/>
                <w:szCs w:val="32"/>
              </w:rPr>
            </w:pPr>
          </w:p>
        </w:tc>
        <w:tc>
          <w:tcPr>
            <w:tcW w:w="498" w:type="dxa"/>
            <w:vAlign w:val="center"/>
          </w:tcPr>
          <w:p>
            <w:pPr>
              <w:spacing w:line="700" w:lineRule="exact"/>
              <w:jc w:val="center"/>
              <w:rPr>
                <w:rFonts w:hint="eastAsia" w:ascii="Calibri" w:hAnsi="Calibri" w:eastAsia="楷体"/>
                <w:kern w:val="0"/>
                <w:szCs w:val="32"/>
              </w:rPr>
            </w:pPr>
          </w:p>
        </w:tc>
        <w:tc>
          <w:tcPr>
            <w:tcW w:w="553" w:type="dxa"/>
            <w:vAlign w:val="center"/>
          </w:tcPr>
          <w:p>
            <w:pPr>
              <w:spacing w:line="700" w:lineRule="exact"/>
              <w:jc w:val="center"/>
              <w:rPr>
                <w:rFonts w:hint="eastAsia" w:ascii="Calibri" w:hAnsi="Calibri" w:eastAsia="楷体"/>
                <w:kern w:val="0"/>
                <w:szCs w:val="32"/>
              </w:rPr>
            </w:pPr>
          </w:p>
        </w:tc>
        <w:tc>
          <w:tcPr>
            <w:tcW w:w="554" w:type="dxa"/>
            <w:vAlign w:val="center"/>
          </w:tcPr>
          <w:p>
            <w:pPr>
              <w:spacing w:line="700" w:lineRule="exact"/>
              <w:jc w:val="center"/>
              <w:rPr>
                <w:rFonts w:hint="eastAsia" w:ascii="Calibri" w:hAnsi="Calibri" w:eastAsia="楷体"/>
                <w:kern w:val="0"/>
                <w:szCs w:val="32"/>
              </w:rPr>
            </w:pPr>
          </w:p>
        </w:tc>
        <w:tc>
          <w:tcPr>
            <w:tcW w:w="521" w:type="dxa"/>
            <w:vAlign w:val="center"/>
          </w:tcPr>
          <w:p>
            <w:pPr>
              <w:spacing w:line="700" w:lineRule="exact"/>
              <w:jc w:val="center"/>
              <w:rPr>
                <w:rFonts w:hint="eastAsia" w:ascii="Calibri" w:hAnsi="Calibri" w:eastAsia="楷体"/>
                <w:kern w:val="0"/>
                <w:szCs w:val="32"/>
              </w:rPr>
            </w:pPr>
          </w:p>
        </w:tc>
        <w:tc>
          <w:tcPr>
            <w:tcW w:w="564" w:type="dxa"/>
            <w:vAlign w:val="center"/>
          </w:tcPr>
          <w:p>
            <w:pPr>
              <w:spacing w:line="700" w:lineRule="exact"/>
              <w:jc w:val="center"/>
              <w:rPr>
                <w:rFonts w:hint="eastAsia" w:ascii="Calibri" w:hAnsi="Calibri" w:eastAsia="楷体"/>
                <w:kern w:val="0"/>
                <w:szCs w:val="32"/>
              </w:rPr>
            </w:pPr>
          </w:p>
        </w:tc>
        <w:tc>
          <w:tcPr>
            <w:tcW w:w="532" w:type="dxa"/>
            <w:vAlign w:val="center"/>
          </w:tcPr>
          <w:p>
            <w:pPr>
              <w:spacing w:line="700" w:lineRule="exact"/>
              <w:jc w:val="center"/>
              <w:rPr>
                <w:rFonts w:hint="eastAsia" w:ascii="Calibri" w:hAnsi="Calibri" w:eastAsia="楷体"/>
                <w:kern w:val="0"/>
                <w:szCs w:val="32"/>
              </w:rPr>
            </w:pPr>
          </w:p>
        </w:tc>
        <w:tc>
          <w:tcPr>
            <w:tcW w:w="598" w:type="dxa"/>
            <w:vAlign w:val="center"/>
          </w:tcPr>
          <w:p>
            <w:pPr>
              <w:spacing w:line="700" w:lineRule="exact"/>
              <w:jc w:val="center"/>
              <w:rPr>
                <w:rFonts w:hint="eastAsia" w:ascii="Calibri" w:hAnsi="Calibri" w:eastAsia="楷体"/>
                <w:kern w:val="0"/>
                <w:szCs w:val="32"/>
              </w:rPr>
            </w:pPr>
          </w:p>
        </w:tc>
        <w:tc>
          <w:tcPr>
            <w:tcW w:w="443" w:type="dxa"/>
            <w:vAlign w:val="center"/>
          </w:tcPr>
          <w:p>
            <w:pPr>
              <w:spacing w:line="700" w:lineRule="exact"/>
              <w:jc w:val="center"/>
              <w:rPr>
                <w:rFonts w:hint="eastAsia" w:ascii="Calibri" w:hAnsi="Calibri" w:eastAsia="楷体"/>
                <w:kern w:val="0"/>
                <w:szCs w:val="32"/>
              </w:rPr>
            </w:pPr>
          </w:p>
        </w:tc>
        <w:tc>
          <w:tcPr>
            <w:tcW w:w="425" w:type="dxa"/>
            <w:vAlign w:val="center"/>
          </w:tcPr>
          <w:p>
            <w:pPr>
              <w:spacing w:line="700" w:lineRule="exact"/>
              <w:jc w:val="center"/>
              <w:rPr>
                <w:rFonts w:hint="eastAsia"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hint="eastAsia" w:ascii="Calibri" w:hAnsi="Calibri" w:eastAsia="华文细黑"/>
                <w:color w:val="000000"/>
                <w:sz w:val="20"/>
                <w:szCs w:val="22"/>
              </w:rPr>
            </w:pPr>
          </w:p>
        </w:tc>
        <w:tc>
          <w:tcPr>
            <w:tcW w:w="1107" w:type="dxa"/>
            <w:vAlign w:val="center"/>
          </w:tcPr>
          <w:p>
            <w:pPr>
              <w:spacing w:line="700" w:lineRule="exact"/>
              <w:jc w:val="center"/>
              <w:rPr>
                <w:rFonts w:hint="eastAsia" w:ascii="Calibri" w:hAnsi="Calibri" w:eastAsia="楷体"/>
                <w:kern w:val="0"/>
                <w:szCs w:val="32"/>
              </w:rPr>
            </w:pPr>
          </w:p>
        </w:tc>
        <w:tc>
          <w:tcPr>
            <w:tcW w:w="864" w:type="dxa"/>
            <w:vAlign w:val="center"/>
          </w:tcPr>
          <w:p>
            <w:pPr>
              <w:spacing w:line="700" w:lineRule="exact"/>
              <w:jc w:val="center"/>
              <w:rPr>
                <w:rFonts w:hint="eastAsia" w:ascii="Calibri" w:hAnsi="Calibri" w:eastAsia="楷体"/>
                <w:kern w:val="0"/>
                <w:szCs w:val="32"/>
              </w:rPr>
            </w:pPr>
          </w:p>
        </w:tc>
        <w:tc>
          <w:tcPr>
            <w:tcW w:w="498" w:type="dxa"/>
            <w:vAlign w:val="center"/>
          </w:tcPr>
          <w:p>
            <w:pPr>
              <w:spacing w:line="700" w:lineRule="exact"/>
              <w:jc w:val="center"/>
              <w:rPr>
                <w:rFonts w:hint="eastAsia" w:ascii="Calibri" w:hAnsi="Calibri" w:eastAsia="楷体"/>
                <w:kern w:val="0"/>
                <w:szCs w:val="32"/>
              </w:rPr>
            </w:pPr>
          </w:p>
        </w:tc>
        <w:tc>
          <w:tcPr>
            <w:tcW w:w="553" w:type="dxa"/>
            <w:vAlign w:val="center"/>
          </w:tcPr>
          <w:p>
            <w:pPr>
              <w:spacing w:line="700" w:lineRule="exact"/>
              <w:jc w:val="center"/>
              <w:rPr>
                <w:rFonts w:hint="eastAsia" w:ascii="Calibri" w:hAnsi="Calibri" w:eastAsia="楷体"/>
                <w:kern w:val="0"/>
                <w:szCs w:val="32"/>
              </w:rPr>
            </w:pPr>
          </w:p>
        </w:tc>
        <w:tc>
          <w:tcPr>
            <w:tcW w:w="554" w:type="dxa"/>
            <w:vAlign w:val="center"/>
          </w:tcPr>
          <w:p>
            <w:pPr>
              <w:spacing w:line="700" w:lineRule="exact"/>
              <w:jc w:val="center"/>
              <w:rPr>
                <w:rFonts w:hint="eastAsia" w:ascii="Calibri" w:hAnsi="Calibri" w:eastAsia="楷体"/>
                <w:kern w:val="0"/>
                <w:szCs w:val="32"/>
              </w:rPr>
            </w:pPr>
          </w:p>
        </w:tc>
        <w:tc>
          <w:tcPr>
            <w:tcW w:w="521" w:type="dxa"/>
            <w:vAlign w:val="center"/>
          </w:tcPr>
          <w:p>
            <w:pPr>
              <w:spacing w:line="700" w:lineRule="exact"/>
              <w:jc w:val="center"/>
              <w:rPr>
                <w:rFonts w:hint="eastAsia" w:ascii="Calibri" w:hAnsi="Calibri" w:eastAsia="楷体"/>
                <w:kern w:val="0"/>
                <w:szCs w:val="32"/>
              </w:rPr>
            </w:pPr>
          </w:p>
        </w:tc>
        <w:tc>
          <w:tcPr>
            <w:tcW w:w="564" w:type="dxa"/>
            <w:vAlign w:val="center"/>
          </w:tcPr>
          <w:p>
            <w:pPr>
              <w:spacing w:line="700" w:lineRule="exact"/>
              <w:jc w:val="center"/>
              <w:rPr>
                <w:rFonts w:hint="eastAsia" w:ascii="Calibri" w:hAnsi="Calibri" w:eastAsia="楷体"/>
                <w:kern w:val="0"/>
                <w:szCs w:val="32"/>
              </w:rPr>
            </w:pPr>
          </w:p>
        </w:tc>
        <w:tc>
          <w:tcPr>
            <w:tcW w:w="532" w:type="dxa"/>
            <w:vAlign w:val="center"/>
          </w:tcPr>
          <w:p>
            <w:pPr>
              <w:spacing w:line="700" w:lineRule="exact"/>
              <w:jc w:val="center"/>
              <w:rPr>
                <w:rFonts w:hint="eastAsia" w:ascii="Calibri" w:hAnsi="Calibri" w:eastAsia="楷体"/>
                <w:kern w:val="0"/>
                <w:szCs w:val="32"/>
              </w:rPr>
            </w:pPr>
          </w:p>
        </w:tc>
        <w:tc>
          <w:tcPr>
            <w:tcW w:w="598" w:type="dxa"/>
            <w:vAlign w:val="center"/>
          </w:tcPr>
          <w:p>
            <w:pPr>
              <w:spacing w:line="700" w:lineRule="exact"/>
              <w:jc w:val="center"/>
              <w:rPr>
                <w:rFonts w:hint="eastAsia" w:ascii="Calibri" w:hAnsi="Calibri" w:eastAsia="楷体"/>
                <w:kern w:val="0"/>
                <w:szCs w:val="32"/>
              </w:rPr>
            </w:pPr>
          </w:p>
        </w:tc>
        <w:tc>
          <w:tcPr>
            <w:tcW w:w="443" w:type="dxa"/>
            <w:vAlign w:val="center"/>
          </w:tcPr>
          <w:p>
            <w:pPr>
              <w:spacing w:line="700" w:lineRule="exact"/>
              <w:jc w:val="center"/>
              <w:rPr>
                <w:rFonts w:hint="eastAsia" w:ascii="Calibri" w:hAnsi="Calibri" w:eastAsia="楷体"/>
                <w:kern w:val="0"/>
                <w:szCs w:val="32"/>
              </w:rPr>
            </w:pPr>
          </w:p>
        </w:tc>
        <w:tc>
          <w:tcPr>
            <w:tcW w:w="425" w:type="dxa"/>
            <w:vAlign w:val="center"/>
          </w:tcPr>
          <w:p>
            <w:pPr>
              <w:spacing w:line="700" w:lineRule="exact"/>
              <w:jc w:val="center"/>
              <w:rPr>
                <w:rFonts w:hint="eastAsia"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ascii="仿宋_GB2312" w:hAnsi="仿宋_GB2312" w:cs="仿宋_GB2312"/>
          <w:szCs w:val="32"/>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139.14万元，其中：当年预算139.14万元；上年结转0万元。2024年当年预算比2023年预算增加32万元，主要原因是社会保障和就业支出、住房保障支出预算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二、2024年收入预算情况</w:t>
      </w:r>
    </w:p>
    <w:p>
      <w:pPr>
        <w:ind w:firstLine="640" w:firstLineChars="200"/>
        <w:rPr>
          <w:rFonts w:ascii="仿宋_GB2312" w:hAnsi="仿宋_GB2312" w:cs="仿宋_GB2312"/>
          <w:szCs w:val="32"/>
        </w:rPr>
      </w:pPr>
      <w:r>
        <w:rPr>
          <w:rFonts w:hint="eastAsia" w:ascii="仿宋_GB2312" w:hAnsi="仿宋_GB2312" w:cs="仿宋_GB2312"/>
          <w:szCs w:val="32"/>
        </w:rPr>
        <w:t>2024年收入预算139.14万元，其中：本年收入139.14万元，占100%；上年结转0万元，占0%。本年收入中，一般公共预算拨款收入139.14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eastAsia="楷体"/>
          <w:szCs w:val="30"/>
        </w:rPr>
        <w:br w:type="page"/>
      </w:r>
      <w:r>
        <w:rPr>
          <w:rFonts w:hint="eastAsia" w:ascii="黑体" w:hAnsi="黑体" w:eastAsia="黑体" w:cs="黑体"/>
          <w:szCs w:val="32"/>
        </w:rPr>
        <w:t>三、2024年支出预算情况</w:t>
      </w:r>
    </w:p>
    <w:p>
      <w:pPr>
        <w:ind w:firstLine="640" w:firstLineChars="200"/>
        <w:rPr>
          <w:rFonts w:ascii="仿宋_GB2312" w:hAnsi="仿宋_GB2312" w:cs="仿宋_GB2312"/>
          <w:szCs w:val="32"/>
        </w:rPr>
      </w:pPr>
      <w:r>
        <w:rPr>
          <w:rFonts w:hint="eastAsia" w:ascii="仿宋_GB2312" w:hAnsi="仿宋_GB2312" w:cs="仿宋_GB2312"/>
          <w:szCs w:val="32"/>
        </w:rPr>
        <w:t>2024年支出预算139.14万元，其中：基本支出139.14万元，占100%；项目支出0万元，占0%；事业单位经营支出0万元，占0%；上缴上级支出0万元，占0%；对附属单位补助支出0万元，占0%。</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ascii="黑体" w:hAnsi="黑体" w:eastAsia="黑体" w:cs="黑体"/>
          <w:szCs w:val="32"/>
        </w:rPr>
      </w:pPr>
      <w:r>
        <w:rPr>
          <w:rFonts w:eastAsia="楷体"/>
          <w:szCs w:val="32"/>
        </w:rPr>
        <w:br w:type="page"/>
      </w: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2024年财政拨款收支总预算139.14万元，其中：本年收入139.14万元，上年结转0万元。支出包括：</w:t>
      </w:r>
      <w:r>
        <w:rPr>
          <w:rFonts w:hint="eastAsia" w:ascii="仿宋_GB2312" w:hAnsi="仿宋_GB2312" w:cs="仿宋_GB2312"/>
          <w:kern w:val="0"/>
          <w:szCs w:val="32"/>
        </w:rPr>
        <w:t>一般公共服务支出</w:t>
      </w:r>
      <w:r>
        <w:rPr>
          <w:rFonts w:hint="eastAsia" w:ascii="仿宋_GB2312" w:hAnsi="仿宋_GB2312" w:cs="仿宋_GB2312"/>
          <w:szCs w:val="32"/>
        </w:rPr>
        <w:t>0万元，</w:t>
      </w:r>
      <w:r>
        <w:rPr>
          <w:rFonts w:hint="eastAsia" w:ascii="仿宋_GB2312" w:hAnsi="仿宋_GB2312" w:cs="仿宋_GB2312"/>
          <w:kern w:val="0"/>
          <w:szCs w:val="32"/>
        </w:rPr>
        <w:t>国防支出</w:t>
      </w:r>
      <w:r>
        <w:rPr>
          <w:rFonts w:hint="eastAsia" w:ascii="仿宋_GB2312" w:hAnsi="仿宋_GB2312" w:cs="仿宋_GB2312"/>
          <w:szCs w:val="32"/>
        </w:rPr>
        <w:t>0万元，</w:t>
      </w:r>
      <w:r>
        <w:rPr>
          <w:rFonts w:hint="eastAsia" w:ascii="仿宋_GB2312" w:hAnsi="仿宋_GB2312" w:cs="仿宋_GB2312"/>
          <w:kern w:val="0"/>
          <w:szCs w:val="32"/>
        </w:rPr>
        <w:t>公共安全支出</w:t>
      </w:r>
      <w:r>
        <w:rPr>
          <w:rFonts w:hint="eastAsia" w:ascii="仿宋_GB2312" w:hAnsi="仿宋_GB2312" w:cs="仿宋_GB2312"/>
          <w:szCs w:val="32"/>
        </w:rPr>
        <w:t>0万元，</w:t>
      </w:r>
      <w:r>
        <w:rPr>
          <w:rFonts w:hint="eastAsia" w:ascii="仿宋_GB2312" w:hAnsi="仿宋_GB2312" w:cs="仿宋_GB2312"/>
          <w:kern w:val="0"/>
          <w:szCs w:val="32"/>
        </w:rPr>
        <w:t>教育支出</w:t>
      </w:r>
      <w:r>
        <w:rPr>
          <w:rFonts w:hint="eastAsia" w:ascii="仿宋_GB2312" w:hAnsi="仿宋_GB2312" w:cs="仿宋_GB2312"/>
          <w:szCs w:val="32"/>
        </w:rPr>
        <w:t>0万元，</w:t>
      </w:r>
      <w:r>
        <w:rPr>
          <w:rFonts w:hint="eastAsia" w:ascii="仿宋_GB2312" w:hAnsi="仿宋_GB2312" w:cs="仿宋_GB2312"/>
          <w:kern w:val="0"/>
          <w:szCs w:val="32"/>
        </w:rPr>
        <w:t>科学技术支出</w:t>
      </w:r>
      <w:r>
        <w:rPr>
          <w:rFonts w:hint="eastAsia" w:ascii="仿宋_GB2312" w:hAnsi="仿宋_GB2312" w:cs="仿宋_GB2312"/>
          <w:szCs w:val="32"/>
        </w:rPr>
        <w:t>0万元，</w:t>
      </w:r>
      <w:r>
        <w:rPr>
          <w:rFonts w:hint="eastAsia" w:ascii="仿宋_GB2312" w:hAnsi="仿宋_GB2312" w:cs="仿宋_GB2312"/>
          <w:kern w:val="0"/>
          <w:szCs w:val="32"/>
        </w:rPr>
        <w:t>文化旅游体育与传媒支出</w:t>
      </w:r>
      <w:r>
        <w:rPr>
          <w:rFonts w:hint="eastAsia" w:ascii="仿宋_GB2312" w:hAnsi="仿宋_GB2312" w:cs="仿宋_GB2312"/>
          <w:szCs w:val="32"/>
        </w:rPr>
        <w:t>0万元，</w:t>
      </w:r>
      <w:r>
        <w:rPr>
          <w:rFonts w:hint="eastAsia" w:ascii="仿宋_GB2312" w:hAnsi="仿宋_GB2312" w:cs="仿宋_GB2312"/>
          <w:kern w:val="0"/>
          <w:szCs w:val="32"/>
        </w:rPr>
        <w:t>社会保障和就业支出</w:t>
      </w:r>
      <w:r>
        <w:rPr>
          <w:rFonts w:hint="eastAsia" w:ascii="仿宋_GB2312" w:hAnsi="仿宋_GB2312" w:cs="仿宋_GB2312"/>
          <w:szCs w:val="32"/>
        </w:rPr>
        <w:t>18.55万元，</w:t>
      </w:r>
      <w:r>
        <w:rPr>
          <w:rFonts w:hint="eastAsia" w:ascii="仿宋_GB2312" w:hAnsi="仿宋_GB2312" w:cs="仿宋_GB2312"/>
          <w:kern w:val="0"/>
          <w:szCs w:val="32"/>
        </w:rPr>
        <w:t>社会保险基金支出</w:t>
      </w:r>
      <w:r>
        <w:rPr>
          <w:rFonts w:hint="eastAsia" w:ascii="仿宋_GB2312" w:hAnsi="仿宋_GB2312" w:cs="仿宋_GB2312"/>
          <w:szCs w:val="32"/>
        </w:rPr>
        <w:t>0万元，</w:t>
      </w:r>
      <w:r>
        <w:rPr>
          <w:rFonts w:hint="eastAsia" w:ascii="仿宋_GB2312" w:hAnsi="仿宋_GB2312" w:cs="仿宋_GB2312"/>
          <w:kern w:val="0"/>
          <w:szCs w:val="32"/>
        </w:rPr>
        <w:t>卫生健康支出</w:t>
      </w:r>
      <w:r>
        <w:rPr>
          <w:rFonts w:hint="eastAsia" w:ascii="仿宋_GB2312" w:hAnsi="仿宋_GB2312" w:cs="仿宋_GB2312"/>
          <w:szCs w:val="32"/>
        </w:rPr>
        <w:t>5.96万元，</w:t>
      </w:r>
      <w:r>
        <w:rPr>
          <w:rFonts w:hint="eastAsia" w:ascii="仿宋_GB2312" w:hAnsi="仿宋_GB2312" w:cs="仿宋_GB2312"/>
          <w:kern w:val="0"/>
          <w:szCs w:val="32"/>
        </w:rPr>
        <w:t>节能环保支出</w:t>
      </w:r>
      <w:r>
        <w:rPr>
          <w:rFonts w:hint="eastAsia" w:ascii="仿宋_GB2312" w:hAnsi="仿宋_GB2312" w:cs="仿宋_GB2312"/>
          <w:szCs w:val="32"/>
        </w:rPr>
        <w:t>0万元，</w:t>
      </w:r>
      <w:r>
        <w:rPr>
          <w:rFonts w:hint="eastAsia" w:ascii="仿宋_GB2312" w:hAnsi="仿宋_GB2312" w:cs="仿宋_GB2312"/>
          <w:kern w:val="0"/>
          <w:szCs w:val="32"/>
        </w:rPr>
        <w:t>城乡社区支出</w:t>
      </w:r>
      <w:r>
        <w:rPr>
          <w:rFonts w:hint="eastAsia" w:ascii="仿宋_GB2312" w:hAnsi="仿宋_GB2312" w:cs="仿宋_GB2312"/>
          <w:szCs w:val="32"/>
        </w:rPr>
        <w:t>0万元，</w:t>
      </w:r>
      <w:r>
        <w:rPr>
          <w:rFonts w:hint="eastAsia" w:ascii="仿宋_GB2312" w:hAnsi="仿宋_GB2312" w:cs="仿宋_GB2312"/>
          <w:kern w:val="0"/>
          <w:szCs w:val="32"/>
        </w:rPr>
        <w:t>农林水支出</w:t>
      </w:r>
      <w:r>
        <w:rPr>
          <w:rFonts w:hint="eastAsia" w:ascii="仿宋_GB2312" w:hAnsi="仿宋_GB2312" w:cs="仿宋_GB2312"/>
          <w:szCs w:val="32"/>
        </w:rPr>
        <w:t>104.37万元，</w:t>
      </w:r>
      <w:r>
        <w:rPr>
          <w:rFonts w:hint="eastAsia" w:ascii="仿宋_GB2312" w:hAnsi="仿宋_GB2312" w:cs="仿宋_GB2312"/>
          <w:kern w:val="0"/>
          <w:szCs w:val="32"/>
        </w:rPr>
        <w:t>交通运输支出</w:t>
      </w:r>
      <w:r>
        <w:rPr>
          <w:rFonts w:hint="eastAsia" w:ascii="仿宋_GB2312" w:hAnsi="仿宋_GB2312" w:cs="仿宋_GB2312"/>
          <w:szCs w:val="32"/>
        </w:rPr>
        <w:t>0万元，</w:t>
      </w:r>
      <w:r>
        <w:rPr>
          <w:rFonts w:hint="eastAsia" w:ascii="仿宋_GB2312" w:hAnsi="仿宋_GB2312" w:cs="仿宋_GB2312"/>
          <w:kern w:val="0"/>
          <w:szCs w:val="32"/>
        </w:rPr>
        <w:t>资源勘探信息等支出</w:t>
      </w:r>
      <w:r>
        <w:rPr>
          <w:rFonts w:hint="eastAsia" w:ascii="仿宋_GB2312" w:hAnsi="仿宋_GB2312" w:cs="仿宋_GB2312"/>
          <w:szCs w:val="32"/>
        </w:rPr>
        <w:t>0万元，</w:t>
      </w:r>
      <w:r>
        <w:rPr>
          <w:rFonts w:hint="eastAsia" w:ascii="仿宋_GB2312" w:hAnsi="仿宋_GB2312" w:cs="仿宋_GB2312"/>
          <w:kern w:val="0"/>
          <w:szCs w:val="32"/>
        </w:rPr>
        <w:t>商业服务业等支出</w:t>
      </w:r>
      <w:r>
        <w:rPr>
          <w:rFonts w:hint="eastAsia" w:ascii="仿宋_GB2312" w:hAnsi="仿宋_GB2312" w:cs="仿宋_GB2312"/>
          <w:szCs w:val="32"/>
        </w:rPr>
        <w:t>0万元，</w:t>
      </w:r>
      <w:r>
        <w:rPr>
          <w:rFonts w:hint="eastAsia" w:ascii="仿宋_GB2312" w:hAnsi="仿宋_GB2312" w:cs="仿宋_GB2312"/>
          <w:kern w:val="0"/>
          <w:szCs w:val="32"/>
        </w:rPr>
        <w:t>金融支出</w:t>
      </w:r>
      <w:r>
        <w:rPr>
          <w:rFonts w:hint="eastAsia" w:ascii="仿宋_GB2312" w:hAnsi="仿宋_GB2312" w:cs="仿宋_GB2312"/>
          <w:szCs w:val="32"/>
        </w:rPr>
        <w:t>0万元，</w:t>
      </w:r>
      <w:r>
        <w:rPr>
          <w:rFonts w:hint="eastAsia" w:ascii="仿宋_GB2312" w:hAnsi="仿宋_GB2312" w:cs="仿宋_GB2312"/>
          <w:kern w:val="0"/>
          <w:szCs w:val="32"/>
        </w:rPr>
        <w:t>援助其他地区支出</w:t>
      </w:r>
      <w:r>
        <w:rPr>
          <w:rFonts w:hint="eastAsia" w:ascii="仿宋_GB2312" w:hAnsi="仿宋_GB2312" w:cs="仿宋_GB2312"/>
          <w:szCs w:val="32"/>
        </w:rPr>
        <w:t>0万元，</w:t>
      </w:r>
      <w:r>
        <w:rPr>
          <w:rFonts w:hint="eastAsia" w:ascii="仿宋_GB2312" w:hAnsi="仿宋_GB2312" w:cs="仿宋_GB2312"/>
          <w:kern w:val="0"/>
          <w:szCs w:val="32"/>
        </w:rPr>
        <w:t>自然资源海洋气象等支出</w:t>
      </w:r>
      <w:r>
        <w:rPr>
          <w:rFonts w:hint="eastAsia" w:ascii="仿宋_GB2312" w:hAnsi="仿宋_GB2312" w:cs="仿宋_GB2312"/>
          <w:szCs w:val="32"/>
        </w:rPr>
        <w:t>0万元，</w:t>
      </w:r>
      <w:r>
        <w:rPr>
          <w:rFonts w:hint="eastAsia" w:ascii="仿宋_GB2312" w:hAnsi="仿宋_GB2312" w:cs="仿宋_GB2312"/>
          <w:kern w:val="0"/>
          <w:szCs w:val="32"/>
        </w:rPr>
        <w:t>住房保障支出</w:t>
      </w:r>
      <w:r>
        <w:rPr>
          <w:rFonts w:hint="eastAsia" w:ascii="仿宋_GB2312" w:hAnsi="仿宋_GB2312" w:cs="仿宋_GB2312"/>
          <w:szCs w:val="32"/>
        </w:rPr>
        <w:t>10.20万元，</w:t>
      </w:r>
      <w:r>
        <w:rPr>
          <w:rFonts w:hint="eastAsia" w:ascii="仿宋_GB2312" w:hAnsi="仿宋_GB2312" w:cs="仿宋_GB2312"/>
          <w:kern w:val="0"/>
          <w:szCs w:val="32"/>
        </w:rPr>
        <w:t>粮油物资储备支出</w:t>
      </w:r>
      <w:r>
        <w:rPr>
          <w:rFonts w:hint="eastAsia" w:ascii="仿宋_GB2312" w:hAnsi="仿宋_GB2312" w:cs="仿宋_GB2312"/>
          <w:szCs w:val="32"/>
        </w:rPr>
        <w:t>0万元，灾害防治及应急管理支出0万元，</w:t>
      </w:r>
      <w:r>
        <w:rPr>
          <w:rFonts w:hint="eastAsia" w:ascii="仿宋_GB2312" w:hAnsi="仿宋_GB2312" w:cs="仿宋_GB2312"/>
          <w:kern w:val="0"/>
          <w:szCs w:val="32"/>
        </w:rPr>
        <w:t>其他支出</w:t>
      </w:r>
      <w:r>
        <w:rPr>
          <w:rFonts w:hint="eastAsia" w:ascii="仿宋_GB2312" w:hAnsi="仿宋_GB2312" w:cs="仿宋_GB2312"/>
          <w:szCs w:val="32"/>
        </w:rPr>
        <w:t>0万元，</w:t>
      </w:r>
      <w:r>
        <w:rPr>
          <w:rFonts w:hint="eastAsia" w:ascii="仿宋_GB2312" w:hAnsi="仿宋_GB2312" w:cs="仿宋_GB2312"/>
          <w:kern w:val="0"/>
          <w:szCs w:val="32"/>
        </w:rPr>
        <w:t>结转下年支出</w:t>
      </w:r>
      <w:r>
        <w:rPr>
          <w:rFonts w:hint="eastAsia" w:ascii="仿宋_GB2312" w:hAnsi="仿宋_GB2312" w:cs="仿宋_GB2312"/>
          <w:szCs w:val="32"/>
        </w:rPr>
        <w:t>0万元。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2024年一般公共预算拨款139.14万元，其中：基本支出139.14万元，占100%；项目支出0万元，占0%。基本支出中，人员经费129.54万元，占93.10%；公用经费9.60万元，占6.97%。</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一般公共服务（类）支出本部门无一般公共预算拨款。</w:t>
      </w:r>
    </w:p>
    <w:p>
      <w:pPr>
        <w:spacing w:line="520" w:lineRule="exact"/>
        <w:ind w:firstLine="200"/>
        <w:rPr>
          <w:rFonts w:ascii="仿宋_GB2312" w:hAnsi="仿宋_GB2312" w:cs="仿宋_GB2312"/>
          <w:szCs w:val="32"/>
        </w:rPr>
      </w:pPr>
      <w:r>
        <w:rPr>
          <w:rFonts w:hint="eastAsia" w:ascii="仿宋_GB2312" w:hAnsi="仿宋_GB2312" w:cs="仿宋_GB2312"/>
          <w:szCs w:val="32"/>
        </w:rPr>
        <w:t>国防（类）支出本部门无一般公共预算拨款。</w:t>
      </w:r>
    </w:p>
    <w:p>
      <w:pPr>
        <w:spacing w:line="520" w:lineRule="exact"/>
        <w:ind w:firstLine="200"/>
        <w:rPr>
          <w:rFonts w:ascii="仿宋_GB2312" w:hAnsi="仿宋_GB2312" w:cs="仿宋_GB2312"/>
          <w:szCs w:val="32"/>
        </w:rPr>
      </w:pPr>
      <w:r>
        <w:rPr>
          <w:rFonts w:hint="eastAsia" w:ascii="仿宋_GB2312" w:hAnsi="仿宋_GB2312" w:cs="仿宋_GB2312"/>
          <w:szCs w:val="32"/>
        </w:rPr>
        <w:t>教育（类）支出本部门无一般公共预算拨款。</w:t>
      </w:r>
    </w:p>
    <w:p>
      <w:pPr>
        <w:spacing w:line="520" w:lineRule="exact"/>
        <w:ind w:firstLine="200"/>
        <w:rPr>
          <w:rFonts w:ascii="仿宋_GB2312" w:hAnsi="仿宋_GB2312" w:cs="仿宋_GB2312"/>
          <w:szCs w:val="32"/>
        </w:rPr>
      </w:pPr>
      <w:r>
        <w:rPr>
          <w:rFonts w:hint="eastAsia" w:ascii="仿宋_GB2312" w:hAnsi="仿宋_GB2312" w:cs="仿宋_GB2312"/>
          <w:szCs w:val="32"/>
        </w:rPr>
        <w:t>科学技术（类）支出本部门无一般公共预算拨款。</w:t>
      </w:r>
    </w:p>
    <w:p>
      <w:pPr>
        <w:spacing w:line="520" w:lineRule="exact"/>
        <w:ind w:firstLine="200"/>
        <w:rPr>
          <w:rFonts w:ascii="仿宋_GB2312" w:hAnsi="仿宋_GB2312" w:cs="仿宋_GB2312"/>
          <w:szCs w:val="32"/>
        </w:rPr>
      </w:pPr>
      <w:r>
        <w:rPr>
          <w:rFonts w:hint="eastAsia" w:ascii="仿宋_GB2312" w:hAnsi="仿宋_GB2312" w:cs="仿宋_GB2312"/>
          <w:szCs w:val="32"/>
        </w:rPr>
        <w:t>文化旅游体育与传媒（类）支出本部门无一般公共预算拨款。</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社会保障和就业（类）支出18.55万元，占13.33%，主要用于机关事业单位基本养老保险缴费和其他社会保障缴费支出。</w:t>
      </w:r>
    </w:p>
    <w:p>
      <w:pPr>
        <w:spacing w:line="520" w:lineRule="exact"/>
        <w:ind w:firstLine="200"/>
        <w:rPr>
          <w:rFonts w:ascii="仿宋_GB2312" w:hAnsi="仿宋_GB2312" w:cs="仿宋_GB2312"/>
          <w:szCs w:val="32"/>
        </w:rPr>
      </w:pPr>
      <w:r>
        <w:rPr>
          <w:rFonts w:hint="eastAsia" w:ascii="仿宋_GB2312" w:hAnsi="仿宋_GB2312" w:cs="仿宋_GB2312"/>
          <w:szCs w:val="32"/>
        </w:rPr>
        <w:t>卫生健康（类）支出5.96万元，占4.28%，主要用于职工基本医疗保障缴费支出。</w:t>
      </w:r>
    </w:p>
    <w:p>
      <w:pPr>
        <w:spacing w:line="520" w:lineRule="exact"/>
        <w:ind w:firstLine="200"/>
        <w:rPr>
          <w:rFonts w:ascii="仿宋_GB2312" w:hAnsi="仿宋_GB2312" w:cs="仿宋_GB2312"/>
          <w:szCs w:val="32"/>
        </w:rPr>
      </w:pPr>
      <w:r>
        <w:rPr>
          <w:rFonts w:hint="eastAsia" w:ascii="仿宋_GB2312" w:hAnsi="仿宋_GB2312" w:cs="仿宋_GB2312"/>
          <w:szCs w:val="32"/>
        </w:rPr>
        <w:t>农林水支出（类）支出104.37万元，占75.01%，主要用于职工工资福利支出、商品和服务支出。</w:t>
      </w:r>
    </w:p>
    <w:p>
      <w:pPr>
        <w:spacing w:line="520" w:lineRule="exact"/>
        <w:ind w:firstLine="200"/>
        <w:rPr>
          <w:szCs w:val="32"/>
        </w:rPr>
      </w:pPr>
      <w:r>
        <w:rPr>
          <w:rFonts w:hint="eastAsia" w:ascii="仿宋_GB2312" w:hAnsi="仿宋_GB2312" w:cs="仿宋_GB2312"/>
          <w:szCs w:val="32"/>
        </w:rPr>
        <w:t>住房保障（类）支出10.26万元，占7.37%，主要用于职工住房保障支出。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eastAsia="楷体"/>
          <w:szCs w:val="32"/>
        </w:rPr>
        <w:br w:type="page"/>
      </w: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2024年一般公共预算基本支出139.14万元，其中：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人员经费129.54万元，主要包括：</w:t>
      </w:r>
      <w:r>
        <w:rPr>
          <w:rFonts w:hint="eastAsia" w:ascii="仿宋_GB2312" w:hAnsi="仿宋_GB2312" w:cs="仿宋_GB2312"/>
          <w:kern w:val="0"/>
          <w:szCs w:val="32"/>
        </w:rPr>
        <w:t>基本工资</w:t>
      </w:r>
      <w:r>
        <w:rPr>
          <w:rFonts w:hint="eastAsia" w:ascii="仿宋_GB2312" w:hAnsi="仿宋_GB2312" w:cs="仿宋_GB2312"/>
          <w:kern w:val="0"/>
          <w:szCs w:val="32"/>
          <w:lang w:val="en-US" w:eastAsia="zh-CN"/>
        </w:rPr>
        <w:t>59.11万元</w:t>
      </w:r>
      <w:r>
        <w:rPr>
          <w:rFonts w:hint="eastAsia" w:ascii="仿宋_GB2312" w:hAnsi="仿宋_GB2312" w:cs="仿宋_GB2312"/>
          <w:kern w:val="0"/>
          <w:szCs w:val="32"/>
        </w:rPr>
        <w:t>、津贴补贴</w:t>
      </w:r>
      <w:r>
        <w:rPr>
          <w:rFonts w:hint="eastAsia" w:ascii="仿宋_GB2312" w:hAnsi="仿宋_GB2312" w:cs="仿宋_GB2312"/>
          <w:kern w:val="0"/>
          <w:szCs w:val="32"/>
          <w:lang w:val="en-US" w:eastAsia="zh-CN"/>
        </w:rPr>
        <w:t>3.35万元</w:t>
      </w:r>
      <w:r>
        <w:rPr>
          <w:rFonts w:hint="eastAsia" w:ascii="仿宋_GB2312" w:hAnsi="仿宋_GB2312" w:cs="仿宋_GB2312"/>
          <w:szCs w:val="32"/>
        </w:rPr>
        <w:t>、</w:t>
      </w:r>
      <w:r>
        <w:rPr>
          <w:rFonts w:hint="eastAsia" w:ascii="仿宋_GB2312" w:hAnsi="仿宋_GB2312" w:cs="仿宋_GB2312"/>
          <w:kern w:val="0"/>
          <w:szCs w:val="32"/>
        </w:rPr>
        <w:t>奖金</w:t>
      </w:r>
      <w:r>
        <w:rPr>
          <w:rFonts w:hint="eastAsia" w:ascii="仿宋_GB2312" w:hAnsi="仿宋_GB2312" w:cs="仿宋_GB2312"/>
          <w:kern w:val="0"/>
          <w:szCs w:val="32"/>
          <w:lang w:val="en-US" w:eastAsia="zh-CN"/>
        </w:rPr>
        <w:t>3.82万元</w:t>
      </w:r>
      <w:r>
        <w:rPr>
          <w:rFonts w:hint="eastAsia" w:ascii="仿宋_GB2312" w:hAnsi="仿宋_GB2312" w:cs="仿宋_GB2312"/>
          <w:szCs w:val="32"/>
        </w:rPr>
        <w:t>、</w:t>
      </w:r>
      <w:r>
        <w:rPr>
          <w:rFonts w:hint="eastAsia" w:ascii="仿宋_GB2312" w:hAnsi="仿宋_GB2312" w:cs="仿宋_GB2312"/>
          <w:kern w:val="0"/>
          <w:szCs w:val="32"/>
        </w:rPr>
        <w:t>社会保障缴费</w:t>
      </w:r>
      <w:r>
        <w:rPr>
          <w:rFonts w:hint="eastAsia" w:ascii="仿宋_GB2312" w:hAnsi="仿宋_GB2312" w:cs="仿宋_GB2312"/>
          <w:kern w:val="0"/>
          <w:szCs w:val="32"/>
          <w:lang w:val="en-US" w:eastAsia="zh-CN"/>
        </w:rPr>
        <w:t>14.91万元</w:t>
      </w:r>
      <w:r>
        <w:rPr>
          <w:rFonts w:hint="eastAsia" w:ascii="仿宋_GB2312" w:hAnsi="仿宋_GB2312" w:cs="仿宋_GB2312"/>
          <w:szCs w:val="32"/>
        </w:rPr>
        <w:t>、</w:t>
      </w:r>
      <w:r>
        <w:rPr>
          <w:rFonts w:hint="eastAsia" w:ascii="仿宋_GB2312" w:hAnsi="仿宋_GB2312" w:cs="仿宋_GB2312"/>
          <w:kern w:val="0"/>
          <w:szCs w:val="32"/>
        </w:rPr>
        <w:t>其他工资福利支出</w:t>
      </w:r>
      <w:r>
        <w:rPr>
          <w:rFonts w:hint="eastAsia" w:ascii="仿宋_GB2312" w:hAnsi="仿宋_GB2312" w:cs="仿宋_GB2312"/>
          <w:kern w:val="0"/>
          <w:szCs w:val="32"/>
          <w:lang w:val="en-US" w:eastAsia="zh-CN"/>
        </w:rPr>
        <w:t>4.48万元</w:t>
      </w:r>
      <w:r>
        <w:rPr>
          <w:rFonts w:hint="eastAsia" w:ascii="仿宋_GB2312" w:hAnsi="仿宋_GB2312" w:cs="仿宋_GB2312"/>
          <w:szCs w:val="32"/>
        </w:rPr>
        <w:t>、</w:t>
      </w:r>
      <w:r>
        <w:rPr>
          <w:rFonts w:hint="eastAsia" w:ascii="仿宋_GB2312" w:hAnsi="仿宋_GB2312" w:cs="仿宋_GB2312"/>
          <w:kern w:val="0"/>
          <w:szCs w:val="32"/>
        </w:rPr>
        <w:t>离休费</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szCs w:val="32"/>
        </w:rPr>
        <w:t>、</w:t>
      </w:r>
      <w:r>
        <w:rPr>
          <w:rFonts w:hint="eastAsia" w:ascii="仿宋_GB2312" w:hAnsi="仿宋_GB2312" w:cs="仿宋_GB2312"/>
          <w:kern w:val="0"/>
          <w:szCs w:val="32"/>
        </w:rPr>
        <w:t>抚恤金</w:t>
      </w:r>
      <w:r>
        <w:rPr>
          <w:rFonts w:hint="eastAsia" w:ascii="仿宋_GB2312" w:hAnsi="仿宋_GB2312" w:cs="仿宋_GB2312"/>
          <w:szCs w:val="32"/>
        </w:rPr>
        <w:t>、</w:t>
      </w:r>
      <w:r>
        <w:rPr>
          <w:rFonts w:hint="eastAsia" w:ascii="仿宋_GB2312" w:hAnsi="仿宋_GB2312" w:cs="仿宋_GB2312"/>
          <w:kern w:val="0"/>
          <w:szCs w:val="32"/>
        </w:rPr>
        <w:t>生活补助</w:t>
      </w:r>
      <w:r>
        <w:rPr>
          <w:rFonts w:hint="eastAsia" w:ascii="仿宋_GB2312" w:hAnsi="仿宋_GB2312" w:cs="仿宋_GB2312"/>
          <w:szCs w:val="32"/>
        </w:rPr>
        <w:t>、</w:t>
      </w:r>
      <w:r>
        <w:rPr>
          <w:rFonts w:hint="eastAsia" w:ascii="仿宋_GB2312" w:hAnsi="仿宋_GB2312" w:cs="仿宋_GB2312"/>
          <w:kern w:val="0"/>
          <w:szCs w:val="32"/>
        </w:rPr>
        <w:t>助学金</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kern w:val="0"/>
          <w:szCs w:val="32"/>
          <w:lang w:val="en-US" w:eastAsia="zh-CN"/>
        </w:rPr>
        <w:t>10.26万元</w:t>
      </w:r>
      <w:r>
        <w:rPr>
          <w:rFonts w:hint="eastAsia" w:ascii="仿宋_GB2312" w:hAnsi="仿宋_GB2312" w:cs="仿宋_GB2312"/>
          <w:szCs w:val="32"/>
        </w:rPr>
        <w:t>、</w:t>
      </w:r>
      <w:r>
        <w:rPr>
          <w:rFonts w:hint="eastAsia" w:ascii="仿宋_GB2312" w:hAnsi="仿宋_GB2312" w:cs="仿宋_GB2312"/>
          <w:kern w:val="0"/>
          <w:szCs w:val="32"/>
        </w:rPr>
        <w:t>采暖补贴</w:t>
      </w:r>
      <w:r>
        <w:rPr>
          <w:rFonts w:hint="eastAsia" w:ascii="仿宋_GB2312" w:hAnsi="仿宋_GB2312" w:cs="仿宋_GB2312"/>
          <w:szCs w:val="32"/>
        </w:rPr>
        <w:t>、</w:t>
      </w:r>
      <w:r>
        <w:rPr>
          <w:rFonts w:hint="eastAsia" w:ascii="仿宋_GB2312" w:hAnsi="仿宋_GB2312" w:cs="仿宋_GB2312"/>
          <w:kern w:val="0"/>
          <w:szCs w:val="32"/>
        </w:rPr>
        <w:t>其他对个人和家庭的补助支出</w:t>
      </w:r>
      <w:r>
        <w:rPr>
          <w:rFonts w:hint="eastAsia" w:ascii="仿宋_GB2312" w:hAnsi="仿宋_GB2312" w:cs="仿宋_GB2312"/>
          <w:kern w:val="0"/>
          <w:szCs w:val="32"/>
          <w:lang w:val="en-US" w:eastAsia="zh-CN"/>
        </w:rPr>
        <w:t>0.54万元</w:t>
      </w:r>
      <w:r>
        <w:rPr>
          <w:rFonts w:hint="eastAsia" w:ascii="仿宋_GB2312" w:hAnsi="仿宋_GB2312" w:cs="仿宋_GB2312"/>
          <w:kern w:val="0"/>
          <w:szCs w:val="32"/>
        </w:rPr>
        <w:t>。</w:t>
      </w:r>
    </w:p>
    <w:p>
      <w:pPr>
        <w:ind w:firstLine="640" w:firstLineChars="200"/>
        <w:rPr>
          <w:szCs w:val="32"/>
        </w:rPr>
      </w:pPr>
      <w:r>
        <w:rPr>
          <w:rFonts w:hint="eastAsia" w:ascii="仿宋_GB2312" w:hAnsi="仿宋_GB2312" w:cs="仿宋_GB2312"/>
          <w:kern w:val="0"/>
          <w:szCs w:val="32"/>
        </w:rPr>
        <w:t>公用经费</w:t>
      </w:r>
      <w:r>
        <w:rPr>
          <w:rFonts w:hint="eastAsia" w:ascii="仿宋_GB2312" w:hAnsi="仿宋_GB2312" w:cs="仿宋_GB2312"/>
          <w:szCs w:val="32"/>
        </w:rPr>
        <w:t>9.60万元，主要包括：</w:t>
      </w:r>
      <w:r>
        <w:rPr>
          <w:rFonts w:hint="eastAsia" w:ascii="仿宋_GB2312" w:hAnsi="仿宋_GB2312" w:cs="仿宋_GB2312"/>
          <w:kern w:val="0"/>
          <w:szCs w:val="32"/>
        </w:rPr>
        <w:t>办公费</w:t>
      </w:r>
      <w:r>
        <w:rPr>
          <w:rFonts w:hint="eastAsia" w:ascii="仿宋_GB2312" w:hAnsi="仿宋_GB2312" w:cs="仿宋_GB2312"/>
          <w:kern w:val="0"/>
          <w:szCs w:val="32"/>
          <w:lang w:val="en-US" w:eastAsia="zh-CN"/>
        </w:rPr>
        <w:t>2.00万元</w:t>
      </w:r>
      <w:r>
        <w:rPr>
          <w:rFonts w:hint="eastAsia" w:ascii="仿宋_GB2312" w:hAnsi="仿宋_GB2312" w:cs="仿宋_GB2312"/>
          <w:szCs w:val="32"/>
        </w:rPr>
        <w:t>、</w:t>
      </w:r>
      <w:r>
        <w:rPr>
          <w:rFonts w:hint="eastAsia" w:ascii="仿宋_GB2312" w:hAnsi="仿宋_GB2312" w:cs="仿宋_GB2312"/>
          <w:kern w:val="0"/>
          <w:szCs w:val="32"/>
        </w:rPr>
        <w:t>印刷费</w:t>
      </w:r>
      <w:r>
        <w:rPr>
          <w:rFonts w:hint="eastAsia" w:ascii="仿宋_GB2312" w:hAnsi="仿宋_GB2312" w:cs="仿宋_GB2312"/>
          <w:szCs w:val="32"/>
        </w:rPr>
        <w:t>、</w:t>
      </w:r>
      <w:r>
        <w:rPr>
          <w:rFonts w:hint="eastAsia" w:ascii="仿宋_GB2312" w:hAnsi="仿宋_GB2312" w:cs="仿宋_GB2312"/>
          <w:kern w:val="0"/>
          <w:szCs w:val="32"/>
        </w:rPr>
        <w:t>水费</w:t>
      </w:r>
      <w:r>
        <w:rPr>
          <w:rFonts w:hint="eastAsia" w:ascii="仿宋_GB2312" w:hAnsi="仿宋_GB2312" w:cs="仿宋_GB2312"/>
          <w:szCs w:val="32"/>
        </w:rPr>
        <w:t>、</w:t>
      </w:r>
      <w:r>
        <w:rPr>
          <w:rFonts w:hint="eastAsia" w:ascii="仿宋_GB2312" w:hAnsi="仿宋_GB2312" w:cs="仿宋_GB2312"/>
          <w:kern w:val="0"/>
          <w:szCs w:val="32"/>
        </w:rPr>
        <w:t>电费</w:t>
      </w:r>
      <w:r>
        <w:rPr>
          <w:rFonts w:hint="eastAsia" w:ascii="仿宋_GB2312" w:hAnsi="仿宋_GB2312" w:cs="仿宋_GB2312"/>
          <w:szCs w:val="32"/>
        </w:rPr>
        <w:t>、</w:t>
      </w:r>
      <w:r>
        <w:rPr>
          <w:rFonts w:hint="eastAsia" w:ascii="仿宋_GB2312" w:hAnsi="仿宋_GB2312" w:cs="仿宋_GB2312"/>
          <w:kern w:val="0"/>
          <w:szCs w:val="32"/>
        </w:rPr>
        <w:t>邮电费</w:t>
      </w:r>
      <w:r>
        <w:rPr>
          <w:rFonts w:hint="eastAsia" w:ascii="仿宋_GB2312" w:hAnsi="仿宋_GB2312" w:cs="仿宋_GB2312"/>
          <w:szCs w:val="32"/>
        </w:rPr>
        <w:t>、</w:t>
      </w:r>
      <w:r>
        <w:rPr>
          <w:rFonts w:hint="eastAsia" w:ascii="仿宋_GB2312" w:hAnsi="仿宋_GB2312" w:cs="仿宋_GB2312"/>
          <w:kern w:val="0"/>
          <w:szCs w:val="32"/>
        </w:rPr>
        <w:t>取暖费</w:t>
      </w:r>
      <w:r>
        <w:rPr>
          <w:rFonts w:hint="eastAsia" w:ascii="仿宋_GB2312" w:hAnsi="仿宋_GB2312" w:cs="仿宋_GB2312"/>
          <w:kern w:val="0"/>
          <w:szCs w:val="32"/>
          <w:lang w:val="en-US" w:eastAsia="zh-CN"/>
        </w:rPr>
        <w:t>1万元</w:t>
      </w:r>
      <w:r>
        <w:rPr>
          <w:rFonts w:hint="eastAsia" w:ascii="仿宋_GB2312" w:hAnsi="仿宋_GB2312" w:cs="仿宋_GB2312"/>
          <w:szCs w:val="32"/>
        </w:rPr>
        <w:t>、</w:t>
      </w:r>
      <w:r>
        <w:rPr>
          <w:rFonts w:hint="eastAsia" w:ascii="仿宋_GB2312" w:hAnsi="仿宋_GB2312" w:cs="仿宋_GB2312"/>
          <w:kern w:val="0"/>
          <w:szCs w:val="32"/>
        </w:rPr>
        <w:t>物业管理费</w:t>
      </w:r>
      <w:r>
        <w:rPr>
          <w:rFonts w:hint="eastAsia" w:ascii="仿宋_GB2312" w:hAnsi="仿宋_GB2312" w:cs="仿宋_GB2312"/>
          <w:szCs w:val="32"/>
        </w:rPr>
        <w:t>、</w:t>
      </w:r>
      <w:r>
        <w:rPr>
          <w:rFonts w:hint="eastAsia" w:ascii="仿宋_GB2312" w:hAnsi="仿宋_GB2312" w:cs="仿宋_GB2312"/>
          <w:kern w:val="0"/>
          <w:szCs w:val="32"/>
        </w:rPr>
        <w:t>差旅费</w:t>
      </w:r>
      <w:r>
        <w:rPr>
          <w:rFonts w:hint="eastAsia" w:ascii="仿宋_GB2312" w:hAnsi="仿宋_GB2312" w:cs="仿宋_GB2312"/>
          <w:kern w:val="0"/>
          <w:szCs w:val="32"/>
          <w:lang w:val="en-US" w:eastAsia="zh-CN"/>
        </w:rPr>
        <w:t>0.20万元</w:t>
      </w:r>
      <w:r>
        <w:rPr>
          <w:rFonts w:hint="eastAsia" w:ascii="仿宋_GB2312" w:hAnsi="仿宋_GB2312" w:cs="仿宋_GB2312"/>
          <w:szCs w:val="32"/>
        </w:rPr>
        <w:t>、</w:t>
      </w:r>
      <w:r>
        <w:rPr>
          <w:rFonts w:hint="eastAsia" w:ascii="仿宋_GB2312" w:hAnsi="仿宋_GB2312" w:cs="仿宋_GB2312"/>
          <w:kern w:val="0"/>
          <w:szCs w:val="32"/>
        </w:rPr>
        <w:t>维修（护）费</w:t>
      </w:r>
      <w:r>
        <w:rPr>
          <w:rFonts w:hint="eastAsia" w:ascii="仿宋_GB2312" w:hAnsi="仿宋_GB2312" w:cs="仿宋_GB2312"/>
          <w:kern w:val="0"/>
          <w:szCs w:val="32"/>
          <w:lang w:val="en-US" w:eastAsia="zh-CN"/>
        </w:rPr>
        <w:t>5万元</w:t>
      </w:r>
      <w:r>
        <w:rPr>
          <w:rFonts w:hint="eastAsia" w:ascii="仿宋_GB2312" w:hAnsi="仿宋_GB2312" w:cs="仿宋_GB2312"/>
          <w:szCs w:val="32"/>
        </w:rPr>
        <w:t>、</w:t>
      </w:r>
      <w:r>
        <w:rPr>
          <w:rFonts w:hint="eastAsia" w:ascii="仿宋_GB2312" w:hAnsi="仿宋_GB2312" w:cs="仿宋_GB2312"/>
          <w:kern w:val="0"/>
          <w:szCs w:val="32"/>
        </w:rPr>
        <w:t>会议费</w:t>
      </w:r>
      <w:r>
        <w:rPr>
          <w:rFonts w:hint="eastAsia" w:ascii="仿宋_GB2312" w:hAnsi="仿宋_GB2312" w:cs="仿宋_GB2312"/>
          <w:szCs w:val="32"/>
        </w:rPr>
        <w:t>、</w:t>
      </w:r>
      <w:r>
        <w:rPr>
          <w:rFonts w:hint="eastAsia" w:ascii="仿宋_GB2312" w:hAnsi="仿宋_GB2312" w:cs="仿宋_GB2312"/>
          <w:kern w:val="0"/>
          <w:szCs w:val="32"/>
        </w:rPr>
        <w:t>培训费</w:t>
      </w:r>
      <w:r>
        <w:rPr>
          <w:rFonts w:hint="eastAsia" w:ascii="仿宋_GB2312" w:hAnsi="仿宋_GB2312" w:cs="仿宋_GB2312"/>
          <w:szCs w:val="32"/>
        </w:rPr>
        <w:t>、</w:t>
      </w:r>
      <w:r>
        <w:rPr>
          <w:rFonts w:hint="eastAsia" w:ascii="仿宋_GB2312" w:hAnsi="仿宋_GB2312" w:cs="仿宋_GB2312"/>
          <w:kern w:val="0"/>
          <w:szCs w:val="32"/>
        </w:rPr>
        <w:t>公务接待费</w:t>
      </w:r>
      <w:r>
        <w:rPr>
          <w:rFonts w:hint="eastAsia" w:ascii="仿宋_GB2312" w:hAnsi="仿宋_GB2312" w:cs="仿宋_GB2312"/>
          <w:szCs w:val="32"/>
        </w:rPr>
        <w:t>、</w:t>
      </w:r>
      <w:r>
        <w:rPr>
          <w:rFonts w:hint="eastAsia" w:ascii="仿宋_GB2312" w:hAnsi="仿宋_GB2312" w:cs="仿宋_GB2312"/>
          <w:kern w:val="0"/>
          <w:szCs w:val="32"/>
        </w:rPr>
        <w:t>工会经费、福利费</w:t>
      </w:r>
      <w:r>
        <w:rPr>
          <w:rFonts w:hint="eastAsia" w:ascii="仿宋_GB2312" w:hAnsi="仿宋_GB2312" w:cs="仿宋_GB2312"/>
          <w:szCs w:val="32"/>
        </w:rPr>
        <w:t>、公</w:t>
      </w:r>
      <w:r>
        <w:rPr>
          <w:rFonts w:hint="eastAsia" w:ascii="仿宋_GB2312" w:hAnsi="仿宋_GB2312" w:cs="仿宋_GB2312"/>
          <w:kern w:val="0"/>
          <w:szCs w:val="32"/>
        </w:rPr>
        <w:t>务用车运行维护费</w:t>
      </w:r>
      <w:r>
        <w:rPr>
          <w:rFonts w:hint="eastAsia" w:ascii="仿宋_GB2312" w:hAnsi="仿宋_GB2312" w:cs="仿宋_GB2312"/>
          <w:szCs w:val="32"/>
        </w:rPr>
        <w:t>、</w:t>
      </w:r>
      <w:r>
        <w:rPr>
          <w:rFonts w:hint="eastAsia" w:ascii="仿宋_GB2312" w:hAnsi="仿宋_GB2312" w:cs="仿宋_GB2312"/>
          <w:kern w:val="0"/>
          <w:szCs w:val="32"/>
        </w:rPr>
        <w:t>其他交通补助</w:t>
      </w:r>
      <w:r>
        <w:rPr>
          <w:rFonts w:hint="eastAsia" w:ascii="仿宋_GB2312" w:hAnsi="仿宋_GB2312" w:cs="仿宋_GB2312"/>
          <w:szCs w:val="32"/>
        </w:rPr>
        <w:t>、</w:t>
      </w:r>
      <w:r>
        <w:rPr>
          <w:rFonts w:hint="eastAsia" w:ascii="仿宋_GB2312" w:hAnsi="仿宋_GB2312" w:cs="仿宋_GB2312"/>
          <w:kern w:val="0"/>
          <w:szCs w:val="32"/>
        </w:rPr>
        <w:t>其他商品和服务支出</w:t>
      </w:r>
      <w:r>
        <w:rPr>
          <w:rFonts w:hint="eastAsia" w:ascii="仿宋_GB2312" w:hAnsi="仿宋_GB2312" w:cs="仿宋_GB2312"/>
          <w:kern w:val="0"/>
          <w:szCs w:val="32"/>
          <w:lang w:val="en-US" w:eastAsia="zh-CN"/>
        </w:rPr>
        <w:t>1万元</w:t>
      </w:r>
      <w:r>
        <w:rPr>
          <w:rFonts w:hint="eastAsia" w:ascii="仿宋_GB2312" w:hAnsi="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eastAsia="楷体"/>
          <w:szCs w:val="32"/>
        </w:rPr>
        <w:t>本部门无一般公共预算拨款</w:t>
      </w:r>
      <w:r>
        <w:rPr>
          <w:rFonts w:hint="eastAsia" w:eastAsia="楷体"/>
          <w:szCs w:val="32"/>
          <w:lang w:eastAsia="zh-CN"/>
        </w:rPr>
        <w:t>。</w:t>
      </w:r>
      <w:r>
        <w:rPr>
          <w:rFonts w:hint="eastAsia" w:ascii="仿宋_GB2312" w:hAnsi="仿宋_GB2312" w:cs="仿宋_GB2312"/>
          <w:szCs w:val="32"/>
        </w:rPr>
        <w:t>2024年“三公”经费预算数为0万元，其中:当年预算0万元；上年结转0万元。2024年当年预算数比2023年预算数增加（减少）0万元。其中：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1.因公出国（境）费0万元，其中：当年预算0万元；上年结转0万元。</w:t>
      </w:r>
    </w:p>
    <w:p>
      <w:pPr>
        <w:ind w:firstLine="640" w:firstLineChars="200"/>
        <w:rPr>
          <w:rFonts w:ascii="仿宋_GB2312" w:hAnsi="仿宋_GB2312" w:cs="仿宋_GB2312"/>
          <w:szCs w:val="32"/>
        </w:rPr>
      </w:pPr>
      <w:r>
        <w:rPr>
          <w:rFonts w:hint="eastAsia" w:ascii="仿宋_GB2312" w:hAnsi="仿宋_GB2312" w:cs="仿宋_GB2312"/>
          <w:szCs w:val="32"/>
        </w:rPr>
        <w:t>2.公务接待费0万元，其中：当年预算0万元；上年结转0万元。</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0万元，其中：当年预算0万元；上年结转0万元，2024年当年预算数比2023年预算数减少0万元，主要原因是压缩三公经费支出。公务用车运行维护费0万元，其中：当年预算0万元；上年结转0万元。2024年当年预算数比2023年预算数减少0万元，主要原因是压缩三公经费支出；公务用车购置费0万元，其中：当年预算0万元；上年结转0万元。2024年当年预算数比2023年预算数增加（减少）0万元，主要原因是本部门无一般公共预算拨款。</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八、2024年政府性基金预算支出情况</w:t>
      </w:r>
    </w:p>
    <w:p>
      <w:pPr>
        <w:ind w:firstLine="640"/>
        <w:rPr>
          <w:rFonts w:ascii="仿宋_GB2312" w:hAnsi="仿宋_GB2312" w:cs="仿宋_GB2312"/>
          <w:szCs w:val="32"/>
        </w:rPr>
      </w:pPr>
      <w:r>
        <w:rPr>
          <w:rFonts w:hint="eastAsia" w:ascii="仿宋_GB2312" w:hAnsi="仿宋_GB2312" w:cs="仿宋_GB2312"/>
          <w:szCs w:val="32"/>
        </w:rPr>
        <w:t>2024年本部门无政府性基金预算拨款支出。</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640" w:firstLineChars="200"/>
        <w:rPr>
          <w:rFonts w:ascii="黑体" w:hAnsi="黑体" w:eastAsia="黑体" w:cs="黑体"/>
          <w:szCs w:val="32"/>
        </w:rPr>
      </w:pPr>
    </w:p>
    <w:p>
      <w:pPr>
        <w:ind w:firstLine="1600" w:firstLineChars="5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hint="eastAsia" w:ascii="仿宋_GB2312" w:hAnsi="仿宋_GB2312" w:cs="仿宋_GB2312"/>
          <w:szCs w:val="32"/>
        </w:rPr>
        <w:t>2024年</w:t>
      </w:r>
      <w:r>
        <w:rPr>
          <w:rFonts w:eastAsia="楷体"/>
          <w:szCs w:val="32"/>
        </w:rPr>
        <w:t>本</w:t>
      </w:r>
      <w:r>
        <w:rPr>
          <w:rFonts w:hint="eastAsia" w:ascii="仿宋_GB2312" w:hAnsi="仿宋_GB2312" w:cs="仿宋_GB2312"/>
          <w:szCs w:val="32"/>
        </w:rPr>
        <w:t>部门无国有资本经营预算拨款支出。</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1600" w:firstLineChars="5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2024年本部门无部机关运行经费支出。</w:t>
      </w:r>
    </w:p>
    <w:p>
      <w:pPr>
        <w:spacing w:line="540" w:lineRule="exact"/>
        <w:ind w:firstLine="640" w:firstLineChars="200"/>
        <w:rPr>
          <w:rFonts w:eastAsia="楷体"/>
          <w:szCs w:val="32"/>
        </w:rPr>
      </w:pPr>
      <w:r>
        <w:rPr>
          <w:rFonts w:hint="eastAsia" w:eastAsia="楷体"/>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2024年本部门无政府采购预算支出。</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截至2023年12月底，部门本级和所属各预算单位共有车辆0辆，土地0平方米，房屋0平方米，单价100万元及以上的通用设备0台/套，单价100万元及以上的专用设备实有数0台/套。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2024年部门预算安排购置车辆0辆，安排购置土地0平方米，安排购置房屋0平方米，计划新增单价50万元及以上的通用设备0台/套，计划新增单价100万元及以上的专用设备实有数0台/套。</w:t>
      </w:r>
    </w:p>
    <w:p>
      <w:pPr>
        <w:numPr>
          <w:ilvl w:val="0"/>
          <w:numId w:val="2"/>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2024年本部门无项目支出</w:t>
      </w:r>
      <w:r>
        <w:rPr>
          <w:rFonts w:hint="eastAsia" w:ascii="仿宋_GB2312" w:hAnsi="仿宋_GB2312" w:cs="仿宋_GB2312"/>
          <w:szCs w:val="32"/>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cs="仿宋_GB2312"/>
        </w:rPr>
        <w:t>2024年本部门无项目支出</w:t>
      </w:r>
      <w:r>
        <w:rPr>
          <w:rFonts w:hint="eastAsia" w:ascii="仿宋_GB2312" w:hAnsi="仿宋_GB2312" w:cs="仿宋_GB2312"/>
          <w:szCs w:val="32"/>
        </w:rPr>
        <w:t>。</w:t>
      </w: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20</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300DEF"/>
    <w:multiLevelType w:val="singleLevel"/>
    <w:tmpl w:val="32300DEF"/>
    <w:lvl w:ilvl="0" w:tentative="0">
      <w:start w:val="4"/>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5"/>
  <w:drawingGridHorizontalSpacing w:val="156"/>
  <w:drawingGridVerticalSpacing w:val="287"/>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2"/>
  </w:compat>
  <w:docVars>
    <w:docVar w:name="commondata" w:val="eyJoZGlkIjoiMzM0MWZjNzQzZTAxODFiZTRiM2I2NGJlMjZiNjhlOWYifQ=="/>
  </w:docVars>
  <w:rsids>
    <w:rsidRoot w:val="48674ED2"/>
    <w:rsid w:val="000A72B5"/>
    <w:rsid w:val="000C518B"/>
    <w:rsid w:val="000C6D48"/>
    <w:rsid w:val="000D7FB8"/>
    <w:rsid w:val="00102492"/>
    <w:rsid w:val="00145456"/>
    <w:rsid w:val="00155DDA"/>
    <w:rsid w:val="0022025C"/>
    <w:rsid w:val="002300BA"/>
    <w:rsid w:val="00275793"/>
    <w:rsid w:val="00292A39"/>
    <w:rsid w:val="002A5441"/>
    <w:rsid w:val="002E7CD8"/>
    <w:rsid w:val="0031526F"/>
    <w:rsid w:val="0036779F"/>
    <w:rsid w:val="00367BC1"/>
    <w:rsid w:val="0038333B"/>
    <w:rsid w:val="00396D8D"/>
    <w:rsid w:val="00413251"/>
    <w:rsid w:val="0042070E"/>
    <w:rsid w:val="00426F96"/>
    <w:rsid w:val="00442B05"/>
    <w:rsid w:val="00487479"/>
    <w:rsid w:val="004E390D"/>
    <w:rsid w:val="00502F57"/>
    <w:rsid w:val="005105A3"/>
    <w:rsid w:val="00514321"/>
    <w:rsid w:val="00554D0A"/>
    <w:rsid w:val="00584D1B"/>
    <w:rsid w:val="00586A56"/>
    <w:rsid w:val="005A3183"/>
    <w:rsid w:val="005B1A2D"/>
    <w:rsid w:val="005B3B8A"/>
    <w:rsid w:val="005D5B16"/>
    <w:rsid w:val="005E4087"/>
    <w:rsid w:val="005F314F"/>
    <w:rsid w:val="00623896"/>
    <w:rsid w:val="006358AE"/>
    <w:rsid w:val="00690E2A"/>
    <w:rsid w:val="00692B33"/>
    <w:rsid w:val="006B3914"/>
    <w:rsid w:val="007638E0"/>
    <w:rsid w:val="00775B4E"/>
    <w:rsid w:val="007D6C0F"/>
    <w:rsid w:val="00812796"/>
    <w:rsid w:val="00821098"/>
    <w:rsid w:val="00825722"/>
    <w:rsid w:val="00841DA8"/>
    <w:rsid w:val="00843281"/>
    <w:rsid w:val="00851A6F"/>
    <w:rsid w:val="00851B86"/>
    <w:rsid w:val="00856C0C"/>
    <w:rsid w:val="00870789"/>
    <w:rsid w:val="00876AFD"/>
    <w:rsid w:val="00896C22"/>
    <w:rsid w:val="008A3DA8"/>
    <w:rsid w:val="008C034B"/>
    <w:rsid w:val="008D7805"/>
    <w:rsid w:val="0091631A"/>
    <w:rsid w:val="00932BEF"/>
    <w:rsid w:val="00976982"/>
    <w:rsid w:val="00983A8D"/>
    <w:rsid w:val="00996747"/>
    <w:rsid w:val="009B2F41"/>
    <w:rsid w:val="009E093A"/>
    <w:rsid w:val="009F288E"/>
    <w:rsid w:val="00A34894"/>
    <w:rsid w:val="00A73E5D"/>
    <w:rsid w:val="00A7667A"/>
    <w:rsid w:val="00A96058"/>
    <w:rsid w:val="00AD4E96"/>
    <w:rsid w:val="00AD50F4"/>
    <w:rsid w:val="00B03AA6"/>
    <w:rsid w:val="00B05DD3"/>
    <w:rsid w:val="00B477F1"/>
    <w:rsid w:val="00B60748"/>
    <w:rsid w:val="00B62F90"/>
    <w:rsid w:val="00B659E7"/>
    <w:rsid w:val="00B668F4"/>
    <w:rsid w:val="00B72631"/>
    <w:rsid w:val="00BA3357"/>
    <w:rsid w:val="00BA7D5D"/>
    <w:rsid w:val="00BB1912"/>
    <w:rsid w:val="00BB6FD3"/>
    <w:rsid w:val="00BE1CDD"/>
    <w:rsid w:val="00C23ACC"/>
    <w:rsid w:val="00C36C22"/>
    <w:rsid w:val="00C55740"/>
    <w:rsid w:val="00CA1FFF"/>
    <w:rsid w:val="00CC2C40"/>
    <w:rsid w:val="00CC3C00"/>
    <w:rsid w:val="00CC6E11"/>
    <w:rsid w:val="00CC7209"/>
    <w:rsid w:val="00D33284"/>
    <w:rsid w:val="00D44841"/>
    <w:rsid w:val="00D55467"/>
    <w:rsid w:val="00D71247"/>
    <w:rsid w:val="00DF0F79"/>
    <w:rsid w:val="00E0027E"/>
    <w:rsid w:val="00E00855"/>
    <w:rsid w:val="00E12B43"/>
    <w:rsid w:val="00E22C47"/>
    <w:rsid w:val="00E56F79"/>
    <w:rsid w:val="00E60815"/>
    <w:rsid w:val="00E67450"/>
    <w:rsid w:val="00E82D48"/>
    <w:rsid w:val="00EC73B7"/>
    <w:rsid w:val="00EE1F67"/>
    <w:rsid w:val="00F41CAE"/>
    <w:rsid w:val="00F47B19"/>
    <w:rsid w:val="00F51329"/>
    <w:rsid w:val="00F7193F"/>
    <w:rsid w:val="00F8523B"/>
    <w:rsid w:val="00FD604A"/>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0503DF"/>
    <w:rsid w:val="0F3E0406"/>
    <w:rsid w:val="0F8B592F"/>
    <w:rsid w:val="0FD62F63"/>
    <w:rsid w:val="107728C7"/>
    <w:rsid w:val="10AE7F82"/>
    <w:rsid w:val="10C93B35"/>
    <w:rsid w:val="10E14501"/>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733A2F"/>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3830BD"/>
    <w:rsid w:val="364C598E"/>
    <w:rsid w:val="36CC2B0F"/>
    <w:rsid w:val="371A614D"/>
    <w:rsid w:val="3838492F"/>
    <w:rsid w:val="387258D7"/>
    <w:rsid w:val="3887374F"/>
    <w:rsid w:val="38AF6637"/>
    <w:rsid w:val="39041A07"/>
    <w:rsid w:val="39043B77"/>
    <w:rsid w:val="393F0DCD"/>
    <w:rsid w:val="39670895"/>
    <w:rsid w:val="39D54A12"/>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E8170B"/>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17058E"/>
    <w:rsid w:val="5D2B52D8"/>
    <w:rsid w:val="5D5A7C63"/>
    <w:rsid w:val="5E256F6F"/>
    <w:rsid w:val="5F6235A9"/>
    <w:rsid w:val="614125C2"/>
    <w:rsid w:val="624C5C52"/>
    <w:rsid w:val="63952BB5"/>
    <w:rsid w:val="63DF08E4"/>
    <w:rsid w:val="63ED5D04"/>
    <w:rsid w:val="64127E15"/>
    <w:rsid w:val="64AA11CC"/>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1734CF"/>
    <w:rsid w:val="78796248"/>
    <w:rsid w:val="79700BEF"/>
    <w:rsid w:val="79F85634"/>
    <w:rsid w:val="7A090695"/>
    <w:rsid w:val="7AE175F4"/>
    <w:rsid w:val="7B417685"/>
    <w:rsid w:val="7B5220F0"/>
    <w:rsid w:val="7BA169C0"/>
    <w:rsid w:val="7BE95D3C"/>
    <w:rsid w:val="7CAD595B"/>
    <w:rsid w:val="7CF65D07"/>
    <w:rsid w:val="7D2975D1"/>
    <w:rsid w:val="7DCC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Autospacing="1"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qFormat/>
    <w:uiPriority w:val="0"/>
  </w:style>
  <w:style w:type="character" w:customStyle="1" w:styleId="13">
    <w:name w:val="批注框文本 Char"/>
    <w:link w:val="5"/>
    <w:autoRedefine/>
    <w:qFormat/>
    <w:uiPriority w:val="0"/>
    <w:rPr>
      <w:rFonts w:eastAsia="仿宋_GB2312"/>
      <w:kern w:val="2"/>
      <w:sz w:val="18"/>
      <w:szCs w:val="18"/>
    </w:rPr>
  </w:style>
  <w:style w:type="character" w:customStyle="1" w:styleId="14">
    <w:name w:val="页脚 Char"/>
    <w:link w:val="6"/>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4">
    <w:name w:val="页脚 New New New New New"/>
    <w:basedOn w:val="1"/>
    <w:autoRedefine/>
    <w:qFormat/>
    <w:uiPriority w:val="0"/>
    <w:pPr>
      <w:tabs>
        <w:tab w:val="center" w:pos="4153"/>
        <w:tab w:val="right" w:pos="8306"/>
      </w:tabs>
      <w:snapToGrid w:val="0"/>
      <w:jc w:val="left"/>
    </w:pPr>
    <w:rPr>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sz w:val="18"/>
    </w:rPr>
  </w:style>
  <w:style w:type="paragraph" w:customStyle="1" w:styleId="60">
    <w:name w:val="页脚 New New New New New New"/>
    <w:basedOn w:val="1"/>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E191F2-3ED7-494D-9F97-AFBEA39F829F}">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1483</Words>
  <Characters>8457</Characters>
  <Lines>70</Lines>
  <Paragraphs>19</Paragraphs>
  <TotalTime>10</TotalTime>
  <ScaleCrop>false</ScaleCrop>
  <LinksUpToDate>false</LinksUpToDate>
  <CharactersWithSpaces>9921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2024-01-29T13:23:00Z</cp:lastPrinted>
  <dcterms:modified xsi:type="dcterms:W3CDTF">2024-01-30T01:55:57Z</dcterms:modified>
  <dc:title>主  持  词</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0744878720DE4C8EB1118BF418AE15F2_13</vt:lpwstr>
  </property>
</Properties>
</file>