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val="en-US" w:eastAsia="zh-CN"/>
        </w:rPr>
        <w:t>通榆县树满街道办事处</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bookmarkStart w:id="0" w:name="_GoBack"/>
      <w:bookmarkEnd w:id="0"/>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pStyle w:val="51"/>
        <w:ind w:firstLine="620" w:firstLineChars="200"/>
        <w:rPr>
          <w:rFonts w:hint="eastAsia" w:ascii="仿宋" w:hAnsi="仿宋" w:eastAsia="仿宋" w:cs="仿宋"/>
          <w:b w:val="0"/>
          <w:bCs w:val="0"/>
          <w:color w:val="000000"/>
          <w:sz w:val="31"/>
          <w:szCs w:val="31"/>
        </w:rPr>
      </w:pPr>
      <w:r>
        <w:rPr>
          <w:rFonts w:hint="eastAsia" w:ascii="仿宋" w:hAnsi="仿宋" w:eastAsia="仿宋" w:cs="仿宋"/>
          <w:b w:val="0"/>
          <w:bCs w:val="0"/>
          <w:color w:val="000000"/>
          <w:sz w:val="31"/>
          <w:szCs w:val="31"/>
        </w:rPr>
        <w:t>一、部门职责</w:t>
      </w:r>
    </w:p>
    <w:p>
      <w:pPr>
        <w:pStyle w:val="51"/>
        <w:ind w:firstLine="620" w:firstLineChars="200"/>
        <w:rPr>
          <w:rFonts w:hint="eastAsia" w:ascii="仿宋" w:hAnsi="仿宋" w:eastAsia="仿宋" w:cs="仿宋"/>
          <w:b w:val="0"/>
          <w:bCs w:val="0"/>
          <w:color w:val="000000"/>
          <w:sz w:val="31"/>
          <w:szCs w:val="31"/>
        </w:rPr>
      </w:pPr>
      <w:r>
        <w:rPr>
          <w:rFonts w:hint="eastAsia" w:ascii="仿宋" w:hAnsi="仿宋" w:eastAsia="仿宋" w:cs="仿宋"/>
          <w:b w:val="0"/>
          <w:bCs w:val="0"/>
          <w:color w:val="000000"/>
          <w:sz w:val="31"/>
          <w:szCs w:val="31"/>
        </w:rPr>
        <w:t>(一)加强党的建设。落实基层党建工作责任制，坚持和完善党的全面领导，加强党的组织体系建设，增强党的政治领导力，思想引领力，群众组织力、社会号召力。统筹抓好辖区内新额域新业态新群体党建工作，强化党的政治建设、思想建设、组织建设、作风建设、纪律建设，把制度建设贯穿其中深入推进反腐败斗争，加强基层意识形态工作。</w:t>
      </w:r>
    </w:p>
    <w:p>
      <w:pPr>
        <w:pStyle w:val="51"/>
        <w:ind w:firstLine="620" w:firstLineChars="200"/>
        <w:rPr>
          <w:rFonts w:hint="eastAsia" w:ascii="仿宋" w:hAnsi="仿宋" w:eastAsia="仿宋" w:cs="仿宋"/>
          <w:b w:val="0"/>
          <w:bCs w:val="0"/>
          <w:color w:val="000000"/>
          <w:sz w:val="31"/>
          <w:szCs w:val="31"/>
        </w:rPr>
      </w:pPr>
      <w:r>
        <w:rPr>
          <w:rFonts w:hint="eastAsia" w:ascii="仿宋" w:hAnsi="仿宋" w:eastAsia="仿宋" w:cs="仿宋"/>
          <w:b w:val="0"/>
          <w:bCs w:val="0"/>
          <w:color w:val="000000"/>
          <w:sz w:val="31"/>
          <w:szCs w:val="31"/>
        </w:rPr>
        <w:t>(二)统筹区域发展。统筹落实辖区发展的重大决策和辖区建设规划，参与辖区公共服务设施建设规划，推动辖区健康、有序、可持续发展。合理确定经济发展职能，把经济工作重心转移到推进产业升级、促进经济结构调整和经济增长方式转变上来。统筹做好企业服务工作，营造良好营商环境。</w:t>
      </w:r>
    </w:p>
    <w:p>
      <w:pPr>
        <w:pStyle w:val="51"/>
        <w:ind w:firstLine="620" w:firstLineChars="200"/>
        <w:rPr>
          <w:rFonts w:hint="eastAsia" w:ascii="仿宋" w:hAnsi="仿宋" w:eastAsia="仿宋" w:cs="仿宋"/>
          <w:b w:val="0"/>
          <w:bCs w:val="0"/>
          <w:color w:val="000000"/>
          <w:sz w:val="31"/>
          <w:szCs w:val="31"/>
        </w:rPr>
      </w:pPr>
      <w:r>
        <w:rPr>
          <w:rFonts w:hint="eastAsia" w:ascii="仿宋" w:hAnsi="仿宋" w:eastAsia="仿宋" w:cs="仿宋"/>
          <w:b w:val="0"/>
          <w:bCs w:val="0"/>
          <w:color w:val="000000"/>
          <w:sz w:val="31"/>
          <w:szCs w:val="31"/>
        </w:rPr>
        <w:t>(三)组织公共服务。推进政府职能由“管理型”向服务型”转变，积极推进基本公共服务均等化。推动优质公共服务资源向社区延伸。创新公共服务供给方式，加快建立政府主导、社会参与、公办民办并举的公共服务供给模式，加大政府购买服务力度。组织实施与群众生活密切相关的各项公共服务，落实人力社保、民政、教育、文化、体育、卫生健康等各领域相关政策。</w:t>
      </w:r>
    </w:p>
    <w:p>
      <w:pPr>
        <w:pStyle w:val="51"/>
        <w:ind w:firstLine="620" w:firstLineChars="200"/>
        <w:rPr>
          <w:rFonts w:hint="eastAsia" w:ascii="仿宋" w:hAnsi="仿宋" w:eastAsia="仿宋" w:cs="仿宋"/>
          <w:b w:val="0"/>
          <w:bCs w:val="0"/>
          <w:color w:val="000000"/>
          <w:sz w:val="31"/>
          <w:szCs w:val="31"/>
        </w:rPr>
      </w:pPr>
      <w:r>
        <w:rPr>
          <w:rFonts w:hint="eastAsia" w:ascii="仿宋" w:hAnsi="仿宋" w:eastAsia="仿宋" w:cs="仿宋"/>
          <w:b w:val="0"/>
          <w:bCs w:val="0"/>
          <w:color w:val="000000"/>
          <w:sz w:val="31"/>
          <w:szCs w:val="31"/>
        </w:rPr>
        <w:t>(四)实施综合管理。负责对辖区内社区管理、人口管理、社会管理等综合性工作，承担组织领导、推进实施、综合协调和监督检查职能。统筹协调部门派驻机构的日常管理。突出基层治理职责，着力解决发展进程中的各种问题。配合相关部门落实好综合执法、应急管理、自然资源管理、市场监管、生态环境保护等方面职能。负责对辖区内物业管理的监督指导，对辖区住宅小区开展综合管理。</w:t>
      </w:r>
    </w:p>
    <w:p>
      <w:pPr>
        <w:pStyle w:val="51"/>
        <w:ind w:firstLine="620" w:firstLineChars="200"/>
        <w:rPr>
          <w:rFonts w:hint="eastAsia" w:ascii="仿宋" w:hAnsi="仿宋" w:eastAsia="仿宋" w:cs="仿宋"/>
          <w:b w:val="0"/>
          <w:bCs w:val="0"/>
          <w:color w:val="000000"/>
          <w:sz w:val="31"/>
          <w:szCs w:val="31"/>
        </w:rPr>
      </w:pPr>
      <w:r>
        <w:rPr>
          <w:rFonts w:hint="eastAsia" w:ascii="仿宋" w:hAnsi="仿宋" w:eastAsia="仿宋" w:cs="仿宋"/>
          <w:b w:val="0"/>
          <w:bCs w:val="0"/>
          <w:color w:val="000000"/>
          <w:sz w:val="31"/>
          <w:szCs w:val="31"/>
        </w:rPr>
        <w:t>(五)动员社会参与。坚持以基层党建引领基层治理，动</w:t>
      </w:r>
    </w:p>
    <w:p>
      <w:pPr>
        <w:pStyle w:val="51"/>
        <w:ind w:firstLine="620" w:firstLineChars="200"/>
        <w:rPr>
          <w:rFonts w:hint="eastAsia" w:ascii="仿宋" w:hAnsi="仿宋" w:eastAsia="仿宋" w:cs="仿宋"/>
          <w:b w:val="0"/>
          <w:bCs w:val="0"/>
          <w:color w:val="000000"/>
          <w:sz w:val="31"/>
          <w:szCs w:val="31"/>
        </w:rPr>
      </w:pPr>
      <w:r>
        <w:rPr>
          <w:rFonts w:hint="eastAsia" w:ascii="仿宋" w:hAnsi="仿宋" w:eastAsia="仿宋" w:cs="仿宋"/>
          <w:b w:val="0"/>
          <w:bCs w:val="0"/>
          <w:color w:val="000000"/>
          <w:sz w:val="31"/>
          <w:szCs w:val="31"/>
        </w:rPr>
        <w:t>员指导辖区内各类单位、社会组织等社会力量参与社会治理、引导辖区单位履行社会责任，整合辖区内各种社会力量为社区发展服务。做实做强由党建引领的基层共治基本单元，构建党组织统一领导、各类组织积极协同、广大群众广泛参与的基层治理体系。</w:t>
      </w:r>
    </w:p>
    <w:p>
      <w:pPr>
        <w:pStyle w:val="51"/>
        <w:ind w:firstLine="620" w:firstLineChars="200"/>
        <w:rPr>
          <w:rFonts w:hint="eastAsia" w:ascii="仿宋" w:hAnsi="仿宋" w:eastAsia="仿宋" w:cs="仿宋"/>
          <w:b w:val="0"/>
          <w:bCs w:val="0"/>
          <w:color w:val="000000"/>
          <w:sz w:val="31"/>
          <w:szCs w:val="31"/>
        </w:rPr>
      </w:pPr>
      <w:r>
        <w:rPr>
          <w:rFonts w:hint="eastAsia" w:ascii="仿宋" w:hAnsi="仿宋" w:eastAsia="仿宋" w:cs="仿宋"/>
          <w:b w:val="0"/>
          <w:bCs w:val="0"/>
          <w:color w:val="000000"/>
          <w:sz w:val="31"/>
          <w:szCs w:val="31"/>
        </w:rPr>
        <w:t>(六)领导基层自治。发挥社区党组织在基层群众自治组织建设中的领导核心作用，完善党领导下的基层社会治理体系，推进社会至义基层协商民主建设，做好组织群众、宣传群众、凝聚群众、服务群众工作，发挥居民在基层社会治理中的主体作用，提高基层自治整体水平。</w:t>
      </w:r>
    </w:p>
    <w:p>
      <w:pPr>
        <w:pStyle w:val="51"/>
        <w:ind w:firstLine="620" w:firstLineChars="200"/>
        <w:rPr>
          <w:rFonts w:hint="eastAsia" w:ascii="仿宋" w:hAnsi="仿宋" w:eastAsia="仿宋" w:cs="仿宋"/>
          <w:b w:val="0"/>
          <w:bCs w:val="0"/>
          <w:color w:val="000000"/>
          <w:sz w:val="31"/>
          <w:szCs w:val="31"/>
        </w:rPr>
      </w:pPr>
      <w:r>
        <w:rPr>
          <w:rFonts w:hint="eastAsia" w:ascii="仿宋" w:hAnsi="仿宋" w:eastAsia="仿宋" w:cs="仿宋"/>
          <w:b w:val="0"/>
          <w:bCs w:val="0"/>
          <w:color w:val="000000"/>
          <w:sz w:val="31"/>
          <w:szCs w:val="31"/>
        </w:rPr>
        <w:t>(七)维护安全稳定。落实安全稳定工作部署。负责辖区平安建设、综合治理、安全生产管理等有关土作，处理群众来信来访，有效化解各类矛盾纠纷等。坚持重心下移、力量下沉、保障下倾，实现辖区安全监管执法和综合治理网格化、一体化，提高公共安全体系精细化水平。</w:t>
      </w:r>
    </w:p>
    <w:p>
      <w:pPr>
        <w:pStyle w:val="51"/>
        <w:ind w:firstLine="620" w:firstLineChars="200"/>
        <w:rPr>
          <w:rFonts w:hint="eastAsia" w:ascii="仿宋" w:hAnsi="仿宋" w:eastAsia="仿宋" w:cs="仿宋"/>
          <w:b w:val="0"/>
          <w:bCs w:val="0"/>
          <w:color w:val="000000"/>
          <w:sz w:val="31"/>
          <w:szCs w:val="31"/>
        </w:rPr>
      </w:pPr>
      <w:r>
        <w:rPr>
          <w:rFonts w:hint="eastAsia" w:ascii="仿宋" w:hAnsi="仿宋" w:eastAsia="仿宋" w:cs="仿宋"/>
          <w:b w:val="0"/>
          <w:bCs w:val="0"/>
          <w:color w:val="000000"/>
          <w:sz w:val="31"/>
          <w:szCs w:val="31"/>
        </w:rPr>
        <w:t>(八)深化“放管服”改革和“最多跑一次”改革。依托街道便民服务平合，推进审批服务事项向便民服务中心集中，保障便民服务中心的审批服务事项到位、权限到位。推进街道便民服务平台标准化建设，加快实现政务服务马上办、网上办、就近办、一次办，提升政务服务质量。</w:t>
      </w:r>
    </w:p>
    <w:p>
      <w:pPr>
        <w:pStyle w:val="51"/>
        <w:ind w:firstLine="620" w:firstLineChars="200"/>
        <w:rPr>
          <w:rFonts w:hint="eastAsia" w:ascii="仿宋" w:hAnsi="仿宋" w:eastAsia="仿宋" w:cs="仿宋"/>
          <w:b w:val="0"/>
          <w:bCs w:val="0"/>
          <w:color w:val="000000"/>
          <w:sz w:val="31"/>
          <w:szCs w:val="31"/>
        </w:rPr>
      </w:pPr>
      <w:r>
        <w:rPr>
          <w:rFonts w:hint="eastAsia" w:ascii="仿宋" w:hAnsi="仿宋" w:eastAsia="仿宋" w:cs="仿宋"/>
          <w:b w:val="0"/>
          <w:bCs w:val="0"/>
          <w:color w:val="000000"/>
          <w:sz w:val="31"/>
          <w:szCs w:val="31"/>
        </w:rPr>
        <w:t>(九)完成法律、法规、规章规定的其他事项和县委、县政府交办的其他任务。</w:t>
      </w:r>
    </w:p>
    <w:p>
      <w:pPr>
        <w:pStyle w:val="51"/>
        <w:ind w:firstLine="620" w:firstLineChars="200"/>
        <w:rPr>
          <w:rFonts w:hint="eastAsia" w:ascii="仿宋" w:hAnsi="仿宋" w:eastAsia="仿宋" w:cs="仿宋"/>
          <w:b w:val="0"/>
          <w:bCs w:val="0"/>
          <w:color w:val="000000"/>
          <w:sz w:val="31"/>
          <w:szCs w:val="31"/>
        </w:rPr>
      </w:pPr>
    </w:p>
    <w:p>
      <w:pPr>
        <w:pStyle w:val="51"/>
        <w:ind w:firstLine="620" w:firstLineChars="200"/>
        <w:rPr>
          <w:rFonts w:hint="eastAsia" w:ascii="仿宋" w:hAnsi="仿宋" w:eastAsia="仿宋" w:cs="仿宋"/>
          <w:b w:val="0"/>
          <w:bCs w:val="0"/>
          <w:color w:val="000000"/>
          <w:sz w:val="31"/>
          <w:szCs w:val="31"/>
        </w:rPr>
      </w:pPr>
      <w:r>
        <w:rPr>
          <w:rFonts w:hint="eastAsia" w:ascii="仿宋" w:hAnsi="仿宋" w:eastAsia="仿宋" w:cs="仿宋"/>
          <w:b w:val="0"/>
          <w:bCs w:val="0"/>
          <w:color w:val="000000"/>
          <w:sz w:val="31"/>
          <w:szCs w:val="31"/>
        </w:rPr>
        <w:t>二、机构设置及部门决算单位构成</w:t>
      </w:r>
    </w:p>
    <w:p>
      <w:pPr>
        <w:pStyle w:val="51"/>
        <w:ind w:firstLine="620" w:firstLineChars="200"/>
        <w:rPr>
          <w:rFonts w:hint="eastAsia" w:ascii="仿宋" w:hAnsi="仿宋" w:eastAsia="仿宋" w:cs="仿宋"/>
          <w:b w:val="0"/>
          <w:bCs w:val="0"/>
          <w:color w:val="000000"/>
          <w:sz w:val="31"/>
          <w:szCs w:val="31"/>
        </w:rPr>
      </w:pPr>
      <w:r>
        <w:rPr>
          <w:rFonts w:hint="eastAsia" w:ascii="仿宋" w:hAnsi="仿宋" w:eastAsia="仿宋" w:cs="仿宋"/>
          <w:b w:val="0"/>
          <w:bCs w:val="0"/>
          <w:color w:val="000000"/>
          <w:sz w:val="31"/>
          <w:szCs w:val="31"/>
        </w:rPr>
        <w:t>根据上述职责，通榆县树满街道办事处设7个机构，分别为综合办公室、党建工作办公室、平安建设办公室、社会事务办公室、财政经济办公室、公共管理办公室、综合行政执法办公室。下设 1个下属事业单位为树满街道综合服务中心。</w:t>
      </w:r>
    </w:p>
    <w:p>
      <w:pPr>
        <w:pStyle w:val="51"/>
        <w:ind w:firstLine="620" w:firstLineChars="200"/>
        <w:rPr>
          <w:rFonts w:hint="eastAsia" w:ascii="仿宋" w:hAnsi="仿宋" w:eastAsia="仿宋" w:cs="仿宋"/>
          <w:b w:val="0"/>
          <w:bCs w:val="0"/>
          <w:color w:val="000000"/>
          <w:sz w:val="31"/>
          <w:szCs w:val="31"/>
        </w:rPr>
      </w:pPr>
      <w:r>
        <w:rPr>
          <w:rFonts w:hint="eastAsia" w:ascii="仿宋" w:hAnsi="仿宋" w:eastAsia="仿宋" w:cs="仿宋"/>
          <w:b w:val="0"/>
          <w:bCs w:val="0"/>
          <w:color w:val="000000"/>
          <w:sz w:val="31"/>
          <w:szCs w:val="31"/>
        </w:rPr>
        <w:t>纳入通榆县树满街道办事处202</w:t>
      </w:r>
      <w:r>
        <w:rPr>
          <w:rFonts w:hint="eastAsia" w:ascii="仿宋" w:hAnsi="仿宋" w:eastAsia="仿宋" w:cs="仿宋"/>
          <w:b w:val="0"/>
          <w:bCs w:val="0"/>
          <w:color w:val="000000"/>
          <w:sz w:val="31"/>
          <w:szCs w:val="31"/>
          <w:lang w:val="en-US" w:eastAsia="zh-CN"/>
        </w:rPr>
        <w:t>4</w:t>
      </w:r>
      <w:r>
        <w:rPr>
          <w:rFonts w:hint="eastAsia" w:ascii="仿宋" w:hAnsi="仿宋" w:eastAsia="仿宋" w:cs="仿宋"/>
          <w:b w:val="0"/>
          <w:bCs w:val="0"/>
          <w:color w:val="000000"/>
          <w:sz w:val="31"/>
          <w:szCs w:val="31"/>
        </w:rPr>
        <w:t>年度部门</w:t>
      </w:r>
      <w:r>
        <w:rPr>
          <w:rFonts w:hint="eastAsia" w:ascii="仿宋" w:hAnsi="仿宋" w:eastAsia="仿宋" w:cs="仿宋"/>
          <w:b w:val="0"/>
          <w:bCs w:val="0"/>
          <w:color w:val="000000"/>
          <w:sz w:val="31"/>
          <w:szCs w:val="31"/>
          <w:lang w:eastAsia="zh-CN"/>
        </w:rPr>
        <w:t>预</w:t>
      </w:r>
      <w:r>
        <w:rPr>
          <w:rFonts w:hint="eastAsia" w:ascii="仿宋" w:hAnsi="仿宋" w:eastAsia="仿宋" w:cs="仿宋"/>
          <w:b w:val="0"/>
          <w:bCs w:val="0"/>
          <w:color w:val="000000"/>
          <w:sz w:val="31"/>
          <w:szCs w:val="31"/>
        </w:rPr>
        <w:t>算编制范围的单位包括：</w:t>
      </w:r>
    </w:p>
    <w:p>
      <w:pPr>
        <w:pStyle w:val="51"/>
        <w:ind w:firstLine="620" w:firstLineChars="200"/>
        <w:rPr>
          <w:rFonts w:hint="eastAsia" w:ascii="仿宋" w:hAnsi="仿宋" w:eastAsia="仿宋" w:cs="仿宋"/>
          <w:b w:val="0"/>
          <w:bCs w:val="0"/>
          <w:color w:val="000000"/>
          <w:sz w:val="31"/>
          <w:szCs w:val="31"/>
        </w:rPr>
      </w:pPr>
      <w:r>
        <w:rPr>
          <w:rFonts w:hint="eastAsia" w:ascii="仿宋" w:hAnsi="仿宋" w:eastAsia="仿宋" w:cs="仿宋"/>
          <w:b w:val="0"/>
          <w:bCs w:val="0"/>
          <w:color w:val="000000"/>
          <w:sz w:val="31"/>
          <w:szCs w:val="31"/>
        </w:rPr>
        <w:t>1.通榆县树满街道办事处</w:t>
      </w:r>
    </w:p>
    <w:p>
      <w:pPr>
        <w:pStyle w:val="51"/>
        <w:ind w:firstLine="620" w:firstLineChars="200"/>
        <w:rPr>
          <w:rFonts w:eastAsia="楷体"/>
        </w:rPr>
      </w:pPr>
      <w:r>
        <w:rPr>
          <w:rFonts w:hint="eastAsia" w:ascii="仿宋" w:hAnsi="仿宋" w:eastAsia="仿宋" w:cs="仿宋"/>
          <w:b w:val="0"/>
          <w:bCs w:val="0"/>
          <w:color w:val="000000"/>
          <w:sz w:val="31"/>
          <w:szCs w:val="31"/>
        </w:rPr>
        <w:t>2.通榆县树满街道综合服务中心</w:t>
      </w: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支        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lang w:eastAsia="zh-CN"/>
              </w:rPr>
              <w:t>2024</w:t>
            </w:r>
            <w:r>
              <w:rPr>
                <w:rFonts w:hint="eastAsia" w:asciiTheme="minorEastAsia" w:hAnsiTheme="minorEastAsia" w:eastAsiaTheme="minorEastAsia" w:cstheme="minorEastAsia"/>
                <w:kern w:val="0"/>
                <w:sz w:val="20"/>
                <w:szCs w:val="20"/>
              </w:rPr>
              <w:t>年预算数</w:t>
            </w:r>
          </w:p>
        </w:tc>
        <w:tc>
          <w:tcPr>
            <w:tcW w:w="1073"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lang w:eastAsia="zh-CN"/>
              </w:rPr>
              <w:t>2024</w:t>
            </w:r>
            <w:r>
              <w:rPr>
                <w:rFonts w:hint="eastAsia" w:asciiTheme="minorEastAsia" w:hAnsiTheme="minorEastAsia" w:eastAsiaTheme="minorEastAsia" w:cstheme="minorEastAsia"/>
                <w:kern w:val="0"/>
                <w:sz w:val="20"/>
                <w:szCs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当年预算</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一、财政拨款收入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332.64</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332.64</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color w:val="000000"/>
                <w:kern w:val="0"/>
                <w:sz w:val="20"/>
                <w:szCs w:val="20"/>
              </w:rPr>
            </w:pPr>
            <w:r>
              <w:rPr>
                <w:rFonts w:hint="eastAsia" w:asciiTheme="minorEastAsia" w:hAnsiTheme="minorEastAsia" w:eastAsiaTheme="minorEastAsia" w:cstheme="minorEastAsia"/>
                <w:b w:val="0"/>
                <w:bCs/>
                <w:color w:val="000000"/>
                <w:kern w:val="0"/>
                <w:sz w:val="20"/>
                <w:szCs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277.46</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277.46</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一般公共预算拨款收入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332.64</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332.64</w:t>
            </w:r>
          </w:p>
        </w:tc>
        <w:tc>
          <w:tcPr>
            <w:tcW w:w="1200" w:type="dxa"/>
            <w:tcBorders>
              <w:top w:val="nil"/>
              <w:left w:val="single" w:color="auto" w:sz="4" w:space="0"/>
              <w:bottom w:val="single" w:color="auto" w:sz="4" w:space="0"/>
              <w:right w:val="nil"/>
            </w:tcBorders>
            <w:noWrap w:val="0"/>
            <w:vAlign w:val="center"/>
          </w:tcPr>
          <w:p>
            <w:pPr>
              <w:jc w:val="center"/>
              <w:rPr>
                <w:rFonts w:hint="eastAsia" w:asciiTheme="minorEastAsia" w:hAnsiTheme="minorEastAsia" w:eastAsiaTheme="minorEastAsia" w:cstheme="minorEastAsia"/>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eastAsia" w:asciiTheme="minorEastAsia" w:hAnsiTheme="minorEastAsia" w:eastAsiaTheme="minorEastAsia" w:cstheme="minorEastAsia"/>
                <w:b w:val="0"/>
                <w:bCs/>
                <w:color w:val="000000"/>
                <w:kern w:val="0"/>
                <w:sz w:val="20"/>
                <w:szCs w:val="20"/>
              </w:rPr>
            </w:pPr>
            <w:r>
              <w:rPr>
                <w:rFonts w:hint="eastAsia" w:asciiTheme="minorEastAsia" w:hAnsiTheme="minorEastAsia" w:eastAsiaTheme="minorEastAsia" w:cstheme="minorEastAsia"/>
                <w:b w:val="0"/>
                <w:bCs/>
                <w:color w:val="000000"/>
                <w:sz w:val="20"/>
                <w:szCs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eastAsia" w:asciiTheme="minorEastAsia" w:hAnsiTheme="minorEastAsia" w:eastAsiaTheme="minorEastAsia" w:cstheme="minorEastAsia"/>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eastAsia" w:asciiTheme="minorEastAsia" w:hAnsiTheme="minorEastAsia" w:eastAsiaTheme="minorEastAsia" w:cstheme="minorEastAsia"/>
                <w:color w:val="000000"/>
                <w:kern w:val="0"/>
                <w:sz w:val="20"/>
                <w:szCs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503"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hint="eastAsia" w:asciiTheme="minorEastAsia" w:hAnsiTheme="minorEastAsia" w:eastAsiaTheme="minorEastAsia" w:cstheme="minorEastAsia"/>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eastAsia" w:asciiTheme="minorEastAsia" w:hAnsiTheme="minorEastAsia" w:eastAsiaTheme="minorEastAsia" w:cstheme="minorEastAsia"/>
                <w:b w:val="0"/>
                <w:bCs/>
                <w:color w:val="000000"/>
                <w:kern w:val="0"/>
                <w:sz w:val="20"/>
                <w:szCs w:val="20"/>
              </w:rPr>
            </w:pPr>
            <w:r>
              <w:rPr>
                <w:rFonts w:hint="eastAsia" w:asciiTheme="minorEastAsia" w:hAnsiTheme="minorEastAsia" w:eastAsiaTheme="minorEastAsia" w:cstheme="minorEastAsia"/>
                <w:b w:val="0"/>
                <w:bCs/>
                <w:color w:val="000000"/>
                <w:kern w:val="0"/>
                <w:sz w:val="20"/>
                <w:szCs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eastAsia" w:asciiTheme="minorEastAsia" w:hAnsiTheme="minorEastAsia" w:eastAsiaTheme="minorEastAsia" w:cstheme="minorEastAsia"/>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eastAsia" w:asciiTheme="minorEastAsia" w:hAnsiTheme="minorEastAsia" w:eastAsiaTheme="minorEastAsia" w:cstheme="minorEastAsia"/>
                <w:color w:val="000000"/>
                <w:kern w:val="0"/>
                <w:sz w:val="20"/>
                <w:szCs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hint="eastAsia" w:asciiTheme="minorEastAsia" w:hAnsiTheme="minorEastAsia" w:eastAsiaTheme="minorEastAsia" w:cstheme="minorEastAsia"/>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eastAsia" w:asciiTheme="minorEastAsia" w:hAnsiTheme="minorEastAsia" w:eastAsiaTheme="minorEastAsia" w:cstheme="minorEastAsia"/>
                <w:b w:val="0"/>
                <w:bCs/>
                <w:color w:val="000000"/>
                <w:kern w:val="0"/>
                <w:sz w:val="20"/>
                <w:szCs w:val="20"/>
              </w:rPr>
            </w:pPr>
            <w:r>
              <w:rPr>
                <w:rFonts w:hint="eastAsia" w:asciiTheme="minorEastAsia" w:hAnsiTheme="minorEastAsia" w:eastAsiaTheme="minorEastAsia" w:cstheme="minorEastAsia"/>
                <w:b w:val="0"/>
                <w:bCs/>
                <w:color w:val="000000"/>
                <w:kern w:val="0"/>
                <w:sz w:val="20"/>
                <w:szCs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eastAsia" w:asciiTheme="minorEastAsia" w:hAnsiTheme="minorEastAsia" w:eastAsiaTheme="minorEastAsia" w:cstheme="minorEastAsia"/>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eastAsia" w:asciiTheme="minorEastAsia" w:hAnsiTheme="minorEastAsia" w:eastAsiaTheme="minorEastAsia" w:cstheme="minorEastAsia"/>
                <w:color w:val="000000"/>
                <w:kern w:val="0"/>
                <w:sz w:val="20"/>
                <w:szCs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color w:val="000000"/>
                <w:kern w:val="0"/>
                <w:sz w:val="20"/>
                <w:szCs w:val="20"/>
              </w:rPr>
            </w:pPr>
            <w:r>
              <w:rPr>
                <w:rFonts w:hint="eastAsia" w:asciiTheme="minorEastAsia" w:hAnsiTheme="minorEastAsia" w:eastAsiaTheme="minorEastAsia" w:cstheme="minorEastAsia"/>
                <w:b w:val="0"/>
                <w:bCs/>
                <w:color w:val="000000"/>
                <w:kern w:val="0"/>
                <w:sz w:val="20"/>
                <w:szCs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color w:val="000000"/>
                <w:kern w:val="0"/>
                <w:sz w:val="20"/>
                <w:szCs w:val="20"/>
              </w:rPr>
            </w:pPr>
            <w:r>
              <w:rPr>
                <w:rFonts w:hint="eastAsia" w:asciiTheme="minorEastAsia" w:hAnsiTheme="minorEastAsia" w:eastAsiaTheme="minorEastAsia" w:cstheme="minorEastAsia"/>
                <w:b w:val="0"/>
                <w:bCs/>
                <w:color w:val="000000"/>
                <w:kern w:val="0"/>
                <w:sz w:val="20"/>
                <w:szCs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color w:val="000000"/>
                <w:kern w:val="0"/>
                <w:sz w:val="20"/>
                <w:szCs w:val="20"/>
              </w:rPr>
            </w:pPr>
            <w:r>
              <w:rPr>
                <w:rFonts w:hint="eastAsia" w:asciiTheme="minorEastAsia" w:hAnsiTheme="minorEastAsia" w:eastAsiaTheme="minorEastAsia" w:cstheme="minorEastAsia"/>
                <w:b w:val="0"/>
                <w:bCs/>
                <w:color w:val="000000"/>
                <w:kern w:val="0"/>
                <w:sz w:val="20"/>
                <w:szCs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28.17</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28.17</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hint="eastAsia" w:asciiTheme="minorEastAsia" w:hAnsiTheme="minorEastAsia" w:eastAsiaTheme="minorEastAsia" w:cstheme="minorEastAsia"/>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color w:val="000000"/>
                <w:kern w:val="0"/>
                <w:sz w:val="20"/>
                <w:szCs w:val="20"/>
              </w:rPr>
            </w:pPr>
            <w:r>
              <w:rPr>
                <w:rFonts w:hint="eastAsia" w:asciiTheme="minorEastAsia" w:hAnsiTheme="minorEastAsia" w:eastAsiaTheme="minorEastAsia" w:cstheme="minorEastAsia"/>
                <w:b w:val="0"/>
                <w:bCs/>
                <w:color w:val="000000"/>
                <w:kern w:val="0"/>
                <w:sz w:val="20"/>
                <w:szCs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360" w:hRule="atLeast"/>
        </w:trPr>
        <w:tc>
          <w:tcPr>
            <w:tcW w:w="1753" w:type="dxa"/>
            <w:vMerge w:val="restart"/>
            <w:tcBorders>
              <w:top w:val="nil"/>
              <w:left w:val="single" w:color="auto" w:sz="4" w:space="0"/>
              <w:right w:val="single" w:color="auto" w:sz="4" w:space="0"/>
            </w:tcBorders>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上级补助收入</w:t>
            </w:r>
          </w:p>
        </w:tc>
        <w:tc>
          <w:tcPr>
            <w:tcW w:w="1044" w:type="dxa"/>
            <w:vMerge w:val="restart"/>
            <w:tcBorders>
              <w:top w:val="nil"/>
              <w:left w:val="nil"/>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073" w:type="dxa"/>
            <w:vMerge w:val="restart"/>
            <w:tcBorders>
              <w:top w:val="nil"/>
              <w:left w:val="nil"/>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lang w:val="en-US" w:eastAsia="zh-CN" w:bidi="ar-SA"/>
              </w:rPr>
            </w:pPr>
          </w:p>
          <w:p>
            <w:pPr>
              <w:jc w:val="center"/>
              <w:rPr>
                <w:rFonts w:hint="eastAsia" w:asciiTheme="minorEastAsia" w:hAnsiTheme="minorEastAsia" w:eastAsiaTheme="minorEastAsia" w:cstheme="minorEastAsia"/>
                <w:kern w:val="0"/>
                <w:sz w:val="20"/>
                <w:szCs w:val="20"/>
              </w:rPr>
            </w:pPr>
          </w:p>
        </w:tc>
        <w:tc>
          <w:tcPr>
            <w:tcW w:w="1200" w:type="dxa"/>
            <w:vMerge w:val="restart"/>
            <w:tcBorders>
              <w:top w:val="nil"/>
              <w:left w:val="single" w:color="auto" w:sz="4" w:space="0"/>
              <w:right w:val="nil"/>
            </w:tcBorders>
            <w:noWrap w:val="0"/>
            <w:vAlign w:val="center"/>
          </w:tcPr>
          <w:p>
            <w:pPr>
              <w:jc w:val="center"/>
              <w:rPr>
                <w:rFonts w:hint="eastAsia" w:asciiTheme="minorEastAsia" w:hAnsiTheme="minorEastAsia" w:eastAsiaTheme="minorEastAsia" w:cstheme="minorEastAsia"/>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color w:val="000000"/>
                <w:kern w:val="0"/>
                <w:sz w:val="20"/>
                <w:szCs w:val="20"/>
              </w:rPr>
            </w:pPr>
            <w:r>
              <w:rPr>
                <w:rFonts w:hint="eastAsia" w:asciiTheme="minorEastAsia" w:hAnsiTheme="minorEastAsia" w:eastAsiaTheme="minorEastAsia" w:cstheme="minorEastAsia"/>
                <w:b w:val="0"/>
                <w:bCs/>
                <w:color w:val="000000"/>
                <w:kern w:val="0"/>
                <w:sz w:val="20"/>
                <w:szCs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17.06</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17.06</w:t>
            </w:r>
          </w:p>
        </w:tc>
        <w:tc>
          <w:tcPr>
            <w:tcW w:w="1158"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533" w:hRule="atLeast"/>
        </w:trPr>
        <w:tc>
          <w:tcPr>
            <w:tcW w:w="1753" w:type="dxa"/>
            <w:vMerge w:val="continue"/>
            <w:tcBorders>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sz w:val="20"/>
                <w:szCs w:val="20"/>
              </w:rPr>
            </w:pPr>
          </w:p>
        </w:tc>
        <w:tc>
          <w:tcPr>
            <w:tcW w:w="1044" w:type="dxa"/>
            <w:vMerge w:val="continue"/>
            <w:tcBorders>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073" w:type="dxa"/>
            <w:vMerge w:val="continue"/>
            <w:tcBorders>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c>
          <w:tcPr>
            <w:tcW w:w="1200" w:type="dxa"/>
            <w:vMerge w:val="continue"/>
            <w:tcBorders>
              <w:left w:val="single" w:color="auto" w:sz="4" w:space="0"/>
              <w:bottom w:val="single" w:color="auto" w:sz="4" w:space="0"/>
              <w:right w:val="nil"/>
            </w:tcBorders>
            <w:noWrap w:val="0"/>
            <w:vAlign w:val="center"/>
          </w:tcPr>
          <w:p>
            <w:pPr>
              <w:jc w:val="center"/>
              <w:rPr>
                <w:rFonts w:hint="eastAsia" w:asciiTheme="minorEastAsia" w:hAnsiTheme="minorEastAsia" w:eastAsiaTheme="minorEastAsia" w:cstheme="minorEastAsia"/>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color w:val="000000"/>
                <w:kern w:val="0"/>
                <w:sz w:val="20"/>
                <w:szCs w:val="20"/>
                <w:lang w:val="en-US" w:eastAsia="zh-CN"/>
              </w:rPr>
            </w:pPr>
            <w:r>
              <w:rPr>
                <w:rFonts w:hint="eastAsia" w:asciiTheme="minorEastAsia" w:hAnsiTheme="minorEastAsia" w:eastAsiaTheme="minorEastAsia" w:cstheme="minorEastAsia"/>
                <w:b w:val="0"/>
                <w:bCs/>
                <w:color w:val="000000"/>
                <w:kern w:val="0"/>
                <w:sz w:val="20"/>
                <w:szCs w:val="20"/>
                <w:lang w:val="en-US" w:eastAsia="zh-CN"/>
              </w:rPr>
              <w:t>十、卫生健康支出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9.95</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9.95</w:t>
            </w:r>
          </w:p>
        </w:tc>
        <w:tc>
          <w:tcPr>
            <w:tcW w:w="1158"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hint="eastAsia" w:asciiTheme="minorEastAsia" w:hAnsiTheme="minorEastAsia" w:eastAsiaTheme="minorEastAsia" w:cstheme="minorEastAsia"/>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val="0"/>
                <w:bCs/>
                <w:color w:val="000000"/>
                <w:kern w:val="0"/>
                <w:sz w:val="20"/>
                <w:szCs w:val="20"/>
              </w:rPr>
            </w:pPr>
            <w:r>
              <w:rPr>
                <w:rFonts w:hint="eastAsia" w:asciiTheme="minorEastAsia" w:hAnsiTheme="minorEastAsia" w:eastAsiaTheme="minorEastAsia" w:cstheme="minorEastAsia"/>
                <w:b w:val="0"/>
                <w:bCs/>
                <w:color w:val="000000"/>
                <w:kern w:val="0"/>
                <w:sz w:val="20"/>
                <w:szCs w:val="20"/>
              </w:rPr>
              <w:t>十</w:t>
            </w:r>
            <w:r>
              <w:rPr>
                <w:rFonts w:hint="eastAsia" w:asciiTheme="minorEastAsia" w:hAnsiTheme="minorEastAsia" w:eastAsiaTheme="minorEastAsia" w:cstheme="minorEastAsia"/>
                <w:b w:val="0"/>
                <w:bCs/>
                <w:color w:val="000000"/>
                <w:kern w:val="0"/>
                <w:sz w:val="20"/>
                <w:szCs w:val="20"/>
                <w:lang w:val="en-US" w:eastAsia="zh-CN"/>
              </w:rPr>
              <w:t>与</w:t>
            </w:r>
            <w:r>
              <w:rPr>
                <w:rFonts w:hint="eastAsia" w:asciiTheme="minorEastAsia" w:hAnsiTheme="minorEastAsia" w:eastAsiaTheme="minorEastAsia" w:cstheme="minorEastAsia"/>
                <w:b w:val="0"/>
                <w:bCs/>
                <w:color w:val="000000"/>
                <w:kern w:val="0"/>
                <w:sz w:val="20"/>
                <w:szCs w:val="20"/>
              </w:rPr>
              <w:t>、医疗卫生和计划生育支出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sz w:val="20"/>
                <w:szCs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2"/>
                <w:sz w:val="20"/>
                <w:szCs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hint="eastAsia" w:asciiTheme="minorEastAsia" w:hAnsiTheme="minorEastAsia" w:eastAsiaTheme="minorEastAsia" w:cstheme="minorEastAsia"/>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sz w:val="20"/>
                <w:szCs w:val="20"/>
              </w:rPr>
            </w:pPr>
            <w:r>
              <w:rPr>
                <w:rFonts w:hint="eastAsia" w:asciiTheme="minorEastAsia" w:hAnsiTheme="minorEastAsia" w:eastAsiaTheme="minorEastAsia" w:cstheme="minorEastAsia"/>
                <w:b w:val="0"/>
                <w:bCs/>
                <w:color w:val="000000"/>
                <w:kern w:val="0"/>
                <w:sz w:val="20"/>
                <w:szCs w:val="20"/>
              </w:rPr>
              <w:t>十</w:t>
            </w:r>
            <w:r>
              <w:rPr>
                <w:rFonts w:hint="eastAsia" w:asciiTheme="minorEastAsia" w:hAnsiTheme="minorEastAsia" w:eastAsiaTheme="minorEastAsia" w:cstheme="minorEastAsia"/>
                <w:b w:val="0"/>
                <w:bCs/>
                <w:color w:val="000000"/>
                <w:kern w:val="0"/>
                <w:sz w:val="20"/>
                <w:szCs w:val="20"/>
                <w:lang w:val="en-US" w:eastAsia="zh-CN"/>
              </w:rPr>
              <w:t>二</w:t>
            </w:r>
            <w:r>
              <w:rPr>
                <w:rFonts w:hint="eastAsia" w:asciiTheme="minorEastAsia" w:hAnsiTheme="minorEastAsia" w:eastAsiaTheme="minorEastAsia" w:cstheme="minorEastAsia"/>
                <w:b w:val="0"/>
                <w:bCs/>
                <w:color w:val="000000"/>
                <w:kern w:val="0"/>
                <w:sz w:val="20"/>
                <w:szCs w:val="20"/>
              </w:rPr>
              <w:t>、其他支出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sz w:val="20"/>
                <w:szCs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2"/>
                <w:sz w:val="20"/>
                <w:szCs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bCs/>
                <w:kern w:val="0"/>
                <w:sz w:val="20"/>
                <w:szCs w:val="20"/>
              </w:rPr>
            </w:pPr>
            <w:r>
              <w:rPr>
                <w:rFonts w:hint="eastAsia" w:asciiTheme="minorEastAsia" w:hAnsiTheme="minorEastAsia" w:eastAsiaTheme="minorEastAsia" w:cstheme="minorEastAsia"/>
                <w:b/>
                <w:bCs/>
                <w:kern w:val="0"/>
                <w:sz w:val="20"/>
                <w:szCs w:val="20"/>
              </w:rPr>
              <w:t>本年收入</w:t>
            </w:r>
            <w:r>
              <w:rPr>
                <w:rFonts w:hint="eastAsia" w:asciiTheme="minorEastAsia" w:hAnsiTheme="minorEastAsia" w:eastAsiaTheme="minorEastAsia" w:cstheme="minorEastAsia"/>
                <w:b/>
                <w:bCs/>
                <w:kern w:val="0"/>
                <w:sz w:val="20"/>
                <w:szCs w:val="20"/>
                <w:lang w:val="en-US" w:eastAsia="zh-CN"/>
              </w:rPr>
              <w:t xml:space="preserve">       </w:t>
            </w:r>
            <w:r>
              <w:rPr>
                <w:rFonts w:hint="eastAsia" w:asciiTheme="minorEastAsia" w:hAnsiTheme="minorEastAsia" w:eastAsiaTheme="minorEastAsia" w:cstheme="minorEastAsia"/>
                <w:b/>
                <w:bCs/>
                <w:kern w:val="0"/>
                <w:sz w:val="20"/>
                <w:szCs w:val="20"/>
              </w:rPr>
              <w:t>合计</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332.64</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332.64</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b/>
                <w:bCs/>
                <w:kern w:val="0"/>
                <w:sz w:val="20"/>
                <w:szCs w:val="20"/>
              </w:rPr>
            </w:pPr>
            <w:r>
              <w:rPr>
                <w:rFonts w:hint="eastAsia" w:asciiTheme="minorEastAsia" w:hAnsiTheme="minorEastAsia" w:eastAsiaTheme="minorEastAsia" w:cstheme="minorEastAsia"/>
                <w:b/>
                <w:bCs/>
                <w:kern w:val="0"/>
                <w:sz w:val="20"/>
                <w:szCs w:val="20"/>
              </w:rPr>
              <w:t>本年支出</w:t>
            </w:r>
            <w:r>
              <w:rPr>
                <w:rFonts w:hint="eastAsia" w:asciiTheme="minorEastAsia" w:hAnsiTheme="minorEastAsia" w:eastAsiaTheme="minorEastAsia" w:cstheme="minorEastAsia"/>
                <w:b/>
                <w:bCs/>
                <w:kern w:val="0"/>
                <w:sz w:val="20"/>
                <w:szCs w:val="20"/>
                <w:lang w:val="en-US" w:eastAsia="zh-CN"/>
              </w:rPr>
              <w:t xml:space="preserve">  </w:t>
            </w:r>
            <w:r>
              <w:rPr>
                <w:rFonts w:hint="eastAsia" w:asciiTheme="minorEastAsia" w:hAnsiTheme="minorEastAsia" w:eastAsiaTheme="minorEastAsia" w:cstheme="minorEastAsia"/>
                <w:b/>
                <w:bCs/>
                <w:kern w:val="0"/>
                <w:sz w:val="20"/>
                <w:szCs w:val="20"/>
              </w:rPr>
              <w:t>合计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332.64</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332.64</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hint="eastAsia" w:asciiTheme="minorEastAsia" w:hAnsiTheme="minorEastAsia" w:eastAsiaTheme="minorEastAsia" w:cstheme="minorEastAsia"/>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结转下年</w:t>
            </w:r>
            <w:r>
              <w:rPr>
                <w:rFonts w:hint="eastAsia" w:asciiTheme="minorEastAsia" w:hAnsiTheme="minorEastAsia" w:eastAsiaTheme="minorEastAsia" w:cstheme="minorEastAsia"/>
                <w:kern w:val="0"/>
                <w:sz w:val="20"/>
                <w:szCs w:val="20"/>
                <w:lang w:val="en-US" w:eastAsia="zh-CN"/>
              </w:rPr>
              <w:t xml:space="preserve">  </w:t>
            </w:r>
            <w:r>
              <w:rPr>
                <w:rFonts w:hint="eastAsia" w:asciiTheme="minorEastAsia" w:hAnsiTheme="minorEastAsia" w:eastAsiaTheme="minorEastAsia" w:cstheme="minorEastAsia"/>
                <w:kern w:val="0"/>
                <w:sz w:val="20"/>
                <w:szCs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bCs/>
                <w:kern w:val="0"/>
                <w:sz w:val="20"/>
                <w:szCs w:val="20"/>
              </w:rPr>
              <w:t>收入总计</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332.64</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332.64</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asciiTheme="minorEastAsia" w:hAnsiTheme="minorEastAsia" w:eastAsiaTheme="minorEastAsia" w:cstheme="minorEastAsia"/>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b/>
                <w:bCs/>
                <w:kern w:val="0"/>
                <w:sz w:val="20"/>
                <w:szCs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332.64</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332.64</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p>
        </w:tc>
      </w:tr>
    </w:tbl>
    <w:p>
      <w:pPr>
        <w:ind w:firstLine="400" w:firstLineChars="200"/>
        <w:rPr>
          <w:rFonts w:hint="eastAsia" w:asciiTheme="minorEastAsia" w:hAnsiTheme="minorEastAsia" w:eastAsiaTheme="minorEastAsia" w:cstheme="minorEastAsia"/>
          <w:strike/>
          <w:sz w:val="20"/>
          <w:szCs w:val="20"/>
        </w:rPr>
      </w:pPr>
    </w:p>
    <w:p>
      <w:pPr>
        <w:ind w:firstLine="645"/>
        <w:rPr>
          <w:rFonts w:hAnsi="楷体" w:eastAsia="楷体"/>
        </w:rPr>
      </w:pP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rPr>
            </w:pPr>
            <w:r>
              <w:rPr>
                <w:rFonts w:hint="eastAsia" w:asciiTheme="minorEastAsia" w:hAnsiTheme="minorEastAsia" w:eastAsiaTheme="minorEastAsia" w:cstheme="minorEastAsia"/>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rPr>
            </w:pPr>
            <w:r>
              <w:rPr>
                <w:rFonts w:hint="eastAsia" w:asciiTheme="minorEastAsia" w:hAnsiTheme="minorEastAsia" w:eastAsiaTheme="minorEastAsia" w:cstheme="minorEastAsia"/>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lang w:eastAsia="zh-CN"/>
              </w:rPr>
            </w:pPr>
            <w:r>
              <w:rPr>
                <w:rFonts w:hint="eastAsia" w:asciiTheme="minorEastAsia" w:hAnsiTheme="minorEastAsia" w:eastAsiaTheme="minorEastAsia" w:cstheme="minorEastAsia"/>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rPr>
            </w:pPr>
            <w:r>
              <w:rPr>
                <w:rFonts w:hint="eastAsia" w:asciiTheme="minorEastAsia" w:hAnsiTheme="minorEastAsia" w:eastAsiaTheme="minorEastAsia" w:cstheme="minorEastAsia"/>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eastAsia" w:asciiTheme="minorEastAsia" w:hAnsiTheme="minorEastAsia" w:eastAsiaTheme="minorEastAsia" w:cstheme="minorEastAsia"/>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hint="eastAsia" w:asciiTheme="minorEastAsia" w:hAnsiTheme="minorEastAsia" w:eastAsiaTheme="minorEastAsia" w:cstheme="minorEastAsia"/>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rPr>
              <w:t>一般公</w:t>
            </w:r>
          </w:p>
          <w:p>
            <w:pPr>
              <w:autoSpaceDN w:val="0"/>
              <w:jc w:val="center"/>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rPr>
              <w:t>政府性基</w:t>
            </w:r>
          </w:p>
          <w:p>
            <w:pPr>
              <w:autoSpaceDN w:val="0"/>
              <w:jc w:val="center"/>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rPr>
              <w:t>国有资本</w:t>
            </w:r>
          </w:p>
          <w:p>
            <w:pPr>
              <w:autoSpaceDN w:val="0"/>
              <w:jc w:val="center"/>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rPr>
              <w:t>财政专户</w:t>
            </w:r>
          </w:p>
          <w:p>
            <w:pPr>
              <w:autoSpaceDN w:val="0"/>
              <w:jc w:val="center"/>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rPr>
              <w:t>事业单位</w:t>
            </w:r>
          </w:p>
          <w:p>
            <w:pPr>
              <w:autoSpaceDN w:val="0"/>
              <w:jc w:val="center"/>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rPr>
              <w:t>上级</w:t>
            </w:r>
          </w:p>
          <w:p>
            <w:pPr>
              <w:autoSpaceDN w:val="0"/>
              <w:jc w:val="center"/>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rPr>
              <w:t>补助</w:t>
            </w:r>
          </w:p>
          <w:p>
            <w:pPr>
              <w:autoSpaceDN w:val="0"/>
              <w:jc w:val="center"/>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rPr>
              <w:t>附属单位</w:t>
            </w:r>
          </w:p>
          <w:p>
            <w:pPr>
              <w:autoSpaceDN w:val="0"/>
              <w:jc w:val="center"/>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rPr>
              <w:t>其他</w:t>
            </w:r>
          </w:p>
          <w:p>
            <w:pPr>
              <w:autoSpaceDN w:val="0"/>
              <w:jc w:val="center"/>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rPr>
              <w:t>用事业基</w:t>
            </w:r>
          </w:p>
          <w:p>
            <w:pPr>
              <w:autoSpaceDN w:val="0"/>
              <w:jc w:val="center"/>
              <w:rPr>
                <w:rFonts w:hint="eastAsia" w:asciiTheme="minorEastAsia" w:hAnsiTheme="minorEastAsia" w:eastAsiaTheme="minorEastAsia" w:cstheme="minorEastAsia"/>
                <w:sz w:val="20"/>
                <w:lang w:eastAsia="zh-CN"/>
              </w:rPr>
            </w:pPr>
            <w:r>
              <w:rPr>
                <w:rFonts w:hint="eastAsia" w:asciiTheme="minorEastAsia" w:hAnsiTheme="minorEastAsia" w:eastAsiaTheme="minorEastAsia" w:cstheme="minorEastAsia"/>
                <w:sz w:val="20"/>
              </w:rPr>
              <w:t>金弥补收</w:t>
            </w:r>
          </w:p>
          <w:p>
            <w:pPr>
              <w:autoSpaceDN w:val="0"/>
              <w:jc w:val="center"/>
              <w:rPr>
                <w:rFonts w:hint="eastAsia" w:asciiTheme="minorEastAsia" w:hAnsiTheme="minorEastAsia" w:eastAsiaTheme="minorEastAsia" w:cstheme="minorEastAsia"/>
                <w:sz w:val="20"/>
              </w:rPr>
            </w:pPr>
            <w:r>
              <w:rPr>
                <w:rFonts w:hint="eastAsia" w:asciiTheme="minorEastAsia" w:hAnsiTheme="minorEastAsia" w:eastAsiaTheme="minorEastAsia" w:cstheme="minorEastAsia"/>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sz w:val="20"/>
              </w:rPr>
            </w:pPr>
            <w:r>
              <w:rPr>
                <w:rFonts w:hint="eastAsia" w:asciiTheme="minorEastAsia" w:hAnsiTheme="minorEastAsia" w:eastAsiaTheme="minorEastAsia" w:cstheme="minorEastAsia"/>
                <w:b w:val="0"/>
                <w:bCs w:val="0"/>
                <w:color w:val="000000"/>
                <w:sz w:val="19"/>
                <w:szCs w:val="19"/>
              </w:rPr>
              <w:t>通榆县树满街 道办事处</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rPr>
            </w:pPr>
            <w:r>
              <w:rPr>
                <w:rFonts w:hint="eastAsia" w:asciiTheme="minorEastAsia" w:hAnsiTheme="minorEastAsia" w:eastAsiaTheme="minorEastAsia" w:cstheme="minorEastAsia"/>
                <w:i w:val="0"/>
                <w:iCs w:val="0"/>
                <w:color w:val="000000"/>
                <w:kern w:val="0"/>
                <w:sz w:val="20"/>
                <w:szCs w:val="20"/>
                <w:u w:val="none"/>
                <w:lang w:val="en-US" w:eastAsia="zh-CN" w:bidi="ar"/>
              </w:rPr>
              <w:t>332.64</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rPr>
            </w:pPr>
            <w:r>
              <w:rPr>
                <w:rFonts w:hint="eastAsia" w:asciiTheme="minorEastAsia" w:hAnsiTheme="minorEastAsia" w:eastAsiaTheme="minorEastAsia" w:cstheme="minorEastAsia"/>
                <w:i w:val="0"/>
                <w:iCs w:val="0"/>
                <w:color w:val="000000"/>
                <w:kern w:val="0"/>
                <w:sz w:val="20"/>
                <w:szCs w:val="20"/>
                <w:u w:val="none"/>
                <w:lang w:val="en-US" w:eastAsia="zh-CN" w:bidi="ar"/>
              </w:rPr>
              <w:t>332.64</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rPr>
            </w:pPr>
            <w:r>
              <w:rPr>
                <w:rFonts w:hint="eastAsia" w:asciiTheme="minorEastAsia" w:hAnsiTheme="minorEastAsia" w:eastAsiaTheme="minorEastAsia" w:cstheme="minorEastAsia"/>
                <w:i w:val="0"/>
                <w:iCs w:val="0"/>
                <w:color w:val="000000"/>
                <w:kern w:val="0"/>
                <w:sz w:val="20"/>
                <w:szCs w:val="20"/>
                <w:u w:val="none"/>
                <w:lang w:val="en-US" w:eastAsia="zh-CN" w:bidi="ar"/>
              </w:rPr>
              <w:t>332.64</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Theme="minorEastAsia" w:hAnsiTheme="minorEastAsia" w:eastAsiaTheme="minorEastAsia" w:cstheme="minorEastAsia"/>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hint="eastAsia" w:asciiTheme="minorEastAsia" w:hAnsiTheme="minorEastAsia" w:eastAsiaTheme="minorEastAsia" w:cstheme="minorEastAsia"/>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r>
              <w:rPr>
                <w:rFonts w:hint="eastAsia" w:asciiTheme="minorEastAsia" w:hAnsiTheme="minorEastAsia" w:eastAsiaTheme="minorEastAsia" w:cstheme="minorEastAsia"/>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r>
              <w:rPr>
                <w:rFonts w:hint="eastAsia" w:asciiTheme="minorEastAsia" w:hAnsiTheme="minorEastAsia" w:eastAsiaTheme="minorEastAsia" w:cstheme="minorEastAsia"/>
                <w:i w:val="0"/>
                <w:iCs w:val="0"/>
                <w:color w:val="000000"/>
                <w:kern w:val="0"/>
                <w:sz w:val="20"/>
                <w:szCs w:val="20"/>
                <w:u w:val="none"/>
                <w:lang w:val="en-US" w:eastAsia="zh-CN" w:bidi="ar"/>
              </w:rPr>
              <w:t>332.64</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center"/>
              <w:textAlignment w:val="center"/>
              <w:rPr>
                <w:rFonts w:hint="eastAsia" w:asciiTheme="minorEastAsia" w:hAnsiTheme="minorEastAsia" w:eastAsiaTheme="minorEastAsia" w:cstheme="minorEastAsia"/>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hint="eastAsia" w:asciiTheme="minorEastAsia" w:hAnsiTheme="minorEastAsia" w:eastAsiaTheme="minorEastAsia" w:cstheme="minorEastAsia"/>
                      <w:color w:val="000000"/>
                      <w:kern w:val="0"/>
                      <w:sz w:val="20"/>
                      <w:szCs w:val="20"/>
                    </w:rPr>
                  </w:pPr>
                </w:p>
              </w:tc>
              <w:tc>
                <w:tcPr>
                  <w:tcW w:w="1297" w:type="dxa"/>
                  <w:tcBorders>
                    <w:bottom w:val="single" w:color="000000" w:sz="4" w:space="0"/>
                  </w:tcBorders>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297" w:type="dxa"/>
                  <w:gridSpan w:val="2"/>
                  <w:tcBorders>
                    <w:bottom w:val="single" w:color="000000" w:sz="4" w:space="0"/>
                  </w:tcBorders>
                  <w:noWrap w:val="0"/>
                  <w:vAlign w:val="center"/>
                </w:tcPr>
                <w:p>
                  <w:pPr>
                    <w:widowControl/>
                    <w:jc w:val="right"/>
                    <w:rPr>
                      <w:rFonts w:hint="eastAsia" w:asciiTheme="minorEastAsia" w:hAnsiTheme="minorEastAsia" w:eastAsiaTheme="minorEastAsia" w:cstheme="minorEastAsia"/>
                      <w:color w:val="000000"/>
                      <w:kern w:val="0"/>
                      <w:sz w:val="20"/>
                      <w:szCs w:val="20"/>
                    </w:rPr>
                  </w:pPr>
                </w:p>
              </w:tc>
              <w:tc>
                <w:tcPr>
                  <w:tcW w:w="1297" w:type="dxa"/>
                  <w:tcBorders>
                    <w:bottom w:val="single" w:color="000000" w:sz="4" w:space="0"/>
                  </w:tcBorders>
                  <w:noWrap w:val="0"/>
                  <w:vAlign w:val="center"/>
                </w:tcPr>
                <w:p>
                  <w:pPr>
                    <w:widowControl/>
                    <w:jc w:val="right"/>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b w:val="0"/>
                      <w:bCs w:val="0"/>
                      <w:color w:val="000000"/>
                      <w:sz w:val="20"/>
                      <w:szCs w:val="20"/>
                    </w:rPr>
                  </w:pPr>
                  <w:r>
                    <w:rPr>
                      <w:rFonts w:hint="eastAsia" w:asciiTheme="minorEastAsia" w:hAnsiTheme="minorEastAsia" w:eastAsiaTheme="minorEastAsia" w:cstheme="minorEastAsia"/>
                      <w:b w:val="0"/>
                      <w:bCs w:val="0"/>
                      <w:color w:val="000000"/>
                      <w:sz w:val="20"/>
                      <w:szCs w:val="20"/>
                    </w:rPr>
                    <w:t>功能分类</w:t>
                  </w:r>
                </w:p>
                <w:p>
                  <w:pPr>
                    <w:widowControl/>
                    <w:jc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b w:val="0"/>
                      <w:bCs w:val="0"/>
                      <w:color w:val="000000"/>
                      <w:sz w:val="20"/>
                      <w:szCs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b w:val="0"/>
                      <w:bCs w:val="0"/>
                      <w:color w:val="000000"/>
                      <w:sz w:val="20"/>
                      <w:szCs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b w:val="0"/>
                      <w:bCs w:val="0"/>
                      <w:color w:val="000000"/>
                      <w:sz w:val="20"/>
                      <w:szCs w:val="20"/>
                    </w:rPr>
                  </w:pPr>
                </w:p>
                <w:p>
                  <w:pPr>
                    <w:widowControl/>
                    <w:jc w:val="center"/>
                    <w:rPr>
                      <w:rFonts w:hint="eastAsia" w:asciiTheme="minorEastAsia" w:hAnsiTheme="minorEastAsia" w:eastAsiaTheme="minorEastAsia" w:cstheme="minorEastAsia"/>
                      <w:b w:val="0"/>
                      <w:bCs w:val="0"/>
                      <w:color w:val="000000"/>
                      <w:sz w:val="20"/>
                      <w:szCs w:val="20"/>
                    </w:rPr>
                  </w:pPr>
                  <w:r>
                    <w:rPr>
                      <w:rFonts w:hint="eastAsia" w:asciiTheme="minorEastAsia" w:hAnsiTheme="minorEastAsia" w:eastAsiaTheme="minorEastAsia" w:cstheme="minorEastAsia"/>
                      <w:b w:val="0"/>
                      <w:bCs w:val="0"/>
                      <w:color w:val="000000"/>
                      <w:sz w:val="20"/>
                      <w:szCs w:val="20"/>
                    </w:rPr>
                    <w:t>基本</w:t>
                  </w:r>
                </w:p>
                <w:p>
                  <w:pPr>
                    <w:widowControl/>
                    <w:jc w:val="center"/>
                    <w:rPr>
                      <w:rFonts w:hint="eastAsia" w:asciiTheme="minorEastAsia" w:hAnsiTheme="minorEastAsia" w:eastAsiaTheme="minorEastAsia" w:cstheme="minorEastAsia"/>
                      <w:b w:val="0"/>
                      <w:bCs w:val="0"/>
                      <w:color w:val="000000"/>
                      <w:sz w:val="20"/>
                      <w:szCs w:val="20"/>
                    </w:rPr>
                  </w:pPr>
                  <w:r>
                    <w:rPr>
                      <w:rFonts w:hint="eastAsia" w:asciiTheme="minorEastAsia" w:hAnsiTheme="minorEastAsia" w:eastAsiaTheme="minorEastAsia" w:cstheme="minorEastAsia"/>
                      <w:b w:val="0"/>
                      <w:bCs w:val="0"/>
                      <w:color w:val="000000"/>
                      <w:sz w:val="20"/>
                      <w:szCs w:val="20"/>
                    </w:rPr>
                    <w:t>支出</w:t>
                  </w:r>
                </w:p>
                <w:p>
                  <w:pPr>
                    <w:widowControl/>
                    <w:jc w:val="center"/>
                    <w:rPr>
                      <w:rFonts w:hint="eastAsia" w:asciiTheme="minorEastAsia" w:hAnsiTheme="minorEastAsia" w:eastAsiaTheme="minorEastAsia" w:cstheme="minorEastAsia"/>
                      <w:b w:val="0"/>
                      <w:bCs w:val="0"/>
                      <w:color w:val="000000"/>
                      <w:kern w:val="0"/>
                      <w:sz w:val="20"/>
                      <w:szCs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b w:val="0"/>
                      <w:bCs w:val="0"/>
                      <w:color w:val="000000"/>
                      <w:sz w:val="20"/>
                      <w:szCs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b w:val="0"/>
                      <w:bCs w:val="0"/>
                      <w:color w:val="000000"/>
                      <w:sz w:val="20"/>
                      <w:szCs w:val="20"/>
                    </w:rPr>
                  </w:pPr>
                  <w:r>
                    <w:rPr>
                      <w:rFonts w:hint="eastAsia" w:asciiTheme="minorEastAsia" w:hAnsiTheme="minorEastAsia" w:eastAsiaTheme="minorEastAsia" w:cstheme="minorEastAsia"/>
                      <w:b w:val="0"/>
                      <w:bCs w:val="0"/>
                      <w:color w:val="000000"/>
                      <w:sz w:val="20"/>
                      <w:szCs w:val="20"/>
                    </w:rPr>
                    <w:t>事业单位</w:t>
                  </w:r>
                </w:p>
                <w:p>
                  <w:pPr>
                    <w:widowControl/>
                    <w:jc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b w:val="0"/>
                      <w:bCs w:val="0"/>
                      <w:color w:val="000000"/>
                      <w:sz w:val="20"/>
                      <w:szCs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b w:val="0"/>
                      <w:bCs w:val="0"/>
                      <w:color w:val="000000"/>
                      <w:sz w:val="20"/>
                      <w:szCs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b w:val="0"/>
                      <w:bCs w:val="0"/>
                      <w:color w:val="000000"/>
                      <w:sz w:val="20"/>
                      <w:szCs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b w:val="0"/>
                      <w:bCs w:val="0"/>
                      <w:color w:val="000000"/>
                      <w:kern w:val="0"/>
                      <w:sz w:val="20"/>
                      <w:szCs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277.46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181.80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95.66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b w:val="0"/>
                      <w:bCs w:val="0"/>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b w:val="0"/>
                      <w:bCs w:val="0"/>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277.46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ind w:firstLine="200" w:firstLineChars="100"/>
                    <w:jc w:val="right"/>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181.80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ind w:firstLine="200" w:firstLineChars="100"/>
                    <w:jc w:val="right"/>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95.66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277.46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181.80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95.66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2"/>
                      <w:sz w:val="20"/>
                      <w:szCs w:val="20"/>
                      <w:u w:val="none"/>
                      <w:lang w:val="en-US" w:eastAsia="zh-CN" w:bidi="ar-SA"/>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二、社会保障和就业支出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heme="minorEastAsia" w:hAnsiTheme="minorEastAsia" w:eastAsiaTheme="minorEastAsia" w:cstheme="minorEastAsia"/>
                      <w:b w:val="0"/>
                      <w:bCs w:val="0"/>
                      <w:color w:val="000000"/>
                      <w:kern w:val="0"/>
                      <w:sz w:val="20"/>
                      <w:szCs w:val="20"/>
                      <w:lang w:val="en-US"/>
                    </w:rPr>
                  </w:pPr>
                  <w:r>
                    <w:rPr>
                      <w:rFonts w:hint="eastAsia" w:asciiTheme="minorEastAsia" w:hAnsiTheme="minorEastAsia" w:eastAsiaTheme="minorEastAsia" w:cstheme="minorEastAsia"/>
                      <w:i w:val="0"/>
                      <w:iCs w:val="0"/>
                      <w:color w:val="000000"/>
                      <w:kern w:val="0"/>
                      <w:sz w:val="20"/>
                      <w:szCs w:val="20"/>
                      <w:u w:val="none"/>
                      <w:lang w:val="en-US" w:eastAsia="zh-CN" w:bidi="ar"/>
                    </w:rPr>
                    <w:t>28.17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heme="minorEastAsia" w:hAnsiTheme="minorEastAsia" w:eastAsiaTheme="minorEastAsia" w:cstheme="minorEastAsia"/>
                      <w:b w:val="0"/>
                      <w:bCs w:val="0"/>
                      <w:color w:val="000000"/>
                      <w:kern w:val="0"/>
                      <w:sz w:val="20"/>
                      <w:szCs w:val="20"/>
                      <w:lang w:val="en-US"/>
                    </w:rPr>
                  </w:pPr>
                  <w:r>
                    <w:rPr>
                      <w:rFonts w:hint="eastAsia" w:asciiTheme="minorEastAsia" w:hAnsiTheme="minorEastAsia" w:eastAsiaTheme="minorEastAsia" w:cstheme="minorEastAsia"/>
                      <w:i w:val="0"/>
                      <w:iCs w:val="0"/>
                      <w:color w:val="000000"/>
                      <w:kern w:val="0"/>
                      <w:sz w:val="20"/>
                      <w:szCs w:val="20"/>
                      <w:u w:val="none"/>
                      <w:lang w:val="en-US" w:eastAsia="zh-CN" w:bidi="ar"/>
                    </w:rPr>
                    <w:t>28.17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ind w:firstLine="400" w:firstLineChars="200"/>
                    <w:jc w:val="right"/>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28.18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ind w:firstLine="400" w:firstLineChars="200"/>
                    <w:jc w:val="right"/>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28.18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22.74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22.74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5.43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5.43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2"/>
                      <w:sz w:val="20"/>
                      <w:szCs w:val="20"/>
                      <w:u w:val="none"/>
                      <w:lang w:val="en-US" w:eastAsia="zh-CN" w:bidi="ar-SA"/>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9.95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9.95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00" w:firstLineChars="100"/>
                    <w:jc w:val="left"/>
                    <w:textAlignment w:val="center"/>
                    <w:rPr>
                      <w:rFonts w:hint="eastAsia" w:asciiTheme="minorEastAsia" w:hAnsiTheme="minorEastAsia" w:eastAsiaTheme="minorEastAsia" w:cstheme="minorEastAsia"/>
                      <w:b w:val="0"/>
                      <w:bCs w:val="0"/>
                      <w:i w:val="0"/>
                      <w:iCs w:val="0"/>
                      <w:color w:val="000000"/>
                      <w:kern w:val="0"/>
                      <w:sz w:val="20"/>
                      <w:szCs w:val="20"/>
                      <w:u w:val="none"/>
                      <w:lang w:val="en-US" w:eastAsia="zh-CN" w:bidi="ar"/>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ind w:firstLine="400" w:firstLineChars="200"/>
                    <w:jc w:val="right"/>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9.95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ind w:firstLine="400" w:firstLineChars="200"/>
                    <w:jc w:val="right"/>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9.95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0"/>
                      <w:szCs w:val="20"/>
                      <w:u w:val="none"/>
                      <w:lang w:val="en-US" w:eastAsia="zh-CN" w:bidi="ar"/>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9.81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9.81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0"/>
                      <w:szCs w:val="20"/>
                      <w:u w:val="none"/>
                      <w:lang w:val="en-US" w:eastAsia="zh-CN" w:bidi="ar"/>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0.14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0.14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2"/>
                      <w:sz w:val="20"/>
                      <w:szCs w:val="20"/>
                      <w:u w:val="none"/>
                      <w:lang w:val="en-US" w:eastAsia="zh-CN" w:bidi="ar-SA"/>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17.06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17.06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0"/>
                      <w:szCs w:val="20"/>
                      <w:u w:val="none"/>
                      <w:lang w:val="en-US" w:eastAsia="zh-CN" w:bidi="ar"/>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17.06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17.06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0"/>
                      <w:szCs w:val="20"/>
                      <w:u w:val="none"/>
                      <w:lang w:val="en-US" w:eastAsia="zh-CN" w:bidi="ar"/>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17.06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17.06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b w:val="0"/>
                      <w:bCs w:val="0"/>
                      <w:color w:val="000000"/>
                      <w:kern w:val="0"/>
                      <w:sz w:val="20"/>
                      <w:szCs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332.64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236.98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95.66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heme="minorEastAsia" w:hAnsiTheme="minorEastAsia" w:eastAsiaTheme="minorEastAsia" w:cstheme="minorEastAsia"/>
                      <w:b w:val="0"/>
                      <w:bCs w:val="0"/>
                      <w:color w:val="000000"/>
                      <w:kern w:val="0"/>
                      <w:sz w:val="20"/>
                      <w:szCs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827"/>
              <w:gridCol w:w="824"/>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27"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82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27"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2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Verdana" w:hAnsi="Verdana" w:eastAsia="仿宋_GB2312" w:cs="Verdana"/>
                      <w:i w:val="0"/>
                      <w:iCs w:val="0"/>
                      <w:color w:val="000000"/>
                      <w:kern w:val="2"/>
                      <w:sz w:val="24"/>
                      <w:szCs w:val="24"/>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332.64</w:t>
                  </w:r>
                </w:p>
              </w:tc>
              <w:tc>
                <w:tcPr>
                  <w:tcW w:w="8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Verdana" w:hAnsi="Verdana" w:eastAsia="仿宋_GB2312" w:cs="Verdana"/>
                      <w:i w:val="0"/>
                      <w:iCs w:val="0"/>
                      <w:color w:val="000000"/>
                      <w:kern w:val="2"/>
                      <w:sz w:val="24"/>
                      <w:szCs w:val="24"/>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332.64</w:t>
                  </w:r>
                  <w:r>
                    <w:rPr>
                      <w:rFonts w:hint="default" w:ascii="Verdana" w:hAnsi="Verdana" w:eastAsia="宋体" w:cs="Verdana"/>
                      <w:i w:val="0"/>
                      <w:iCs w:val="0"/>
                      <w:color w:val="000000"/>
                      <w:kern w:val="0"/>
                      <w:sz w:val="24"/>
                      <w:szCs w:val="24"/>
                      <w:u w:val="none"/>
                      <w:lang w:val="en-US" w:eastAsia="zh-CN" w:bidi="ar"/>
                    </w:rPr>
                    <w:t xml:space="preserve">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277.46</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277.46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Verdana" w:hAnsi="Verdana" w:eastAsia="仿宋_GB2312" w:cs="Verdana"/>
                      <w:i w:val="0"/>
                      <w:iCs w:val="0"/>
                      <w:color w:val="000000"/>
                      <w:kern w:val="2"/>
                      <w:sz w:val="24"/>
                      <w:szCs w:val="24"/>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332.64</w:t>
                  </w:r>
                </w:p>
              </w:tc>
              <w:tc>
                <w:tcPr>
                  <w:tcW w:w="8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Verdana" w:hAnsi="Verdana" w:eastAsia="仿宋_GB2312" w:cs="Verdana"/>
                      <w:i w:val="0"/>
                      <w:iCs w:val="0"/>
                      <w:color w:val="000000"/>
                      <w:kern w:val="2"/>
                      <w:sz w:val="24"/>
                      <w:szCs w:val="24"/>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332.64</w:t>
                  </w:r>
                  <w:r>
                    <w:rPr>
                      <w:rFonts w:hint="default" w:ascii="Verdana" w:hAnsi="Verdana" w:eastAsia="宋体" w:cs="Verdana"/>
                      <w:i w:val="0"/>
                      <w:iCs w:val="0"/>
                      <w:color w:val="000000"/>
                      <w:kern w:val="0"/>
                      <w:sz w:val="24"/>
                      <w:szCs w:val="24"/>
                      <w:u w:val="none"/>
                      <w:lang w:val="en-US" w:eastAsia="zh-CN" w:bidi="ar"/>
                    </w:rPr>
                    <w:t xml:space="preserve">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28.17</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28.17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9.95</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9.95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17.06</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17.06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Verdana" w:hAnsi="Verdana" w:eastAsia="仿宋_GB2312" w:cs="Verdana"/>
                      <w:i w:val="0"/>
                      <w:iCs w:val="0"/>
                      <w:color w:val="000000"/>
                      <w:kern w:val="2"/>
                      <w:sz w:val="24"/>
                      <w:szCs w:val="24"/>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332.64</w:t>
                  </w:r>
                </w:p>
              </w:tc>
              <w:tc>
                <w:tcPr>
                  <w:tcW w:w="8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Verdana" w:hAnsi="Verdana" w:eastAsia="仿宋_GB2312" w:cs="Verdana"/>
                      <w:i w:val="0"/>
                      <w:iCs w:val="0"/>
                      <w:color w:val="000000"/>
                      <w:kern w:val="2"/>
                      <w:sz w:val="24"/>
                      <w:szCs w:val="24"/>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332.64</w:t>
                  </w:r>
                  <w:r>
                    <w:rPr>
                      <w:rFonts w:hint="default" w:ascii="Verdana" w:hAnsi="Verdana" w:eastAsia="宋体" w:cs="Verdana"/>
                      <w:i w:val="0"/>
                      <w:iCs w:val="0"/>
                      <w:color w:val="000000"/>
                      <w:kern w:val="0"/>
                      <w:sz w:val="24"/>
                      <w:szCs w:val="24"/>
                      <w:u w:val="none"/>
                      <w:lang w:val="en-US" w:eastAsia="zh-CN" w:bidi="ar"/>
                    </w:rPr>
                    <w:t xml:space="preserve">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Verdana" w:hAnsi="Verdana" w:eastAsia="仿宋_GB2312" w:cs="Verdana"/>
                      <w:i w:val="0"/>
                      <w:iCs w:val="0"/>
                      <w:color w:val="000000"/>
                      <w:kern w:val="2"/>
                      <w:sz w:val="24"/>
                      <w:szCs w:val="24"/>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332.64</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Verdana" w:hAnsi="Verdana" w:eastAsia="仿宋_GB2312" w:cs="Verdana"/>
                      <w:i w:val="0"/>
                      <w:iCs w:val="0"/>
                      <w:color w:val="000000"/>
                      <w:kern w:val="2"/>
                      <w:sz w:val="24"/>
                      <w:szCs w:val="24"/>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332.64</w:t>
                  </w:r>
                  <w:r>
                    <w:rPr>
                      <w:rFonts w:hint="default" w:ascii="Verdana" w:hAnsi="Verdana" w:eastAsia="宋体" w:cs="Verdana"/>
                      <w:i w:val="0"/>
                      <w:iCs w:val="0"/>
                      <w:color w:val="000000"/>
                      <w:kern w:val="0"/>
                      <w:sz w:val="24"/>
                      <w:szCs w:val="24"/>
                      <w:u w:val="none"/>
                      <w:lang w:val="en-US" w:eastAsia="zh-CN" w:bidi="ar"/>
                    </w:rPr>
                    <w:t xml:space="preserve">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82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827"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2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Verdana" w:hAnsi="Verdana" w:eastAsia="仿宋_GB2312" w:cs="Verdana"/>
                      <w:i w:val="0"/>
                      <w:iCs w:val="0"/>
                      <w:color w:val="000000"/>
                      <w:kern w:val="2"/>
                      <w:sz w:val="24"/>
                      <w:szCs w:val="24"/>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332.64</w:t>
                  </w:r>
                </w:p>
              </w:tc>
              <w:tc>
                <w:tcPr>
                  <w:tcW w:w="8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Verdana" w:hAnsi="Verdana" w:eastAsia="仿宋_GB2312" w:cs="Verdana"/>
                      <w:i w:val="0"/>
                      <w:iCs w:val="0"/>
                      <w:color w:val="000000"/>
                      <w:kern w:val="2"/>
                      <w:sz w:val="24"/>
                      <w:szCs w:val="24"/>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332.64</w:t>
                  </w:r>
                  <w:r>
                    <w:rPr>
                      <w:rFonts w:hint="default" w:ascii="Verdana" w:hAnsi="Verdana" w:eastAsia="宋体" w:cs="Verdana"/>
                      <w:i w:val="0"/>
                      <w:iCs w:val="0"/>
                      <w:color w:val="000000"/>
                      <w:kern w:val="0"/>
                      <w:sz w:val="24"/>
                      <w:szCs w:val="24"/>
                      <w:u w:val="none"/>
                      <w:lang w:val="en-US" w:eastAsia="zh-CN" w:bidi="ar"/>
                    </w:rPr>
                    <w:t xml:space="preserve">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Verdana" w:hAnsi="Verdana" w:eastAsia="仿宋_GB2312" w:cs="Verdana"/>
                      <w:i w:val="0"/>
                      <w:iCs w:val="0"/>
                      <w:color w:val="000000"/>
                      <w:kern w:val="2"/>
                      <w:sz w:val="24"/>
                      <w:szCs w:val="24"/>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332.64</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Verdana" w:hAnsi="Verdana" w:eastAsia="仿宋_GB2312" w:cs="Verdana"/>
                      <w:i w:val="0"/>
                      <w:iCs w:val="0"/>
                      <w:color w:val="000000"/>
                      <w:kern w:val="2"/>
                      <w:sz w:val="24"/>
                      <w:szCs w:val="24"/>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332.64</w:t>
                  </w:r>
                  <w:r>
                    <w:rPr>
                      <w:rFonts w:hint="default" w:ascii="Verdana" w:hAnsi="Verdana" w:eastAsia="宋体" w:cs="Verdana"/>
                      <w:i w:val="0"/>
                      <w:iCs w:val="0"/>
                      <w:color w:val="000000"/>
                      <w:kern w:val="0"/>
                      <w:sz w:val="24"/>
                      <w:szCs w:val="24"/>
                      <w:u w:val="none"/>
                      <w:lang w:val="en-US" w:eastAsia="zh-CN" w:bidi="ar"/>
                    </w:rPr>
                    <w:t xml:space="preserve">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Verdana" w:hAnsi="Verdana" w:eastAsia="仿宋_GB2312" w:cs="Verdana"/>
                      <w:i w:val="0"/>
                      <w:iCs w:val="0"/>
                      <w:color w:val="000000"/>
                      <w:kern w:val="2"/>
                      <w:sz w:val="24"/>
                      <w:szCs w:val="24"/>
                      <w:u w:val="none"/>
                      <w:lang w:val="en-US" w:eastAsia="zh-CN" w:bidi="ar-SA"/>
                    </w:rPr>
                  </w:pPr>
                  <w:r>
                    <w:rPr>
                      <w:rFonts w:hint="default" w:ascii="Arial" w:hAnsi="Arial" w:eastAsia="宋体" w:cs="Arial"/>
                      <w:i w:val="0"/>
                      <w:iCs w:val="0"/>
                      <w:color w:val="000000"/>
                      <w:kern w:val="0"/>
                      <w:sz w:val="20"/>
                      <w:szCs w:val="20"/>
                      <w:u w:val="none"/>
                      <w:lang w:val="en-US" w:eastAsia="zh-CN" w:bidi="ar"/>
                    </w:rPr>
                    <w:t>277.46</w:t>
                  </w:r>
                  <w:r>
                    <w:rPr>
                      <w:rFonts w:hint="default" w:ascii="Verdana" w:hAnsi="Verdana" w:eastAsia="宋体" w:cs="Verdana"/>
                      <w:i w:val="0"/>
                      <w:iCs w:val="0"/>
                      <w:color w:val="000000"/>
                      <w:kern w:val="0"/>
                      <w:sz w:val="24"/>
                      <w:szCs w:val="24"/>
                      <w:u w:val="none"/>
                      <w:lang w:val="en-US" w:eastAsia="zh-CN" w:bidi="ar"/>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181.80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150.30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31.50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95.66</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277.46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xml:space="preserve">181.80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xml:space="preserve">150.30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xml:space="preserve">31.50 </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95.66</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277.46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xml:space="preserve">181.80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xml:space="preserve">150.30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xml:space="preserve">31.50 </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95.66</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28.17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28.17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hint="default" w:eastAsia="宋体"/>
                      <w:color w:val="000000"/>
                      <w:kern w:val="0"/>
                      <w:sz w:val="20"/>
                      <w:lang w:val="en-US" w:eastAsia="zh-CN"/>
                    </w:rPr>
                  </w:pPr>
                  <w:r>
                    <w:rPr>
                      <w:rFonts w:hint="eastAsia" w:eastAsia="宋体"/>
                      <w:color w:val="000000"/>
                      <w:kern w:val="0"/>
                      <w:sz w:val="20"/>
                      <w:lang w:val="en-US" w:eastAsia="zh-CN"/>
                    </w:rPr>
                    <w:t>28.17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hint="default" w:ascii="Times New Roman" w:hAnsi="Times New Roman"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28.17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28.17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r>
                    <w:rPr>
                      <w:rFonts w:hint="eastAsia" w:eastAsia="宋体"/>
                      <w:color w:val="000000"/>
                      <w:kern w:val="0"/>
                      <w:sz w:val="20"/>
                      <w:lang w:val="en-US" w:eastAsia="zh-CN"/>
                    </w:rPr>
                    <w:t>28.17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ascii="Times New Roman" w:hAnsi="Times New Roman"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hint="eastAsia" w:ascii="Times New Roman" w:hAnsi="Times New Roman" w:eastAsia="宋体" w:cs="Times New Roman"/>
                      <w:color w:val="000000"/>
                      <w:kern w:val="0"/>
                      <w:sz w:val="20"/>
                      <w:lang w:val="en-US" w:eastAsia="zh-CN" w:bidi="ar-SA"/>
                    </w:rPr>
                  </w:pPr>
                  <w:r>
                    <w:rPr>
                      <w:rFonts w:hint="default" w:eastAsia="宋体"/>
                      <w:color w:val="000000"/>
                      <w:kern w:val="0"/>
                      <w:sz w:val="20"/>
                      <w:lang w:val="en-US" w:eastAsia="zh-CN"/>
                    </w:rPr>
                    <w:t xml:space="preserve">22.74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hint="eastAsia" w:ascii="Times New Roman" w:hAnsi="Times New Roman" w:eastAsia="宋体" w:cs="Times New Roman"/>
                      <w:color w:val="000000"/>
                      <w:kern w:val="0"/>
                      <w:sz w:val="20"/>
                      <w:lang w:val="en-US" w:eastAsia="zh-CN" w:bidi="ar-SA"/>
                    </w:rPr>
                  </w:pPr>
                  <w:r>
                    <w:rPr>
                      <w:rFonts w:hint="default" w:eastAsia="宋体"/>
                      <w:color w:val="000000"/>
                      <w:kern w:val="0"/>
                      <w:sz w:val="20"/>
                      <w:lang w:val="en-US" w:eastAsia="zh-CN"/>
                    </w:rPr>
                    <w:t xml:space="preserve">22.74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hint="eastAsia" w:eastAsia="宋体"/>
                      <w:color w:val="000000"/>
                      <w:kern w:val="0"/>
                      <w:sz w:val="20"/>
                      <w:lang w:val="en-US" w:eastAsia="zh-CN"/>
                    </w:rPr>
                  </w:pPr>
                  <w:r>
                    <w:rPr>
                      <w:rFonts w:hint="default" w:eastAsia="宋体"/>
                      <w:color w:val="000000"/>
                      <w:kern w:val="0"/>
                      <w:sz w:val="20"/>
                      <w:lang w:val="en-US" w:eastAsia="zh-CN"/>
                    </w:rPr>
                    <w:t xml:space="preserve">22.74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hint="eastAsia" w:ascii="Times New Roman" w:hAnsi="Times New Roman"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hint="eastAsia" w:ascii="Times New Roman" w:hAnsi="Times New Roman" w:eastAsia="宋体" w:cs="Times New Roman"/>
                      <w:color w:val="000000"/>
                      <w:kern w:val="0"/>
                      <w:sz w:val="20"/>
                      <w:lang w:val="en-US" w:eastAsia="zh-CN" w:bidi="ar-SA"/>
                    </w:rPr>
                  </w:pPr>
                  <w:r>
                    <w:rPr>
                      <w:rFonts w:hint="default" w:eastAsia="宋体"/>
                      <w:color w:val="000000"/>
                      <w:kern w:val="0"/>
                      <w:sz w:val="20"/>
                      <w:lang w:val="en-US" w:eastAsia="zh-CN"/>
                    </w:rPr>
                    <w:t xml:space="preserve">5.43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hint="eastAsia" w:ascii="Times New Roman" w:hAnsi="Times New Roman" w:eastAsia="宋体" w:cs="Times New Roman"/>
                      <w:color w:val="000000"/>
                      <w:kern w:val="0"/>
                      <w:sz w:val="20"/>
                      <w:lang w:val="en-US" w:eastAsia="zh-CN" w:bidi="ar-SA"/>
                    </w:rPr>
                  </w:pPr>
                  <w:r>
                    <w:rPr>
                      <w:rFonts w:hint="default" w:eastAsia="宋体"/>
                      <w:color w:val="000000"/>
                      <w:kern w:val="0"/>
                      <w:sz w:val="20"/>
                      <w:lang w:val="en-US" w:eastAsia="zh-CN"/>
                    </w:rPr>
                    <w:t xml:space="preserve">5.43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hint="eastAsia" w:eastAsia="宋体"/>
                      <w:color w:val="000000"/>
                      <w:kern w:val="0"/>
                      <w:sz w:val="20"/>
                      <w:lang w:val="en-US" w:eastAsia="zh-CN"/>
                    </w:rPr>
                  </w:pPr>
                  <w:r>
                    <w:rPr>
                      <w:rFonts w:hint="default" w:eastAsia="宋体"/>
                      <w:color w:val="000000"/>
                      <w:kern w:val="0"/>
                      <w:sz w:val="20"/>
                      <w:lang w:val="en-US" w:eastAsia="zh-CN"/>
                    </w:rPr>
                    <w:t xml:space="preserve">5.43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hint="eastAsia" w:ascii="Times New Roman" w:hAnsi="Times New Roman"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eastAsia="宋体"/>
                      <w:color w:val="000000"/>
                      <w:kern w:val="0"/>
                      <w:sz w:val="20"/>
                      <w:lang w:val="en-US" w:eastAsia="zh-CN"/>
                    </w:rPr>
                  </w:pPr>
                  <w:r>
                    <w:rPr>
                      <w:rFonts w:hint="eastAsia" w:eastAsia="宋体"/>
                      <w:color w:val="000000"/>
                      <w:kern w:val="0"/>
                      <w:sz w:val="20"/>
                      <w:lang w:val="en-US" w:eastAsia="zh-CN"/>
                    </w:rPr>
                    <w:t>9.95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eastAsia" w:eastAsia="宋体"/>
                      <w:color w:val="000000"/>
                      <w:kern w:val="0"/>
                      <w:sz w:val="20"/>
                      <w:lang w:val="en-US" w:eastAsia="zh-CN"/>
                    </w:rPr>
                    <w:t>9.95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eastAsia" w:eastAsia="宋体"/>
                      <w:color w:val="000000"/>
                      <w:kern w:val="0"/>
                      <w:sz w:val="20"/>
                      <w:lang w:val="en-US" w:eastAsia="zh-CN"/>
                    </w:rPr>
                    <w:t>9.95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00" w:firstLineChars="100"/>
                    <w:jc w:val="left"/>
                    <w:textAlignment w:val="center"/>
                    <w:rPr>
                      <w:rFonts w:eastAsia="宋体"/>
                      <w:color w:val="000000"/>
                      <w:kern w:val="0"/>
                      <w:sz w:val="2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ascii="Times New Roman" w:hAnsi="Times New Roman"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eastAsia" w:eastAsia="宋体"/>
                      <w:color w:val="000000"/>
                      <w:kern w:val="0"/>
                      <w:sz w:val="20"/>
                      <w:lang w:val="en-US" w:eastAsia="zh-CN"/>
                    </w:rPr>
                    <w:t>9.81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eastAsia="宋体"/>
                      <w:color w:val="000000"/>
                      <w:kern w:val="0"/>
                      <w:sz w:val="20"/>
                      <w:lang w:val="en-US" w:eastAsia="zh-CN"/>
                    </w:rPr>
                    <w:t>9.81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eastAsia="宋体"/>
                      <w:color w:val="000000"/>
                      <w:kern w:val="0"/>
                      <w:sz w:val="20"/>
                      <w:lang w:val="en-US" w:eastAsia="zh-CN"/>
                    </w:rPr>
                    <w:t>9.81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eastAsia" w:eastAsia="宋体"/>
                      <w:color w:val="000000"/>
                      <w:kern w:val="0"/>
                      <w:sz w:val="20"/>
                      <w:lang w:val="en-US" w:eastAsia="zh-CN"/>
                    </w:rPr>
                    <w:t>0.14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eastAsia="宋体"/>
                      <w:color w:val="000000"/>
                      <w:kern w:val="0"/>
                      <w:sz w:val="20"/>
                      <w:lang w:val="en-US" w:eastAsia="zh-CN"/>
                    </w:rPr>
                    <w:t>0.14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eastAsia="宋体"/>
                      <w:color w:val="000000"/>
                      <w:kern w:val="0"/>
                      <w:sz w:val="20"/>
                      <w:lang w:val="en-US" w:eastAsia="zh-CN"/>
                    </w:rPr>
                    <w:t>0.14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eastAsia="宋体"/>
                      <w:color w:val="000000"/>
                      <w:kern w:val="0"/>
                      <w:sz w:val="20"/>
                      <w:lang w:val="en-US" w:eastAsia="zh-CN"/>
                    </w:rPr>
                  </w:pPr>
                  <w:r>
                    <w:rPr>
                      <w:rFonts w:hint="eastAsia" w:eastAsia="宋体"/>
                      <w:color w:val="000000"/>
                      <w:kern w:val="0"/>
                      <w:sz w:val="20"/>
                      <w:lang w:val="en-US" w:eastAsia="zh-CN"/>
                    </w:rPr>
                    <w:t>17.06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eastAsia" w:eastAsia="宋体"/>
                      <w:color w:val="000000"/>
                      <w:kern w:val="0"/>
                      <w:sz w:val="20"/>
                      <w:lang w:val="en-US" w:eastAsia="zh-CN"/>
                    </w:rPr>
                    <w:t>17.06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eastAsia" w:eastAsia="宋体"/>
                      <w:color w:val="000000"/>
                      <w:kern w:val="0"/>
                      <w:sz w:val="20"/>
                      <w:lang w:val="en-US" w:eastAsia="zh-CN"/>
                    </w:rPr>
                    <w:t>17.06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eastAsia="宋体"/>
                      <w:color w:val="000000"/>
                      <w:kern w:val="0"/>
                      <w:sz w:val="20"/>
                      <w:lang w:val="en-US" w:eastAsia="zh-CN"/>
                    </w:rPr>
                    <w:t>17.06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eastAsia="宋体"/>
                      <w:color w:val="000000"/>
                      <w:kern w:val="0"/>
                      <w:sz w:val="20"/>
                      <w:lang w:val="en-US" w:eastAsia="zh-CN"/>
                    </w:rPr>
                    <w:t>17.06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eastAsia="宋体"/>
                      <w:color w:val="000000"/>
                      <w:kern w:val="0"/>
                      <w:sz w:val="20"/>
                      <w:lang w:val="en-US" w:eastAsia="zh-CN"/>
                    </w:rPr>
                    <w:t>17.06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eastAsia="宋体"/>
                      <w:color w:val="000000"/>
                      <w:kern w:val="0"/>
                      <w:sz w:val="20"/>
                      <w:lang w:val="en-US" w:eastAsia="zh-CN"/>
                    </w:rPr>
                    <w:t>17.06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eastAsia="宋体"/>
                      <w:color w:val="000000"/>
                      <w:kern w:val="0"/>
                      <w:sz w:val="20"/>
                      <w:lang w:val="en-US" w:eastAsia="zh-CN"/>
                    </w:rPr>
                    <w:t>17.06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eastAsia="宋体"/>
                      <w:color w:val="000000"/>
                      <w:kern w:val="0"/>
                      <w:sz w:val="20"/>
                      <w:lang w:val="en-US" w:eastAsia="zh-CN"/>
                    </w:rPr>
                    <w:t>17.06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332.64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236.98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205.48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eastAsia="zh-CN"/>
                    </w:rPr>
                  </w:pPr>
                  <w:r>
                    <w:rPr>
                      <w:rFonts w:hint="eastAsia" w:eastAsia="宋体"/>
                      <w:color w:val="000000"/>
                      <w:kern w:val="0"/>
                      <w:sz w:val="20"/>
                      <w:lang w:val="en-US" w:eastAsia="zh-CN"/>
                    </w:rPr>
                    <w:t>31.50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95.66</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10"/>
        <w:gridCol w:w="171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1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4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66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1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1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553"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left"/>
              <w:rPr>
                <w:rFonts w:hint="eastAsia" w:ascii="宋体" w:hAnsi="宋体" w:eastAsia="宋体" w:cs="宋体"/>
                <w:kern w:val="0"/>
                <w:sz w:val="20"/>
                <w:szCs w:val="20"/>
              </w:rPr>
            </w:pPr>
            <w:r>
              <w:rPr>
                <w:rFonts w:hint="eastAsia" w:ascii="宋体" w:hAnsi="宋体" w:eastAsia="宋体" w:cs="宋体"/>
                <w:color w:val="000000"/>
                <w:sz w:val="20"/>
                <w:szCs w:val="20"/>
              </w:rPr>
              <w:t>一、工资福利支出</w:t>
            </w:r>
          </w:p>
        </w:tc>
        <w:tc>
          <w:tcPr>
            <w:tcW w:w="2210" w:type="dxa"/>
            <w:tcBorders>
              <w:top w:val="single" w:color="auto" w:sz="4" w:space="0"/>
              <w:left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Verdana" w:hAnsi="Verdana" w:eastAsia="宋体" w:cs="Verdana"/>
                <w:i w:val="0"/>
                <w:iCs w:val="0"/>
                <w:color w:val="000000"/>
                <w:kern w:val="2"/>
                <w:sz w:val="24"/>
                <w:szCs w:val="24"/>
                <w:u w:val="none"/>
                <w:lang w:val="en-US" w:eastAsia="zh-CN" w:bidi="ar-SA"/>
              </w:rPr>
            </w:pPr>
            <w:r>
              <w:rPr>
                <w:rFonts w:hint="default" w:ascii="Arial" w:hAnsi="Arial" w:eastAsia="宋体" w:cs="Arial"/>
                <w:i w:val="0"/>
                <w:iCs w:val="0"/>
                <w:color w:val="000000"/>
                <w:kern w:val="0"/>
                <w:sz w:val="20"/>
                <w:szCs w:val="20"/>
                <w:u w:val="none"/>
                <w:lang w:val="en-US" w:eastAsia="zh-CN" w:bidi="ar"/>
              </w:rPr>
              <w:t>236.98</w:t>
            </w:r>
          </w:p>
        </w:tc>
        <w:tc>
          <w:tcPr>
            <w:tcW w:w="1714" w:type="dxa"/>
            <w:tcBorders>
              <w:top w:val="single" w:color="auto" w:sz="4" w:space="0"/>
              <w:left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Verdana" w:hAnsi="Verdana" w:eastAsia="宋体" w:cs="Verdana"/>
                <w:i w:val="0"/>
                <w:iCs w:val="0"/>
                <w:color w:val="000000"/>
                <w:kern w:val="2"/>
                <w:sz w:val="24"/>
                <w:szCs w:val="24"/>
                <w:u w:val="none"/>
                <w:lang w:val="en-US" w:eastAsia="zh-CN" w:bidi="ar-SA"/>
              </w:rPr>
            </w:pPr>
            <w:r>
              <w:rPr>
                <w:rFonts w:hint="eastAsia" w:ascii="Arial" w:hAnsi="Arial" w:eastAsia="宋体" w:cs="Arial"/>
                <w:i w:val="0"/>
                <w:iCs w:val="0"/>
                <w:color w:val="000000"/>
                <w:kern w:val="0"/>
                <w:sz w:val="20"/>
                <w:szCs w:val="20"/>
                <w:u w:val="none"/>
                <w:lang w:val="en-US" w:eastAsia="zh-CN" w:bidi="ar"/>
              </w:rPr>
              <w:t>205.48</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rPr>
            </w:pPr>
          </w:p>
        </w:tc>
      </w:tr>
      <w:tr>
        <w:tblPrEx>
          <w:tblCellMar>
            <w:top w:w="0" w:type="dxa"/>
            <w:left w:w="108" w:type="dxa"/>
            <w:bottom w:w="0" w:type="dxa"/>
            <w:right w:w="108" w:type="dxa"/>
          </w:tblCellMar>
        </w:tblPrEx>
        <w:trPr>
          <w:trHeight w:val="509"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基本工资</w:t>
            </w:r>
          </w:p>
        </w:tc>
        <w:tc>
          <w:tcPr>
            <w:tcW w:w="221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67.38</w:t>
            </w:r>
          </w:p>
        </w:tc>
        <w:tc>
          <w:tcPr>
            <w:tcW w:w="171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67.38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rPr>
                <w:sz w:val="28"/>
                <w:szCs w:val="18"/>
              </w:rPr>
            </w:pPr>
          </w:p>
        </w:tc>
      </w:tr>
      <w:tr>
        <w:tblPrEx>
          <w:tblCellMar>
            <w:top w:w="0" w:type="dxa"/>
            <w:left w:w="108" w:type="dxa"/>
            <w:bottom w:w="0" w:type="dxa"/>
            <w:right w:w="108" w:type="dxa"/>
          </w:tblCellMar>
        </w:tblPrEx>
        <w:trPr>
          <w:trHeight w:val="49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津贴补贴</w:t>
            </w:r>
          </w:p>
        </w:tc>
        <w:tc>
          <w:tcPr>
            <w:tcW w:w="221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50.81</w:t>
            </w:r>
          </w:p>
        </w:tc>
        <w:tc>
          <w:tcPr>
            <w:tcW w:w="171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50.81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rPr>
                <w:sz w:val="28"/>
                <w:szCs w:val="18"/>
              </w:rPr>
            </w:pPr>
          </w:p>
        </w:tc>
      </w:tr>
      <w:tr>
        <w:tblPrEx>
          <w:tblCellMar>
            <w:top w:w="0" w:type="dxa"/>
            <w:left w:w="108" w:type="dxa"/>
            <w:bottom w:w="0" w:type="dxa"/>
            <w:right w:w="108" w:type="dxa"/>
          </w:tblCellMar>
        </w:tblPrEx>
        <w:trPr>
          <w:trHeight w:val="467"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奖金</w:t>
            </w:r>
          </w:p>
        </w:tc>
        <w:tc>
          <w:tcPr>
            <w:tcW w:w="221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30.24</w:t>
            </w:r>
          </w:p>
        </w:tc>
        <w:tc>
          <w:tcPr>
            <w:tcW w:w="171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30.24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rPr>
                <w:sz w:val="28"/>
                <w:szCs w:val="18"/>
              </w:rPr>
            </w:pPr>
          </w:p>
        </w:tc>
      </w:tr>
      <w:tr>
        <w:tblPrEx>
          <w:tblCellMar>
            <w:top w:w="0" w:type="dxa"/>
            <w:left w:w="108" w:type="dxa"/>
            <w:bottom w:w="0" w:type="dxa"/>
            <w:right w:w="108" w:type="dxa"/>
          </w:tblCellMar>
        </w:tblPrEx>
        <w:trPr>
          <w:trHeight w:val="481"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机关事业单位基本养老保险缴费</w:t>
            </w:r>
          </w:p>
        </w:tc>
        <w:tc>
          <w:tcPr>
            <w:tcW w:w="221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22.74</w:t>
            </w:r>
          </w:p>
        </w:tc>
        <w:tc>
          <w:tcPr>
            <w:tcW w:w="171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22.74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rPr>
                <w:sz w:val="28"/>
                <w:szCs w:val="18"/>
              </w:rPr>
            </w:pPr>
          </w:p>
        </w:tc>
      </w:tr>
      <w:tr>
        <w:tblPrEx>
          <w:tblCellMar>
            <w:top w:w="0" w:type="dxa"/>
            <w:left w:w="108" w:type="dxa"/>
            <w:bottom w:w="0" w:type="dxa"/>
            <w:right w:w="108" w:type="dxa"/>
          </w:tblCellMar>
        </w:tblPrEx>
        <w:trPr>
          <w:trHeight w:val="49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职业年金缴费</w:t>
            </w:r>
          </w:p>
        </w:tc>
        <w:tc>
          <w:tcPr>
            <w:tcW w:w="221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5.43</w:t>
            </w:r>
          </w:p>
        </w:tc>
        <w:tc>
          <w:tcPr>
            <w:tcW w:w="171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5.43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rPr>
                <w:sz w:val="28"/>
                <w:szCs w:val="18"/>
              </w:rPr>
            </w:pPr>
          </w:p>
        </w:tc>
      </w:tr>
      <w:tr>
        <w:tblPrEx>
          <w:tblCellMar>
            <w:top w:w="0" w:type="dxa"/>
            <w:left w:w="108" w:type="dxa"/>
            <w:bottom w:w="0" w:type="dxa"/>
            <w:right w:w="108" w:type="dxa"/>
          </w:tblCellMar>
        </w:tblPrEx>
        <w:trPr>
          <w:trHeight w:val="49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221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9.81</w:t>
            </w:r>
          </w:p>
        </w:tc>
        <w:tc>
          <w:tcPr>
            <w:tcW w:w="171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9.81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rPr>
                <w:sz w:val="28"/>
                <w:szCs w:val="18"/>
              </w:rPr>
            </w:pPr>
          </w:p>
        </w:tc>
      </w:tr>
      <w:tr>
        <w:tblPrEx>
          <w:tblCellMar>
            <w:top w:w="0" w:type="dxa"/>
            <w:left w:w="108" w:type="dxa"/>
            <w:bottom w:w="0" w:type="dxa"/>
            <w:right w:w="108" w:type="dxa"/>
          </w:tblCellMar>
        </w:tblPrEx>
        <w:trPr>
          <w:trHeight w:val="44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其他社会保障缴费</w:t>
            </w:r>
          </w:p>
        </w:tc>
        <w:tc>
          <w:tcPr>
            <w:tcW w:w="221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0.14</w:t>
            </w:r>
          </w:p>
        </w:tc>
        <w:tc>
          <w:tcPr>
            <w:tcW w:w="171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0.14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rPr>
                <w:sz w:val="28"/>
                <w:szCs w:val="18"/>
              </w:rPr>
            </w:pPr>
          </w:p>
        </w:tc>
      </w:tr>
      <w:tr>
        <w:tblPrEx>
          <w:tblCellMar>
            <w:top w:w="0" w:type="dxa"/>
            <w:left w:w="108" w:type="dxa"/>
            <w:bottom w:w="0" w:type="dxa"/>
            <w:right w:w="108" w:type="dxa"/>
          </w:tblCellMar>
        </w:tblPrEx>
        <w:trPr>
          <w:trHeight w:val="467"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住房公积金</w:t>
            </w:r>
          </w:p>
        </w:tc>
        <w:tc>
          <w:tcPr>
            <w:tcW w:w="221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17.06</w:t>
            </w:r>
          </w:p>
        </w:tc>
        <w:tc>
          <w:tcPr>
            <w:tcW w:w="171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17.06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rPr>
                <w:sz w:val="28"/>
                <w:szCs w:val="18"/>
              </w:rPr>
            </w:pPr>
          </w:p>
        </w:tc>
      </w:tr>
      <w:tr>
        <w:tblPrEx>
          <w:tblCellMar>
            <w:top w:w="0" w:type="dxa"/>
            <w:left w:w="108" w:type="dxa"/>
            <w:bottom w:w="0" w:type="dxa"/>
            <w:right w:w="108" w:type="dxa"/>
          </w:tblCellMar>
        </w:tblPrEx>
        <w:trPr>
          <w:trHeight w:val="467"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其他工资福利支出</w:t>
            </w:r>
          </w:p>
        </w:tc>
        <w:tc>
          <w:tcPr>
            <w:tcW w:w="221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1.86</w:t>
            </w:r>
          </w:p>
        </w:tc>
        <w:tc>
          <w:tcPr>
            <w:tcW w:w="171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1.86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rPr>
                <w:sz w:val="28"/>
                <w:szCs w:val="18"/>
              </w:rPr>
            </w:pPr>
          </w:p>
        </w:tc>
      </w:tr>
      <w:tr>
        <w:tblPrEx>
          <w:tblCellMar>
            <w:top w:w="0" w:type="dxa"/>
            <w:left w:w="108" w:type="dxa"/>
            <w:bottom w:w="0" w:type="dxa"/>
            <w:right w:w="108" w:type="dxa"/>
          </w:tblCellMar>
        </w:tblPrEx>
        <w:trPr>
          <w:trHeight w:val="467"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宋体" w:hAnsi="宋体" w:eastAsia="宋体" w:cs="宋体"/>
                <w:color w:val="000000"/>
                <w:sz w:val="20"/>
                <w:szCs w:val="20"/>
              </w:rPr>
              <w:t>二、商品和服务支出</w:t>
            </w:r>
          </w:p>
        </w:tc>
        <w:tc>
          <w:tcPr>
            <w:tcW w:w="221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28.50</w:t>
            </w:r>
          </w:p>
        </w:tc>
        <w:tc>
          <w:tcPr>
            <w:tcW w:w="171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sz w:val="28"/>
                <w:szCs w:val="18"/>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28.50</w:t>
            </w:r>
          </w:p>
        </w:tc>
      </w:tr>
      <w:tr>
        <w:tblPrEx>
          <w:tblCellMar>
            <w:top w:w="0" w:type="dxa"/>
            <w:left w:w="108" w:type="dxa"/>
            <w:bottom w:w="0" w:type="dxa"/>
            <w:right w:w="108" w:type="dxa"/>
          </w:tblCellMar>
        </w:tblPrEx>
        <w:trPr>
          <w:trHeight w:val="508"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办公费</w:t>
            </w:r>
          </w:p>
        </w:tc>
        <w:tc>
          <w:tcPr>
            <w:tcW w:w="221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4.12</w:t>
            </w:r>
          </w:p>
        </w:tc>
        <w:tc>
          <w:tcPr>
            <w:tcW w:w="171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rPr>
                <w:sz w:val="28"/>
                <w:szCs w:val="18"/>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4.12</w:t>
            </w:r>
          </w:p>
        </w:tc>
      </w:tr>
      <w:tr>
        <w:tblPrEx>
          <w:tblCellMar>
            <w:top w:w="0" w:type="dxa"/>
            <w:left w:w="108" w:type="dxa"/>
            <w:bottom w:w="0" w:type="dxa"/>
            <w:right w:w="108" w:type="dxa"/>
          </w:tblCellMar>
        </w:tblPrEx>
        <w:trPr>
          <w:trHeight w:val="508"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水费</w:t>
            </w:r>
          </w:p>
        </w:tc>
        <w:tc>
          <w:tcPr>
            <w:tcW w:w="221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0.50</w:t>
            </w:r>
          </w:p>
        </w:tc>
        <w:tc>
          <w:tcPr>
            <w:tcW w:w="171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rPr>
                <w:sz w:val="28"/>
                <w:szCs w:val="18"/>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0.50</w:t>
            </w:r>
          </w:p>
        </w:tc>
      </w:tr>
      <w:tr>
        <w:tblPrEx>
          <w:tblCellMar>
            <w:top w:w="0" w:type="dxa"/>
            <w:left w:w="108" w:type="dxa"/>
            <w:bottom w:w="0" w:type="dxa"/>
            <w:right w:w="108" w:type="dxa"/>
          </w:tblCellMar>
        </w:tblPrEx>
        <w:trPr>
          <w:trHeight w:val="481"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ind w:firstLine="200" w:firstLineChars="10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电费</w:t>
            </w:r>
          </w:p>
        </w:tc>
        <w:tc>
          <w:tcPr>
            <w:tcW w:w="221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2.00</w:t>
            </w:r>
          </w:p>
        </w:tc>
        <w:tc>
          <w:tcPr>
            <w:tcW w:w="171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rPr>
                <w:sz w:val="28"/>
                <w:szCs w:val="18"/>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2.00</w:t>
            </w:r>
          </w:p>
        </w:tc>
      </w:tr>
      <w:tr>
        <w:tblPrEx>
          <w:tblCellMar>
            <w:top w:w="0" w:type="dxa"/>
            <w:left w:w="108" w:type="dxa"/>
            <w:bottom w:w="0" w:type="dxa"/>
            <w:right w:w="108" w:type="dxa"/>
          </w:tblCellMar>
        </w:tblPrEx>
        <w:trPr>
          <w:trHeight w:val="481"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邮电费</w:t>
            </w:r>
          </w:p>
        </w:tc>
        <w:tc>
          <w:tcPr>
            <w:tcW w:w="221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0.80</w:t>
            </w:r>
          </w:p>
        </w:tc>
        <w:tc>
          <w:tcPr>
            <w:tcW w:w="171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rPr>
                <w:sz w:val="28"/>
                <w:szCs w:val="18"/>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0.80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差旅费</w:t>
            </w:r>
          </w:p>
        </w:tc>
        <w:tc>
          <w:tcPr>
            <w:tcW w:w="221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4.00</w:t>
            </w:r>
          </w:p>
        </w:tc>
        <w:tc>
          <w:tcPr>
            <w:tcW w:w="171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rPr>
                <w:sz w:val="28"/>
                <w:szCs w:val="18"/>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4.00</w:t>
            </w:r>
          </w:p>
        </w:tc>
      </w:tr>
      <w:tr>
        <w:tblPrEx>
          <w:tblCellMar>
            <w:top w:w="0" w:type="dxa"/>
            <w:left w:w="108" w:type="dxa"/>
            <w:bottom w:w="0" w:type="dxa"/>
            <w:right w:w="108" w:type="dxa"/>
          </w:tblCellMar>
        </w:tblPrEx>
        <w:trPr>
          <w:trHeight w:val="44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工会经费</w:t>
            </w:r>
          </w:p>
        </w:tc>
        <w:tc>
          <w:tcPr>
            <w:tcW w:w="221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3.00</w:t>
            </w:r>
          </w:p>
        </w:tc>
        <w:tc>
          <w:tcPr>
            <w:tcW w:w="171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rPr>
                <w:sz w:val="28"/>
                <w:szCs w:val="18"/>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3.00</w:t>
            </w:r>
          </w:p>
        </w:tc>
      </w:tr>
      <w:tr>
        <w:tblPrEx>
          <w:tblCellMar>
            <w:top w:w="0" w:type="dxa"/>
            <w:left w:w="108" w:type="dxa"/>
            <w:bottom w:w="0" w:type="dxa"/>
            <w:right w:w="108" w:type="dxa"/>
          </w:tblCellMar>
        </w:tblPrEx>
        <w:trPr>
          <w:trHeight w:val="439"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其他交通费用</w:t>
            </w:r>
          </w:p>
        </w:tc>
        <w:tc>
          <w:tcPr>
            <w:tcW w:w="221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11.10</w:t>
            </w:r>
          </w:p>
        </w:tc>
        <w:tc>
          <w:tcPr>
            <w:tcW w:w="171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rPr>
                <w:sz w:val="28"/>
                <w:szCs w:val="18"/>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11.10</w:t>
            </w:r>
          </w:p>
        </w:tc>
      </w:tr>
      <w:tr>
        <w:tblPrEx>
          <w:tblCellMar>
            <w:top w:w="0" w:type="dxa"/>
            <w:left w:w="108" w:type="dxa"/>
            <w:bottom w:w="0" w:type="dxa"/>
            <w:right w:w="108" w:type="dxa"/>
          </w:tblCellMar>
        </w:tblPrEx>
        <w:trPr>
          <w:trHeight w:val="509"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其他商品和服务支出</w:t>
            </w:r>
          </w:p>
        </w:tc>
        <w:tc>
          <w:tcPr>
            <w:tcW w:w="221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2.98</w:t>
            </w:r>
          </w:p>
        </w:tc>
        <w:tc>
          <w:tcPr>
            <w:tcW w:w="171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sz w:val="28"/>
                <w:szCs w:val="18"/>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2.98</w:t>
            </w:r>
          </w:p>
        </w:tc>
      </w:tr>
      <w:tr>
        <w:tblPrEx>
          <w:tblCellMar>
            <w:top w:w="0" w:type="dxa"/>
            <w:left w:w="108" w:type="dxa"/>
            <w:bottom w:w="0" w:type="dxa"/>
            <w:right w:w="108" w:type="dxa"/>
          </w:tblCellMar>
        </w:tblPrEx>
        <w:trPr>
          <w:trHeight w:val="522"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三、资本性支出</w:t>
            </w:r>
          </w:p>
        </w:tc>
        <w:tc>
          <w:tcPr>
            <w:tcW w:w="221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3.00</w:t>
            </w:r>
          </w:p>
        </w:tc>
        <w:tc>
          <w:tcPr>
            <w:tcW w:w="171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sz w:val="28"/>
                <w:szCs w:val="18"/>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3.00</w:t>
            </w:r>
          </w:p>
        </w:tc>
      </w:tr>
      <w:tr>
        <w:tblPrEx>
          <w:tblCellMar>
            <w:top w:w="0" w:type="dxa"/>
            <w:left w:w="108" w:type="dxa"/>
            <w:bottom w:w="0" w:type="dxa"/>
            <w:right w:w="108" w:type="dxa"/>
          </w:tblCellMar>
        </w:tblPrEx>
        <w:trPr>
          <w:trHeight w:val="532"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　办公设备购置</w:t>
            </w:r>
          </w:p>
        </w:tc>
        <w:tc>
          <w:tcPr>
            <w:tcW w:w="221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3.00</w:t>
            </w:r>
          </w:p>
        </w:tc>
        <w:tc>
          <w:tcPr>
            <w:tcW w:w="171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sz w:val="28"/>
                <w:szCs w:val="18"/>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3.00</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17</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17</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exact"/>
          <w:jc w:val="center"/>
        </w:trPr>
        <w:tc>
          <w:tcPr>
            <w:tcW w:w="759" w:type="dxa"/>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专项业务支出</w:t>
            </w:r>
          </w:p>
        </w:tc>
        <w:tc>
          <w:tcPr>
            <w:tcW w:w="1063" w:type="dxa"/>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2024年树满街道经费</w:t>
            </w:r>
          </w:p>
        </w:tc>
        <w:tc>
          <w:tcPr>
            <w:tcW w:w="1107" w:type="dxa"/>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2024年树满街道经费</w:t>
            </w:r>
          </w:p>
        </w:tc>
        <w:tc>
          <w:tcPr>
            <w:tcW w:w="864" w:type="dxa"/>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通榆县树满街道办事处</w:t>
            </w:r>
          </w:p>
        </w:tc>
        <w:tc>
          <w:tcPr>
            <w:tcW w:w="498"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95.66</w:t>
            </w:r>
          </w:p>
        </w:tc>
        <w:tc>
          <w:tcPr>
            <w:tcW w:w="553"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95.66</w:t>
            </w:r>
          </w:p>
        </w:tc>
        <w:tc>
          <w:tcPr>
            <w:tcW w:w="554"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521"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564"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532"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598"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443"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425"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553"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554"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521"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564"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532"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598"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443"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425"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553"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554"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521"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564"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532"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598"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443"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425"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553"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554"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521"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564"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532"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598"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443"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425"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autoSpaceDN w:val="0"/>
              <w:jc w:val="center"/>
              <w:textAlignment w:val="center"/>
              <w:rPr>
                <w:rFonts w:hint="default" w:ascii="Calibri" w:hAnsi="Calibri" w:eastAsia="楷体"/>
                <w:kern w:val="0"/>
                <w:szCs w:val="32"/>
                <w:lang w:val="en-US"/>
              </w:rPr>
            </w:pPr>
            <w:r>
              <w:rPr>
                <w:rFonts w:hint="eastAsia" w:ascii="宋体" w:hAnsi="宋体" w:eastAsia="宋体" w:cs="宋体"/>
                <w:color w:val="000000"/>
                <w:sz w:val="20"/>
                <w:szCs w:val="22"/>
                <w:lang w:val="en-US" w:eastAsia="zh-CN"/>
              </w:rPr>
              <w:t>95.66</w:t>
            </w:r>
          </w:p>
        </w:tc>
        <w:tc>
          <w:tcPr>
            <w:tcW w:w="553" w:type="dxa"/>
            <w:noWrap w:val="0"/>
            <w:vAlign w:val="center"/>
          </w:tcPr>
          <w:p>
            <w:pPr>
              <w:autoSpaceDN w:val="0"/>
              <w:jc w:val="center"/>
              <w:textAlignment w:val="center"/>
              <w:rPr>
                <w:rFonts w:ascii="Calibri" w:hAnsi="Calibri" w:eastAsia="楷体"/>
                <w:kern w:val="0"/>
                <w:szCs w:val="32"/>
              </w:rPr>
            </w:pPr>
            <w:r>
              <w:rPr>
                <w:rFonts w:hint="eastAsia" w:ascii="宋体" w:hAnsi="宋体" w:eastAsia="宋体" w:cs="宋体"/>
                <w:color w:val="000000"/>
                <w:sz w:val="20"/>
                <w:szCs w:val="22"/>
                <w:lang w:val="en-US" w:eastAsia="zh-CN"/>
              </w:rPr>
              <w:t>95.66</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2024年树满街道经费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szCs w:val="22"/>
                <w:lang w:val="en-US" w:eastAsia="zh-CN"/>
              </w:rPr>
              <w:t>95.66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szCs w:val="22"/>
                <w:lang w:val="en-US" w:eastAsia="zh-CN"/>
              </w:rPr>
              <w:t>95.66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为保障中共通榆县树满街道办事处2024年度工作正常运转，保障单位各相关科室正常运行，预算能够顺利执行，申请该项目。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rPr>
              <w:t>社区</w:t>
            </w:r>
            <w:r>
              <w:rPr>
                <w:rFonts w:hint="eastAsia" w:ascii="宋体" w:hAnsi="宋体" w:eastAsia="宋体" w:cs="宋体"/>
                <w:color w:val="000000"/>
                <w:sz w:val="20"/>
                <w:lang w:val="en-US" w:eastAsia="zh-CN"/>
              </w:rPr>
              <w:t>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资金发放准确率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社区经费成本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7.5</w:t>
            </w:r>
            <w:r>
              <w:rPr>
                <w:rFonts w:hint="eastAsia" w:ascii="宋体" w:hAnsi="宋体" w:eastAsia="宋体" w:cs="宋体"/>
                <w:color w:val="000000"/>
                <w:sz w:val="20"/>
              </w:rPr>
              <w:t>万元/年/社</w:t>
            </w:r>
            <w:r>
              <w:rPr>
                <w:rFonts w:hint="eastAsia" w:ascii="宋体" w:hAnsi="宋体" w:eastAsia="宋体" w:cs="宋体"/>
                <w:color w:val="000000"/>
                <w:sz w:val="20"/>
                <w:lang w:val="en-US" w:eastAsia="zh-CN"/>
              </w:rPr>
              <w:t>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资金发放及时性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带动工作积极性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群众满意度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90%</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default" w:eastAsia="楷体"/>
          <w:kern w:val="0"/>
          <w:szCs w:val="32"/>
          <w:lang w:val="en-US" w:eastAsia="zh-CN"/>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keepNext w:val="0"/>
        <w:keepLines w:val="0"/>
        <w:widowControl/>
        <w:suppressLineNumbers w:val="0"/>
        <w:jc w:val="left"/>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332.64</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332.64</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年预算增加（减少）</w:t>
      </w:r>
      <w:r>
        <w:rPr>
          <w:rFonts w:hint="eastAsia" w:ascii="仿宋_GB2312" w:hAnsi="仿宋_GB2312" w:cs="仿宋_GB2312"/>
          <w:szCs w:val="32"/>
          <w:u w:val="single"/>
          <w:lang w:val="en-US" w:eastAsia="zh-CN"/>
        </w:rPr>
        <w:t>72.9</w:t>
      </w:r>
      <w:r>
        <w:rPr>
          <w:rFonts w:hint="eastAsia" w:ascii="仿宋_GB2312" w:hAnsi="仿宋_GB2312" w:eastAsia="仿宋_GB2312" w:cs="仿宋_GB2312"/>
          <w:szCs w:val="32"/>
        </w:rPr>
        <w:t>万元，主要原因是</w:t>
      </w:r>
      <w:r>
        <w:rPr>
          <w:rFonts w:ascii="仿宋" w:hAnsi="仿宋" w:eastAsia="仿宋" w:cs="仿宋"/>
          <w:color w:val="000000"/>
          <w:kern w:val="0"/>
          <w:sz w:val="31"/>
          <w:szCs w:val="31"/>
          <w:u w:val="single"/>
          <w:lang w:val="en-US" w:eastAsia="zh-CN" w:bidi="ar"/>
        </w:rPr>
        <w:t>职工</w:t>
      </w:r>
      <w:r>
        <w:rPr>
          <w:rFonts w:hint="eastAsia" w:ascii="仿宋" w:hAnsi="仿宋" w:eastAsia="仿宋" w:cs="仿宋"/>
          <w:color w:val="000000"/>
          <w:kern w:val="0"/>
          <w:sz w:val="31"/>
          <w:szCs w:val="31"/>
          <w:u w:val="single"/>
          <w:lang w:val="en-US" w:eastAsia="zh-CN" w:bidi="ar"/>
        </w:rPr>
        <w:t>工资增加，五险一金财政匹配值随之增加</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eastAsia="楷体"/>
          <w:szCs w:val="30"/>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332.64</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332.64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277.46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83.41</w:t>
      </w:r>
      <w:r>
        <w:rPr>
          <w:rFonts w:hint="eastAsia" w:ascii="仿宋_GB2312" w:hAnsi="仿宋_GB2312" w:eastAsia="仿宋_GB2312" w:cs="仿宋_GB2312"/>
          <w:szCs w:val="32"/>
        </w:rPr>
        <w:t>%；政府性基金预算拨款收入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%；附属单位上缴收入_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40" w:firstLineChars="200"/>
        <w:rPr>
          <w:rFonts w:hint="eastAsia"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332.64</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236.98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71.24</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95.66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28.76</w:t>
      </w:r>
      <w:r>
        <w:rPr>
          <w:rFonts w:hint="eastAsia" w:ascii="仿宋_GB2312" w:hAnsi="仿宋_GB2312" w:eastAsia="仿宋_GB2312" w:cs="仿宋_GB2312"/>
          <w:szCs w:val="32"/>
        </w:rPr>
        <w:t>%；事业单位经营支出</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%；上缴上级支出</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%；对附属单位补助支出</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332.64</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332.64</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u w:val="single"/>
          <w:lang w:val="en-US" w:eastAsia="zh-CN"/>
        </w:rPr>
        <w:t>277.46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28.18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9.95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17.06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332.64</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236.98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71.24</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95.66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28.76</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205.48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86.71</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31.50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13.29</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u w:val="single"/>
          <w:lang w:val="en-US" w:eastAsia="zh-CN"/>
        </w:rPr>
        <w:t>277.46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83.41</w:t>
      </w:r>
      <w:r>
        <w:rPr>
          <w:rFonts w:hint="eastAsia" w:ascii="仿宋_GB2312" w:hAnsi="仿宋_GB2312" w:eastAsia="仿宋_GB2312" w:cs="仿宋_GB2312"/>
          <w:szCs w:val="32"/>
        </w:rPr>
        <w:t>%，主要用于</w:t>
      </w:r>
      <w:r>
        <w:rPr>
          <w:rFonts w:ascii="仿宋" w:hAnsi="仿宋" w:eastAsia="仿宋" w:cs="仿宋"/>
          <w:b w:val="0"/>
          <w:bCs w:val="0"/>
          <w:color w:val="000000"/>
          <w:sz w:val="31"/>
          <w:szCs w:val="31"/>
          <w:u w:val="single"/>
        </w:rPr>
        <w:t>工资福利支出和商品服务支出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w:t>
      </w:r>
      <w:r>
        <w:rPr>
          <w:rFonts w:eastAsia="楷体"/>
          <w:szCs w:val="32"/>
          <w:u w:val="single"/>
        </w:rPr>
        <w:t>本部门无一般公共预算拨款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w:t>
      </w:r>
      <w:r>
        <w:rPr>
          <w:rFonts w:eastAsia="楷体"/>
          <w:szCs w:val="32"/>
          <w:u w:val="single"/>
        </w:rPr>
        <w:t>本部门无一般公共预算拨款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w:t>
      </w:r>
      <w:r>
        <w:rPr>
          <w:rFonts w:eastAsia="楷体"/>
          <w:szCs w:val="32"/>
          <w:u w:val="single"/>
        </w:rPr>
        <w:t>本部门无一般公共预算拨款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w:t>
      </w:r>
      <w:r>
        <w:rPr>
          <w:rFonts w:eastAsia="楷体"/>
          <w:szCs w:val="32"/>
          <w:u w:val="single"/>
        </w:rPr>
        <w:t>本部门无一般公共预算拨款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28.18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8.47</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本单位社会保障支出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w:t>
      </w:r>
      <w:r>
        <w:rPr>
          <w:rFonts w:eastAsia="楷体"/>
          <w:szCs w:val="32"/>
          <w:u w:val="single"/>
        </w:rPr>
        <w:t>本部门无一般公共预算拨款</w:t>
      </w:r>
      <w:r>
        <w:rPr>
          <w:rFonts w:hint="eastAsia" w:ascii="仿宋_GB2312" w:hAnsi="仿宋_GB2312" w:eastAsia="仿宋_GB2312" w:cs="仿宋_GB2312"/>
          <w:szCs w:val="32"/>
        </w:rPr>
        <w:t>。</w:t>
      </w:r>
    </w:p>
    <w:p>
      <w:pPr>
        <w:keepNext w:val="0"/>
        <w:keepLines w:val="0"/>
        <w:widowControl/>
        <w:suppressLineNumbers w:val="0"/>
        <w:ind w:firstLine="310" w:firstLineChars="100"/>
        <w:jc w:val="left"/>
        <w:rPr>
          <w:u w:val="single"/>
        </w:rPr>
      </w:pPr>
      <w:r>
        <w:rPr>
          <w:rFonts w:ascii="仿宋" w:hAnsi="仿宋" w:eastAsia="仿宋" w:cs="仿宋"/>
          <w:color w:val="000000"/>
          <w:kern w:val="0"/>
          <w:sz w:val="31"/>
          <w:szCs w:val="31"/>
          <w:lang w:val="en-US" w:eastAsia="zh-CN" w:bidi="ar"/>
        </w:rPr>
        <w:t>卫生健康（类）支出</w:t>
      </w:r>
      <w:r>
        <w:rPr>
          <w:rFonts w:hint="eastAsia" w:ascii="仿宋_GB2312" w:hAnsi="仿宋_GB2312" w:cs="仿宋_GB2312"/>
          <w:szCs w:val="32"/>
          <w:u w:val="single"/>
          <w:lang w:val="en-US" w:eastAsia="zh-CN"/>
        </w:rPr>
        <w:t>9.95</w:t>
      </w:r>
      <w:r>
        <w:rPr>
          <w:rFonts w:ascii="仿宋" w:hAnsi="仿宋" w:eastAsia="仿宋" w:cs="仿宋"/>
          <w:color w:val="000000"/>
          <w:kern w:val="0"/>
          <w:sz w:val="31"/>
          <w:szCs w:val="31"/>
          <w:lang w:val="en-US" w:eastAsia="zh-CN" w:bidi="ar"/>
        </w:rPr>
        <w:t>万元，占</w:t>
      </w:r>
      <w:r>
        <w:rPr>
          <w:rFonts w:hint="eastAsia" w:ascii="仿宋" w:hAnsi="仿宋" w:eastAsia="仿宋" w:cs="仿宋"/>
          <w:color w:val="000000"/>
          <w:kern w:val="0"/>
          <w:sz w:val="31"/>
          <w:szCs w:val="31"/>
          <w:u w:val="single"/>
          <w:lang w:val="en-US" w:eastAsia="zh-CN" w:bidi="ar"/>
        </w:rPr>
        <w:t>2.99</w:t>
      </w:r>
      <w:r>
        <w:rPr>
          <w:rFonts w:ascii="仿宋" w:hAnsi="仿宋" w:eastAsia="仿宋" w:cs="仿宋"/>
          <w:color w:val="000000"/>
          <w:kern w:val="0"/>
          <w:sz w:val="31"/>
          <w:szCs w:val="31"/>
          <w:lang w:val="en-US" w:eastAsia="zh-CN" w:bidi="ar"/>
        </w:rPr>
        <w:t>%，主要用于</w:t>
      </w:r>
      <w:r>
        <w:rPr>
          <w:rFonts w:ascii="仿宋" w:hAnsi="仿宋" w:eastAsia="仿宋" w:cs="仿宋"/>
          <w:color w:val="000000"/>
          <w:kern w:val="0"/>
          <w:sz w:val="31"/>
          <w:szCs w:val="31"/>
          <w:u w:val="single"/>
          <w:lang w:val="en-US" w:eastAsia="zh-CN" w:bidi="ar"/>
        </w:rPr>
        <w:t xml:space="preserve">行政事 </w:t>
      </w:r>
    </w:p>
    <w:p>
      <w:pPr>
        <w:keepNext w:val="0"/>
        <w:keepLines w:val="0"/>
        <w:widowControl/>
        <w:suppressLineNumbers w:val="0"/>
        <w:jc w:val="left"/>
        <w:rPr>
          <w:rFonts w:hint="eastAsia" w:ascii="仿宋_GB2312" w:hAnsi="仿宋_GB2312" w:eastAsia="仿宋_GB2312" w:cs="仿宋_GB2312"/>
          <w:szCs w:val="32"/>
        </w:rPr>
      </w:pPr>
      <w:r>
        <w:rPr>
          <w:rFonts w:hint="eastAsia" w:ascii="仿宋" w:hAnsi="仿宋" w:eastAsia="仿宋" w:cs="仿宋"/>
          <w:color w:val="000000"/>
          <w:kern w:val="0"/>
          <w:sz w:val="31"/>
          <w:szCs w:val="31"/>
          <w:u w:val="single"/>
          <w:lang w:val="en-US" w:eastAsia="zh-CN" w:bidi="ar"/>
        </w:rPr>
        <w:t>业单位医疗--事业单位医疗</w:t>
      </w:r>
      <w:r>
        <w:rPr>
          <w:rFonts w:hint="eastAsia" w:ascii="仿宋" w:hAnsi="仿宋" w:eastAsia="仿宋" w:cs="仿宋"/>
          <w:color w:val="000000"/>
          <w:kern w:val="0"/>
          <w:sz w:val="31"/>
          <w:szCs w:val="31"/>
          <w:lang w:val="en-US" w:eastAsia="zh-CN" w:bidi="ar"/>
        </w:rPr>
        <w:t>。</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17.06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5.13</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本单位住房公积金支出</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277.46</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205.48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w:t>
      </w:r>
      <w:r>
        <w:rPr>
          <w:rFonts w:hint="eastAsia" w:ascii="仿宋_GB2312" w:hAnsi="仿宋_GB2312" w:cs="仿宋_GB2312"/>
          <w:kern w:val="0"/>
          <w:szCs w:val="32"/>
          <w:lang w:val="en-US" w:eastAsia="zh-CN"/>
        </w:rPr>
        <w:t>工资福利</w:t>
      </w:r>
      <w:r>
        <w:rPr>
          <w:rFonts w:hint="eastAsia" w:ascii="仿宋_GB2312" w:hAnsi="仿宋_GB2312" w:eastAsia="仿宋_GB2312" w:cs="仿宋_GB2312"/>
          <w:kern w:val="0"/>
          <w:szCs w:val="32"/>
        </w:rPr>
        <w:t>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u w:val="single"/>
          <w:lang w:val="en-US" w:eastAsia="zh-CN"/>
        </w:rPr>
        <w:t>31.50</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w:t>
      </w:r>
      <w:r>
        <w:rPr>
          <w:rFonts w:hint="eastAsia" w:ascii="仿宋_GB2312" w:hAnsi="仿宋_GB2312" w:cs="仿宋_GB2312"/>
          <w:kern w:val="0"/>
          <w:szCs w:val="32"/>
          <w:lang w:val="en-US" w:eastAsia="zh-CN"/>
        </w:rPr>
        <w:t>其他交通费用、</w:t>
      </w:r>
      <w:r>
        <w:rPr>
          <w:rFonts w:hint="eastAsia" w:ascii="仿宋_GB2312" w:hAnsi="仿宋_GB2312" w:eastAsia="仿宋_GB2312" w:cs="仿宋_GB2312"/>
          <w:kern w:val="0"/>
          <w:szCs w:val="32"/>
        </w:rPr>
        <w:t>其他商品和服务支出</w:t>
      </w:r>
      <w:r>
        <w:rPr>
          <w:rFonts w:hint="eastAsia" w:ascii="仿宋_GB2312" w:hAnsi="仿宋_GB2312" w:cs="仿宋_GB2312"/>
          <w:kern w:val="0"/>
          <w:szCs w:val="32"/>
          <w:lang w:eastAsia="zh-CN"/>
        </w:rPr>
        <w:t>、</w:t>
      </w:r>
      <w:r>
        <w:rPr>
          <w:rFonts w:hint="eastAsia" w:ascii="仿宋_GB2312" w:hAnsi="仿宋_GB2312" w:cs="仿宋_GB2312"/>
          <w:kern w:val="0"/>
          <w:szCs w:val="32"/>
          <w:lang w:val="en-US" w:eastAsia="zh-CN"/>
        </w:rPr>
        <w:t>办公设备购置</w:t>
      </w:r>
      <w:r>
        <w:rPr>
          <w:rFonts w:hint="eastAsia" w:ascii="仿宋_GB2312" w:hAnsi="仿宋_GB2312" w:eastAsia="仿宋_GB2312" w:cs="仿宋_GB2312"/>
          <w:kern w:val="0"/>
          <w:szCs w:val="32"/>
        </w:rPr>
        <w:t>。</w:t>
      </w: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w:t>
      </w:r>
      <w:r>
        <w:rPr>
          <w:rFonts w:hint="eastAsia" w:ascii="仿宋_GB2312" w:hAnsi="仿宋_GB2312" w:cs="仿宋_GB2312"/>
          <w:szCs w:val="32"/>
          <w:lang w:val="en-US" w:eastAsia="zh-CN"/>
        </w:rPr>
        <w:t>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hint="eastAsia" w:ascii="仿宋_GB2312" w:hAnsi="仿宋_GB2312" w:eastAsia="仿宋_GB2312" w:cs="仿宋_GB2312"/>
          <w:szCs w:val="32"/>
          <w:u w:val="single"/>
        </w:rPr>
        <w:t>本部门无一般公共预算拨款</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hint="eastAsia" w:ascii="仿宋_GB2312" w:hAnsi="仿宋_GB2312" w:eastAsia="仿宋_GB2312" w:cs="仿宋_GB2312"/>
          <w:szCs w:val="32"/>
          <w:u w:val="single"/>
        </w:rPr>
        <w:t>本部门无一般公共预算拨款</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万元。公务用车运行维护费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hint="eastAsia" w:ascii="仿宋_GB2312" w:hAnsi="仿宋_GB2312" w:eastAsia="仿宋_GB2312" w:cs="仿宋_GB2312"/>
          <w:szCs w:val="32"/>
          <w:u w:val="single"/>
        </w:rPr>
        <w:t>本部门无一般公共预算拨款</w:t>
      </w:r>
      <w:r>
        <w:rPr>
          <w:rFonts w:hint="eastAsia" w:ascii="仿宋_GB2312" w:hAnsi="仿宋_GB2312" w:eastAsia="仿宋_GB2312" w:cs="仿宋_GB2312"/>
          <w:szCs w:val="32"/>
        </w:rPr>
        <w:t>；公务用车购置费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hint="eastAsia" w:ascii="仿宋_GB2312" w:hAnsi="仿宋_GB2312" w:eastAsia="仿宋_GB2312" w:cs="仿宋_GB2312"/>
          <w:szCs w:val="32"/>
          <w:u w:val="single"/>
        </w:rPr>
        <w:t>本部门无一般公共预算拨款</w:t>
      </w:r>
      <w:r>
        <w:rPr>
          <w:rFonts w:hint="eastAsia" w:ascii="仿宋_GB2312" w:hAnsi="仿宋_GB2312" w:eastAsia="仿宋_GB2312" w:cs="仿宋_GB2312"/>
          <w:szCs w:val="32"/>
        </w:rPr>
        <w:t>。</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szCs w:val="32"/>
        </w:rPr>
      </w:pPr>
      <w:r>
        <w:rPr>
          <w:rFonts w:hint="eastAsia" w:ascii="仿宋_GB2312" w:hAnsi="仿宋_GB2312" w:eastAsia="仿宋_GB2312" w:cs="仿宋_GB2312"/>
          <w:szCs w:val="32"/>
          <w:highlight w:val="none"/>
        </w:rPr>
        <w:t>本部门无政府性基金预算拨款</w:t>
      </w:r>
      <w:r>
        <w:rPr>
          <w:rFonts w:hint="eastAsia" w:ascii="仿宋_GB2312" w:hAnsi="仿宋_GB2312" w:cs="仿宋_GB2312"/>
          <w:szCs w:val="32"/>
          <w:highlight w:val="none"/>
          <w:lang w:eastAsia="zh-CN"/>
        </w:rPr>
        <w:t>。</w:t>
      </w: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eastAsia="楷体"/>
          <w:szCs w:val="32"/>
        </w:rPr>
      </w:pPr>
      <w:r>
        <w:rPr>
          <w:rFonts w:hint="eastAsia" w:ascii="仿宋_GB2312" w:hAnsi="仿宋_GB2312" w:eastAsia="仿宋_GB2312" w:cs="仿宋_GB2312"/>
          <w:szCs w:val="32"/>
        </w:rPr>
        <w:t>本部门无国有资本经营预算拨款</w:t>
      </w:r>
      <w:r>
        <w:rPr>
          <w:rFonts w:hint="eastAsia" w:ascii="仿宋_GB2312" w:hAnsi="仿宋_GB2312" w:cs="仿宋_GB2312"/>
          <w:szCs w:val="32"/>
          <w:lang w:eastAsia="zh-CN"/>
        </w:rPr>
        <w:t>。</w:t>
      </w: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年部门本级等</w:t>
      </w:r>
      <w:r>
        <w:rPr>
          <w:rFonts w:hint="eastAsia" w:ascii="仿宋_GB2312" w:hAnsi="仿宋_GB2312" w:cs="仿宋_GB2312"/>
          <w:szCs w:val="32"/>
          <w:lang w:val="en-US" w:eastAsia="zh-CN"/>
        </w:rPr>
        <w:t>1</w:t>
      </w:r>
      <w:r>
        <w:rPr>
          <w:rFonts w:hint="eastAsia" w:ascii="仿宋_GB2312" w:hAnsi="仿宋_GB2312" w:eastAsia="仿宋_GB2312" w:cs="仿宋_GB2312"/>
          <w:szCs w:val="32"/>
        </w:rPr>
        <w:t>家行政单位以及</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家参公管理事业单位的</w:t>
      </w:r>
      <w:r>
        <w:rPr>
          <w:rFonts w:hint="eastAsia" w:ascii="仿宋_GB2312" w:hAnsi="仿宋_GB2312" w:eastAsia="仿宋_GB2312" w:cs="仿宋_GB2312"/>
          <w:color w:val="auto"/>
          <w:szCs w:val="32"/>
        </w:rPr>
        <w:t>机关运行经费</w:t>
      </w:r>
      <w:r>
        <w:rPr>
          <w:rFonts w:hint="eastAsia" w:ascii="仿宋_GB2312" w:hAnsi="仿宋_GB2312" w:eastAsia="仿宋_GB2312" w:cs="仿宋_GB2312"/>
          <w:szCs w:val="32"/>
        </w:rPr>
        <w:t>财政拨款预算</w:t>
      </w:r>
      <w:r>
        <w:rPr>
          <w:rFonts w:hint="eastAsia" w:ascii="仿宋_GB2312" w:hAnsi="仿宋_GB2312" w:cs="仿宋_GB2312"/>
          <w:szCs w:val="32"/>
          <w:u w:val="single"/>
          <w:lang w:val="en-US" w:eastAsia="zh-CN"/>
        </w:rPr>
        <w:t>332.64</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w:t>
      </w:r>
      <w:r>
        <w:rPr>
          <w:rFonts w:hint="eastAsia" w:ascii="仿宋_GB2312" w:hAnsi="仿宋_GB2312" w:cs="仿宋_GB2312"/>
          <w:szCs w:val="32"/>
          <w:lang w:val="en-US" w:eastAsia="zh-CN"/>
        </w:rPr>
        <w:t>增加</w:t>
      </w:r>
      <w:r>
        <w:rPr>
          <w:rFonts w:hint="eastAsia" w:ascii="仿宋_GB2312" w:hAnsi="仿宋_GB2312" w:cs="仿宋_GB2312"/>
          <w:szCs w:val="32"/>
          <w:u w:val="single"/>
          <w:lang w:val="en-US" w:eastAsia="zh-CN"/>
        </w:rPr>
        <w:t>72.90</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val="en-US" w:eastAsia="zh-CN"/>
        </w:rPr>
        <w:t xml:space="preserve">行政单位需要运行的各项资金有所增加 </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highlight w:val="none"/>
        </w:rPr>
        <w:t>截至</w:t>
      </w:r>
      <w:r>
        <w:rPr>
          <w:rFonts w:hint="eastAsia" w:ascii="仿宋_GB2312" w:hAnsi="仿宋_GB2312" w:cs="仿宋_GB2312"/>
          <w:szCs w:val="32"/>
          <w:highlight w:val="none"/>
          <w:lang w:eastAsia="zh-CN"/>
        </w:rPr>
        <w:t>2023</w:t>
      </w:r>
      <w:r>
        <w:rPr>
          <w:rFonts w:hint="eastAsia" w:ascii="仿宋_GB2312" w:hAnsi="仿宋_GB2312" w:eastAsia="仿宋_GB2312" w:cs="仿宋_GB2312"/>
          <w:szCs w:val="32"/>
          <w:highlight w:val="none"/>
        </w:rPr>
        <w:t>年8月底，部门本级和所属各预算单位共有车辆</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辆，土地</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平方米，房屋</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平方米，单价50万元及以上的通用设备</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台/套，单价100万元及以上的专用</w:t>
      </w:r>
      <w:r>
        <w:rPr>
          <w:rFonts w:hint="eastAsia" w:ascii="仿宋_GB2312" w:hAnsi="仿宋_GB2312" w:eastAsia="仿宋_GB2312" w:cs="仿宋_GB2312"/>
          <w:szCs w:val="32"/>
        </w:rPr>
        <w:t>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u w:val="single"/>
          <w:lang w:val="en-US" w:eastAsia="zh-CN"/>
        </w:rPr>
        <w:t>95.66</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u w:val="single"/>
          <w:lang w:val="en-US" w:eastAsia="zh-CN"/>
        </w:rPr>
        <w:t>1</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u w:val="single"/>
          <w:lang w:val="en-US" w:eastAsia="zh-CN"/>
        </w:rPr>
        <w:t>1</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u w:val="single"/>
          <w:lang w:val="en-US" w:eastAsia="zh-CN"/>
        </w:rPr>
        <w:t>95.66</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u w:val="single"/>
          <w:lang w:val="en-US" w:eastAsia="zh-CN"/>
        </w:rPr>
        <w:t>1</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u w:val="single"/>
          <w:lang w:val="en-US" w:eastAsia="zh-CN"/>
        </w:rPr>
        <w:t>95.66</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spacing w:line="540" w:lineRule="exact"/>
        <w:ind w:firstLine="640" w:firstLineChars="200"/>
        <w:rPr>
          <w:szCs w:val="32"/>
        </w:rPr>
      </w:pP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7F0884"/>
    <w:rsid w:val="019B69D8"/>
    <w:rsid w:val="01C83C06"/>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2305D"/>
    <w:rsid w:val="0DEB170B"/>
    <w:rsid w:val="0E4C7841"/>
    <w:rsid w:val="0F3E0406"/>
    <w:rsid w:val="0F8B592F"/>
    <w:rsid w:val="0FD62F63"/>
    <w:rsid w:val="107728C7"/>
    <w:rsid w:val="10AE7F82"/>
    <w:rsid w:val="10C93B35"/>
    <w:rsid w:val="11177619"/>
    <w:rsid w:val="112605C8"/>
    <w:rsid w:val="11C937E7"/>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1A5947"/>
    <w:rsid w:val="265718D7"/>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8B44854"/>
    <w:rsid w:val="39041A07"/>
    <w:rsid w:val="39043B77"/>
    <w:rsid w:val="393F0DCD"/>
    <w:rsid w:val="39667F78"/>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3F917F89"/>
    <w:rsid w:val="405745EF"/>
    <w:rsid w:val="40B80EFF"/>
    <w:rsid w:val="41A35364"/>
    <w:rsid w:val="41C31686"/>
    <w:rsid w:val="42982B4E"/>
    <w:rsid w:val="436B1E42"/>
    <w:rsid w:val="43993170"/>
    <w:rsid w:val="44054362"/>
    <w:rsid w:val="442A2D93"/>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2C475C"/>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2C7AB9"/>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31</Pages>
  <Words>8225</Words>
  <Characters>9353</Characters>
  <Lines>71</Lines>
  <Paragraphs>20</Paragraphs>
  <TotalTime>39</TotalTime>
  <ScaleCrop>false</ScaleCrop>
  <LinksUpToDate>false</LinksUpToDate>
  <CharactersWithSpaces>9998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2024-01-31T07:51:09Z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77A492D069B2463AB753E90E0B7295B2_13</vt:lpwstr>
  </property>
</Properties>
</file>