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default" w:eastAsia="方正小标宋简体"/>
          <w:sz w:val="44"/>
          <w:szCs w:val="44"/>
          <w:lang w:eastAsia="zh-CN"/>
        </w:rPr>
        <w:t>通榆县</w:t>
      </w:r>
      <w:r>
        <w:rPr>
          <w:rFonts w:hint="eastAsia" w:eastAsia="方正小标宋简体"/>
          <w:sz w:val="44"/>
          <w:szCs w:val="44"/>
          <w:lang w:val="en-US" w:eastAsia="zh-CN"/>
        </w:rPr>
        <w:t>消费投诉受理中心</w:t>
      </w:r>
      <w:r>
        <w:rPr>
          <w:rFonts w:hint="eastAsia" w:eastAsia="方正小标宋简体"/>
          <w:sz w:val="44"/>
          <w:szCs w:val="44"/>
          <w:lang w:eastAsia="zh-CN"/>
        </w:rPr>
        <w:t>2024</w:t>
      </w:r>
      <w:r>
        <w:rPr>
          <w:rFonts w:hint="default" w:eastAsia="方正小标宋简体"/>
          <w:sz w:val="44"/>
          <w:szCs w:val="44"/>
          <w:lang w:eastAsia="zh-CN"/>
        </w:rPr>
        <w:t>年部门预算</w:t>
      </w:r>
    </w:p>
    <w:p>
      <w:pPr>
        <w:jc w:val="left"/>
      </w:pPr>
      <w:r>
        <w:tab/>
      </w:r>
      <w:r>
        <w:tab/>
      </w:r>
      <w:r>
        <w:tab/>
      </w:r>
      <w:r>
        <w:tab/>
      </w:r>
      <w:r>
        <w:tab/>
      </w:r>
      <w:r>
        <w:tab/>
      </w:r>
    </w:p>
    <w:p>
      <w:pPr>
        <w:jc w:val="left"/>
      </w:pPr>
    </w:p>
    <w:p>
      <w:pPr>
        <w:jc w:val="left"/>
      </w:pPr>
    </w:p>
    <w:p>
      <w:pPr>
        <w:jc w:val="left"/>
      </w:pPr>
    </w:p>
    <w:p>
      <w:pPr>
        <w:jc w:val="left"/>
      </w:pPr>
    </w:p>
    <w:p>
      <w:pPr>
        <w:jc w:val="center"/>
        <w:rPr>
          <w:rFonts w:hint="eastAsia" w:eastAsia="方正小标宋简体"/>
          <w:sz w:val="44"/>
          <w:szCs w:val="44"/>
          <w:lang w:val="en-US" w:eastAsia="zh-CN"/>
        </w:rPr>
      </w:pPr>
      <w:r>
        <w:rPr>
          <w:rFonts w:hint="eastAsia" w:eastAsia="方正小标宋简体"/>
          <w:sz w:val="44"/>
          <w:szCs w:val="44"/>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依法承担消费者权益保护责任，建立消费者权益保护体系，组织指导消费维权工作；负责做好涉及工商行政管理、质量技术监督、食品药品监督管理的申诉和举报工作。</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lang w:eastAsia="zh-CN"/>
        </w:rPr>
        <w:t>通榆县消费投诉受理中心</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eastAsia="宋体"/>
                <w:kern w:val="0"/>
                <w:sz w:val="20"/>
                <w:lang w:eastAsia="zh-CN"/>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59</w:t>
            </w:r>
            <w:r>
              <w:rPr>
                <w:rFonts w:hint="eastAsia" w:ascii="Arial" w:hAnsi="Arial" w:eastAsia="宋体" w:cs="Arial"/>
                <w:i w:val="0"/>
                <w:iCs w:val="0"/>
                <w:color w:val="000000"/>
                <w:kern w:val="0"/>
                <w:sz w:val="20"/>
                <w:szCs w:val="20"/>
                <w:u w:val="none"/>
                <w:lang w:val="en-US" w:eastAsia="zh-CN" w:bidi="ar"/>
              </w:rPr>
              <w:t>.01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629"/>
        <w:gridCol w:w="660"/>
        <w:gridCol w:w="645"/>
        <w:gridCol w:w="375"/>
        <w:gridCol w:w="345"/>
        <w:gridCol w:w="330"/>
        <w:gridCol w:w="315"/>
        <w:gridCol w:w="315"/>
        <w:gridCol w:w="345"/>
        <w:gridCol w:w="232"/>
        <w:gridCol w:w="128"/>
        <w:gridCol w:w="257"/>
        <w:gridCol w:w="146"/>
        <w:gridCol w:w="286"/>
        <w:gridCol w:w="245"/>
        <w:gridCol w:w="171"/>
        <w:gridCol w:w="360"/>
        <w:gridCol w:w="56"/>
        <w:gridCol w:w="416"/>
        <w:gridCol w:w="416"/>
        <w:gridCol w:w="416"/>
        <w:gridCol w:w="412"/>
        <w:gridCol w:w="16"/>
      </w:tblGrid>
      <w:tr>
        <w:tblPrEx>
          <w:tblCellMar>
            <w:top w:w="0" w:type="dxa"/>
            <w:left w:w="108" w:type="dxa"/>
            <w:bottom w:w="0" w:type="dxa"/>
            <w:right w:w="108" w:type="dxa"/>
          </w:tblCellMar>
        </w:tblPrEx>
        <w:trPr>
          <w:gridAfter w:val="1"/>
          <w:wAfter w:w="16"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299"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892"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16"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29"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947"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629"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0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r>
              <w:rPr>
                <w:rFonts w:hint="eastAsia" w:eastAsia="宋体"/>
                <w:color w:val="000000"/>
                <w:sz w:val="20"/>
                <w:shd w:val="clear" w:color="auto" w:fill="FFFFFF"/>
              </w:rPr>
              <w:t>通榆县消费投诉受理中心</w:t>
            </w:r>
          </w:p>
        </w:tc>
        <w:tc>
          <w:tcPr>
            <w:tcW w:w="6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18"/>
                <w:szCs w:val="18"/>
                <w:shd w:val="clear" w:color="auto" w:fill="FFFFFF"/>
                <w:lang w:val="en-US" w:eastAsia="zh-CN"/>
              </w:rPr>
            </w:pPr>
            <w:r>
              <w:rPr>
                <w:rFonts w:hint="eastAsia" w:eastAsia="宋体"/>
                <w:color w:val="000000"/>
                <w:sz w:val="18"/>
                <w:szCs w:val="18"/>
                <w:shd w:val="clear" w:color="auto" w:fill="FFFFFF"/>
                <w:lang w:val="en-US" w:eastAsia="zh-CN"/>
              </w:rPr>
              <w:t>59.01</w:t>
            </w: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18"/>
                <w:szCs w:val="18"/>
                <w:shd w:val="clear" w:color="auto" w:fill="FFFFFF"/>
                <w:lang w:val="en-US" w:eastAsia="zh-CN"/>
              </w:rPr>
            </w:pPr>
            <w:r>
              <w:rPr>
                <w:rFonts w:hint="eastAsia" w:eastAsia="宋体"/>
                <w:color w:val="000000"/>
                <w:sz w:val="18"/>
                <w:szCs w:val="18"/>
                <w:shd w:val="clear" w:color="auto" w:fill="FFFFFF"/>
                <w:lang w:val="en-US" w:eastAsia="zh-CN"/>
              </w:rPr>
              <w:t>59.01</w:t>
            </w:r>
          </w:p>
        </w:tc>
        <w:tc>
          <w:tcPr>
            <w:tcW w:w="6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default" w:eastAsia="宋体"/>
                <w:color w:val="000000"/>
                <w:sz w:val="18"/>
                <w:szCs w:val="18"/>
                <w:shd w:val="clear" w:color="auto" w:fill="FFFFFF"/>
                <w:lang w:val="en-US" w:eastAsia="zh-CN"/>
              </w:rPr>
            </w:pPr>
            <w:r>
              <w:rPr>
                <w:rFonts w:hint="eastAsia" w:eastAsia="宋体"/>
                <w:color w:val="000000"/>
                <w:sz w:val="18"/>
                <w:szCs w:val="18"/>
                <w:shd w:val="clear" w:color="auto" w:fill="FFFFFF"/>
                <w:lang w:val="en-US" w:eastAsia="zh-CN"/>
              </w:rPr>
              <w:t>59.01</w:t>
            </w: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6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6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59.01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59.01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04"/>
              <w:gridCol w:w="572"/>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0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7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7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59.01</w:t>
                  </w:r>
                </w:p>
              </w:tc>
              <w:tc>
                <w:tcPr>
                  <w:tcW w:w="8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59.01</w:t>
                  </w: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59.01</w:t>
                  </w:r>
                </w:p>
              </w:tc>
              <w:tc>
                <w:tcPr>
                  <w:tcW w:w="8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59.01</w:t>
                  </w: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59.01</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59.01</w:t>
                  </w:r>
                  <w:r>
                    <w:rPr>
                      <w:rFonts w:eastAsia="宋体"/>
                      <w:kern w:val="0"/>
                      <w:sz w:val="20"/>
                    </w:rPr>
                    <w:t>　</w:t>
                  </w: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59.01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59.01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ascii="Arial" w:hAnsi="Arial" w:eastAsia="宋体" w:cs="Arial"/>
                      <w:i w:val="0"/>
                      <w:iCs w:val="0"/>
                      <w:color w:val="000000"/>
                      <w:kern w:val="0"/>
                      <w:sz w:val="20"/>
                      <w:szCs w:val="20"/>
                      <w:u w:val="none"/>
                      <w:lang w:val="en-US" w:eastAsia="zh-CN" w:bidi="ar"/>
                    </w:rPr>
                    <w:t>59.01</w:t>
                  </w:r>
                  <w:r>
                    <w:rPr>
                      <w:rFonts w:eastAsia="黑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59.01</w:t>
                  </w:r>
                  <w:r>
                    <w:rPr>
                      <w:rFonts w:eastAsia="黑体"/>
                      <w:kern w:val="0"/>
                      <w:sz w:val="20"/>
                    </w:rPr>
                    <w:t>　</w:t>
                  </w: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59.01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59.01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59.01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59.01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54.21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9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39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市场监督管理事务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0</w:t>
                  </w:r>
                  <w:r>
                    <w:rPr>
                      <w:rFonts w:hint="eastAsia" w:ascii="Arial" w:hAnsi="Arial" w:eastAsia="宋体" w:cs="Arial"/>
                      <w:i w:val="0"/>
                      <w:iCs w:val="0"/>
                      <w:color w:val="000000"/>
                      <w:kern w:val="0"/>
                      <w:sz w:val="20"/>
                      <w:szCs w:val="20"/>
                      <w:u w:val="none"/>
                      <w:lang w:val="en-US" w:eastAsia="zh-CN" w:bidi="ar"/>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bookmarkStart w:id="0" w:name="_GoBack"/>
                  <w:bookmarkEnd w:id="0"/>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9.01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54</w:t>
            </w:r>
            <w:r>
              <w:rPr>
                <w:rFonts w:hint="eastAsia" w:ascii="Arial" w:hAnsi="Arial" w:eastAsia="宋体" w:cs="Arial"/>
                <w:i w:val="0"/>
                <w:iCs w:val="0"/>
                <w:color w:val="000000"/>
                <w:kern w:val="0"/>
                <w:sz w:val="20"/>
                <w:szCs w:val="20"/>
                <w:u w:val="none"/>
                <w:lang w:val="en-US" w:eastAsia="zh-CN" w:bidi="ar"/>
              </w:rPr>
              <w:t>.21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lang w:val="en-US"/>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54</w:t>
            </w:r>
            <w:r>
              <w:rPr>
                <w:rFonts w:hint="eastAsia" w:ascii="Arial" w:hAnsi="Arial" w:eastAsia="宋体" w:cs="Arial"/>
                <w:i w:val="0"/>
                <w:iCs w:val="0"/>
                <w:color w:val="000000"/>
                <w:kern w:val="0"/>
                <w:sz w:val="20"/>
                <w:szCs w:val="20"/>
                <w:u w:val="none"/>
                <w:lang w:val="en-US" w:eastAsia="zh-CN" w:bidi="ar"/>
              </w:rPr>
              <w:t>.21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54</w:t>
            </w:r>
            <w:r>
              <w:rPr>
                <w:rFonts w:hint="eastAsia" w:ascii="Arial" w:hAnsi="Arial" w:eastAsia="宋体" w:cs="Arial"/>
                <w:i w:val="0"/>
                <w:iCs w:val="0"/>
                <w:color w:val="000000"/>
                <w:kern w:val="0"/>
                <w:sz w:val="20"/>
                <w:szCs w:val="20"/>
                <w:u w:val="none"/>
                <w:lang w:val="en-US" w:eastAsia="zh-CN" w:bidi="ar"/>
              </w:rPr>
              <w:t>.21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w:t>
            </w:r>
            <w:r>
              <w:rPr>
                <w:rFonts w:hint="eastAsia" w:ascii="Arial" w:hAnsi="Arial" w:eastAsia="宋体" w:cs="Arial"/>
                <w:i w:val="0"/>
                <w:iCs w:val="0"/>
                <w:color w:val="000000"/>
                <w:kern w:val="0"/>
                <w:sz w:val="20"/>
                <w:szCs w:val="20"/>
                <w:u w:val="none"/>
                <w:lang w:val="en-US" w:eastAsia="zh-CN" w:bidi="ar"/>
              </w:rPr>
              <w:t>.52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w:t>
            </w:r>
            <w:r>
              <w:rPr>
                <w:rFonts w:hint="eastAsia" w:ascii="Arial" w:hAnsi="Arial" w:eastAsia="宋体" w:cs="Arial"/>
                <w:i w:val="0"/>
                <w:iCs w:val="0"/>
                <w:color w:val="000000"/>
                <w:kern w:val="0"/>
                <w:sz w:val="20"/>
                <w:szCs w:val="20"/>
                <w:u w:val="none"/>
                <w:lang w:val="en-US" w:eastAsia="zh-CN" w:bidi="ar"/>
              </w:rPr>
              <w:t>.52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.34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.47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.47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0.35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0.35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.63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0.52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0.52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lang w:val="en-US"/>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hint="eastAsia"/>
                <w:color w:val="000000"/>
                <w:kern w:val="0"/>
                <w:sz w:val="28"/>
                <w:szCs w:val="28"/>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5</w:t>
            </w:r>
            <w:r>
              <w:rPr>
                <w:color w:val="000000"/>
                <w:kern w:val="0"/>
                <w:sz w:val="28"/>
                <w:szCs w:val="28"/>
              </w:rPr>
              <w:t>人，其中：在职人员</w:t>
            </w:r>
            <w:r>
              <w:rPr>
                <w:rFonts w:hint="eastAsia" w:eastAsia="宋体"/>
                <w:color w:val="000000"/>
                <w:kern w:val="0"/>
                <w:sz w:val="28"/>
                <w:szCs w:val="28"/>
                <w:u w:val="single"/>
                <w:lang w:val="en-US" w:eastAsia="zh-CN"/>
              </w:rPr>
              <w:t>5</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136"/>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8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3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8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243"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86" w:type="dxa"/>
            <w:vMerge w:val="continue"/>
            <w:noWrap w:val="0"/>
            <w:vAlign w:val="center"/>
          </w:tcPr>
          <w:p>
            <w:pPr>
              <w:autoSpaceDN w:val="0"/>
              <w:jc w:val="center"/>
              <w:textAlignment w:val="center"/>
              <w:rPr>
                <w:rFonts w:ascii="Calibri" w:hAnsi="Calibri" w:eastAsia="华文细黑"/>
                <w:color w:val="000000"/>
                <w:sz w:val="20"/>
                <w:szCs w:val="22"/>
              </w:rPr>
            </w:pPr>
          </w:p>
        </w:tc>
        <w:tc>
          <w:tcPr>
            <w:tcW w:w="113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686" w:type="dxa"/>
            <w:noWrap w:val="0"/>
            <w:vAlign w:val="center"/>
          </w:tcPr>
          <w:p>
            <w:pPr>
              <w:autoSpaceDN w:val="0"/>
              <w:jc w:val="center"/>
              <w:textAlignment w:val="center"/>
              <w:rPr>
                <w:rFonts w:hint="eastAsia" w:ascii="Calibri" w:hAnsi="Calibri" w:eastAsia="华文细黑"/>
                <w:color w:val="000000"/>
                <w:sz w:val="20"/>
                <w:szCs w:val="22"/>
              </w:rPr>
            </w:pPr>
          </w:p>
        </w:tc>
        <w:tc>
          <w:tcPr>
            <w:tcW w:w="1136"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686"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136"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59.01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43.89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7.95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4.63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color w:val="auto"/>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w:t>
      </w:r>
      <w:r>
        <w:rPr>
          <w:rFonts w:hint="eastAsia" w:ascii="仿宋_GB2312" w:hAnsi="仿宋_GB2312" w:eastAsia="仿宋_GB2312" w:cs="仿宋_GB2312"/>
          <w:color w:val="auto"/>
          <w:szCs w:val="32"/>
        </w:rPr>
        <w:t>人员经费</w:t>
      </w:r>
      <w:r>
        <w:rPr>
          <w:rFonts w:hint="eastAsia" w:ascii="仿宋_GB2312" w:hAnsi="仿宋_GB2312" w:cs="仿宋_GB2312"/>
          <w:color w:val="auto"/>
          <w:szCs w:val="32"/>
          <w:lang w:val="en-US" w:eastAsia="zh-CN"/>
        </w:rPr>
        <w:t>54.21</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91.87</w:t>
      </w:r>
      <w:r>
        <w:rPr>
          <w:rFonts w:hint="eastAsia" w:ascii="仿宋_GB2312" w:hAnsi="仿宋_GB2312" w:eastAsia="仿宋_GB2312" w:cs="仿宋_GB2312"/>
          <w:color w:val="auto"/>
          <w:szCs w:val="32"/>
        </w:rPr>
        <w:t>%；公用经费</w:t>
      </w:r>
      <w:r>
        <w:rPr>
          <w:rFonts w:hint="eastAsia" w:ascii="仿宋_GB2312" w:hAnsi="仿宋_GB2312" w:cs="仿宋_GB2312"/>
          <w:color w:val="auto"/>
          <w:szCs w:val="32"/>
          <w:lang w:val="en-US" w:eastAsia="zh-CN"/>
        </w:rPr>
        <w:t>4.8</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10.7</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一般公共服务（类）支出</w:t>
      </w:r>
      <w:r>
        <w:rPr>
          <w:rFonts w:hint="eastAsia" w:ascii="仿宋_GB2312" w:hAnsi="仿宋_GB2312" w:cs="仿宋_GB2312"/>
          <w:color w:val="auto"/>
          <w:szCs w:val="32"/>
          <w:lang w:val="en-US" w:eastAsia="zh-CN"/>
        </w:rPr>
        <w:t>43.89</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74.38</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人员经费及公用经费</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国防（类）支出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卫生健康（类）</w:t>
      </w:r>
      <w:r>
        <w:rPr>
          <w:rFonts w:hint="eastAsia" w:ascii="仿宋_GB2312" w:hAnsi="仿宋_GB2312" w:eastAsia="仿宋_GB2312" w:cs="仿宋_GB2312"/>
          <w:color w:val="auto"/>
          <w:szCs w:val="32"/>
        </w:rPr>
        <w:t>支出</w:t>
      </w:r>
      <w:r>
        <w:rPr>
          <w:rFonts w:hint="eastAsia" w:ascii="仿宋_GB2312" w:hAnsi="仿宋_GB2312" w:cs="仿宋_GB2312"/>
          <w:color w:val="auto"/>
          <w:szCs w:val="32"/>
          <w:lang w:val="en-US" w:eastAsia="zh-CN"/>
        </w:rPr>
        <w:t>2.55</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4.32</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职工医保缴纳</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科学技术（类）支出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文化旅游体育与传媒（类）支出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社会保障和就业（类）支出</w:t>
      </w:r>
      <w:r>
        <w:rPr>
          <w:rFonts w:hint="eastAsia" w:ascii="仿宋_GB2312" w:hAnsi="仿宋_GB2312" w:cs="仿宋_GB2312"/>
          <w:color w:val="auto"/>
          <w:szCs w:val="32"/>
          <w:lang w:val="en-US" w:eastAsia="zh-CN"/>
        </w:rPr>
        <w:t>7.95</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13.47</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职工养老金及职业年金等社会保险缴纳</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农林水支出（类）支出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color w:val="auto"/>
          <w:szCs w:val="32"/>
        </w:rPr>
      </w:pPr>
      <w:r>
        <w:rPr>
          <w:rFonts w:hint="eastAsia" w:ascii="仿宋_GB2312" w:hAnsi="仿宋_GB2312" w:eastAsia="仿宋_GB2312" w:cs="仿宋_GB2312"/>
          <w:color w:val="auto"/>
          <w:szCs w:val="32"/>
        </w:rPr>
        <w:t>住房保障（类）支出</w:t>
      </w:r>
      <w:r>
        <w:rPr>
          <w:rFonts w:hint="eastAsia" w:ascii="仿宋_GB2312" w:hAnsi="仿宋_GB2312" w:cs="仿宋_GB2312"/>
          <w:color w:val="auto"/>
          <w:szCs w:val="32"/>
          <w:lang w:val="en-US" w:eastAsia="zh-CN"/>
        </w:rPr>
        <w:t>4.63</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7.85</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职工住房公积金缴纳</w:t>
      </w:r>
      <w:r>
        <w:rPr>
          <w:rFonts w:hint="eastAsia" w:ascii="仿宋_GB2312" w:hAnsi="仿宋_GB2312" w:eastAsia="仿宋_GB2312" w:cs="仿宋_GB2312"/>
          <w:color w:val="auto"/>
          <w:szCs w:val="32"/>
        </w:rPr>
        <w:t>。</w:t>
      </w:r>
    </w:p>
    <w:p>
      <w:pPr>
        <w:spacing w:line="520" w:lineRule="exact"/>
        <w:ind w:firstLine="640" w:firstLineChars="200"/>
        <w:rPr>
          <w:rFonts w:eastAsia="楷体"/>
          <w:szCs w:val="32"/>
        </w:rPr>
      </w:pPr>
      <w:r>
        <w:rPr>
          <w:rFonts w:eastAsia="楷体"/>
          <w:color w:val="auto"/>
          <w:szCs w:val="32"/>
        </w:rPr>
        <w:t>注：一般公共预算拨款中包括的具体内容，按本部门《</w:t>
      </w:r>
      <w:r>
        <w:rPr>
          <w:rFonts w:hint="eastAsia" w:eastAsia="楷体"/>
          <w:color w:val="auto"/>
          <w:szCs w:val="32"/>
        </w:rPr>
        <w:t>一般公共预算支出表</w:t>
      </w:r>
      <w:r>
        <w:rPr>
          <w:rFonts w:eastAsia="楷体"/>
          <w:color w:val="auto"/>
          <w:szCs w:val="32"/>
        </w:rPr>
        <w:t>》反映的实际情况取舍。没有一般</w:t>
      </w:r>
      <w:r>
        <w:rPr>
          <w:rFonts w:eastAsia="楷体"/>
          <w:szCs w:val="32"/>
        </w:rPr>
        <w:t>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59.01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54.21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其中：当年预算万元；上年结转万元。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预计公务接待减少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上年度少录入数据</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_______</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_______</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_______</w:t>
      </w:r>
      <w:r>
        <w:rPr>
          <w:rFonts w:hint="eastAsia" w:ascii="仿宋_GB2312" w:hAnsi="仿宋_GB2312" w:eastAsia="仿宋_GB2312" w:cs="仿宋_GB2312"/>
          <w:szCs w:val="32"/>
          <w:highlight w:val="none"/>
        </w:rPr>
        <w:t>。</w:t>
      </w:r>
    </w:p>
    <w:p>
      <w:pPr>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%；项目支出万元，占%。</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eastAsia="楷体"/>
          <w:szCs w:val="32"/>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年部门本级机关运行经费财政拨款预算</w:t>
      </w:r>
      <w:r>
        <w:rPr>
          <w:rFonts w:hint="eastAsia" w:ascii="仿宋_GB2312" w:hAnsi="仿宋_GB2312" w:cs="仿宋_GB2312"/>
          <w:szCs w:val="32"/>
          <w:lang w:val="en-US" w:eastAsia="zh-CN"/>
        </w:rPr>
        <w:t>43.89</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万元，下降%，主要原因是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年8月底，部门本级和所属各预算单位共有车辆辆，土地平方米，房屋平方米，单价50万元及以上的通用设备台/套，单价100万元及以上的专用设备实有数台/套。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年部门预算安排购置车辆辆，安排购置土地平方米，安排购置房屋平方米，计划新增单价50万元及以上的通用设备台/套，计划新增单价100万元及以上的专用设备实有数台/套。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万元，其中：一级项目个，二级项目个；使用本年拨款万元，财政拨款结转万元。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spacing w:line="540" w:lineRule="exact"/>
        <w:ind w:firstLine="640" w:firstLineChars="200"/>
        <w:rPr>
          <w:rFonts w:eastAsia="楷体"/>
          <w:szCs w:val="32"/>
        </w:rPr>
      </w:pPr>
      <w:r>
        <w:rPr>
          <w:rFonts w:eastAsia="楷体"/>
          <w:szCs w:val="32"/>
        </w:rPr>
        <w:t>注：没有需要按规定说明情况的，直接表述为“本部门无”，不得直接删除。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YmJkYjNlMzMyNjk1YzdlOTFiYWQ3ZGJlZTA1MT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562515"/>
    <w:rsid w:val="01620FE6"/>
    <w:rsid w:val="019B69D8"/>
    <w:rsid w:val="01BD4FED"/>
    <w:rsid w:val="020E6D2C"/>
    <w:rsid w:val="031D7D4B"/>
    <w:rsid w:val="03D16C91"/>
    <w:rsid w:val="04022755"/>
    <w:rsid w:val="0486486A"/>
    <w:rsid w:val="04954460"/>
    <w:rsid w:val="04F026C1"/>
    <w:rsid w:val="050D06DA"/>
    <w:rsid w:val="050F3BA7"/>
    <w:rsid w:val="054443B7"/>
    <w:rsid w:val="05513E94"/>
    <w:rsid w:val="056F5A6D"/>
    <w:rsid w:val="059B3770"/>
    <w:rsid w:val="05D932A2"/>
    <w:rsid w:val="063949A0"/>
    <w:rsid w:val="067960C1"/>
    <w:rsid w:val="06BD5BC7"/>
    <w:rsid w:val="07D21289"/>
    <w:rsid w:val="07F544B0"/>
    <w:rsid w:val="09A0082A"/>
    <w:rsid w:val="09CD52E8"/>
    <w:rsid w:val="0A334D52"/>
    <w:rsid w:val="0ABA06FE"/>
    <w:rsid w:val="0B5F5ADA"/>
    <w:rsid w:val="0B710869"/>
    <w:rsid w:val="0C2A5C84"/>
    <w:rsid w:val="0DA001B0"/>
    <w:rsid w:val="0DA509F7"/>
    <w:rsid w:val="0DB6446C"/>
    <w:rsid w:val="0DEB170B"/>
    <w:rsid w:val="0E49717B"/>
    <w:rsid w:val="0E4C7841"/>
    <w:rsid w:val="0F3E0406"/>
    <w:rsid w:val="0F8B592F"/>
    <w:rsid w:val="0FD62F63"/>
    <w:rsid w:val="10322CA6"/>
    <w:rsid w:val="107728C7"/>
    <w:rsid w:val="10AE7F82"/>
    <w:rsid w:val="10C93B35"/>
    <w:rsid w:val="11177619"/>
    <w:rsid w:val="112605C8"/>
    <w:rsid w:val="12E711B7"/>
    <w:rsid w:val="136D62BD"/>
    <w:rsid w:val="139F2A9C"/>
    <w:rsid w:val="13F21722"/>
    <w:rsid w:val="1441443C"/>
    <w:rsid w:val="14C12787"/>
    <w:rsid w:val="15593E10"/>
    <w:rsid w:val="159F7E25"/>
    <w:rsid w:val="15F848D0"/>
    <w:rsid w:val="160E1FA5"/>
    <w:rsid w:val="160F2600"/>
    <w:rsid w:val="17765BCA"/>
    <w:rsid w:val="17A027D8"/>
    <w:rsid w:val="190A1635"/>
    <w:rsid w:val="1A817DF8"/>
    <w:rsid w:val="1ADC594E"/>
    <w:rsid w:val="1AEB5252"/>
    <w:rsid w:val="1C852172"/>
    <w:rsid w:val="1CA40C0C"/>
    <w:rsid w:val="1CFF4A32"/>
    <w:rsid w:val="1D833200"/>
    <w:rsid w:val="1E2D59A2"/>
    <w:rsid w:val="1E3A3FD0"/>
    <w:rsid w:val="1EB55C07"/>
    <w:rsid w:val="1F351A10"/>
    <w:rsid w:val="1FED47E9"/>
    <w:rsid w:val="206816AC"/>
    <w:rsid w:val="21245B78"/>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AA58D6"/>
    <w:rsid w:val="27B04AB3"/>
    <w:rsid w:val="28A63332"/>
    <w:rsid w:val="2997521A"/>
    <w:rsid w:val="29C45F24"/>
    <w:rsid w:val="2A4223BE"/>
    <w:rsid w:val="2B1D27C6"/>
    <w:rsid w:val="2C2439CC"/>
    <w:rsid w:val="2DF8796C"/>
    <w:rsid w:val="2EB22F18"/>
    <w:rsid w:val="2EE12108"/>
    <w:rsid w:val="2EED35E3"/>
    <w:rsid w:val="2F250383"/>
    <w:rsid w:val="2F63610B"/>
    <w:rsid w:val="300965A3"/>
    <w:rsid w:val="304E0520"/>
    <w:rsid w:val="30730D6E"/>
    <w:rsid w:val="30B91A70"/>
    <w:rsid w:val="326B79BE"/>
    <w:rsid w:val="32CF2C5D"/>
    <w:rsid w:val="335402B5"/>
    <w:rsid w:val="339466B2"/>
    <w:rsid w:val="344972D5"/>
    <w:rsid w:val="34555AF5"/>
    <w:rsid w:val="35616772"/>
    <w:rsid w:val="35EA1663"/>
    <w:rsid w:val="364C598E"/>
    <w:rsid w:val="36CC2B0F"/>
    <w:rsid w:val="371A614D"/>
    <w:rsid w:val="37497CD7"/>
    <w:rsid w:val="3777428B"/>
    <w:rsid w:val="3838492F"/>
    <w:rsid w:val="387258D7"/>
    <w:rsid w:val="3887374F"/>
    <w:rsid w:val="38AF6637"/>
    <w:rsid w:val="39041A07"/>
    <w:rsid w:val="39043B77"/>
    <w:rsid w:val="393F0DCD"/>
    <w:rsid w:val="39670895"/>
    <w:rsid w:val="3A657F9A"/>
    <w:rsid w:val="3A9113D4"/>
    <w:rsid w:val="3AC3326A"/>
    <w:rsid w:val="3AC54F32"/>
    <w:rsid w:val="3B144A0A"/>
    <w:rsid w:val="3B1B2A0D"/>
    <w:rsid w:val="3B1E2D7B"/>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A258DE"/>
    <w:rsid w:val="45EB670F"/>
    <w:rsid w:val="46AB7C0D"/>
    <w:rsid w:val="46D44808"/>
    <w:rsid w:val="47CF49E6"/>
    <w:rsid w:val="4843587B"/>
    <w:rsid w:val="48674ED2"/>
    <w:rsid w:val="487708E6"/>
    <w:rsid w:val="49645F71"/>
    <w:rsid w:val="499F5C68"/>
    <w:rsid w:val="4AF16062"/>
    <w:rsid w:val="4B031BC4"/>
    <w:rsid w:val="4B5D22F9"/>
    <w:rsid w:val="4B646DDD"/>
    <w:rsid w:val="4B7F44F8"/>
    <w:rsid w:val="4BAC24C5"/>
    <w:rsid w:val="4BFA0656"/>
    <w:rsid w:val="4C5567C9"/>
    <w:rsid w:val="4D145F0C"/>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8F2E84"/>
    <w:rsid w:val="54C2556E"/>
    <w:rsid w:val="55193AFA"/>
    <w:rsid w:val="55480EEF"/>
    <w:rsid w:val="560F264E"/>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9E271C"/>
    <w:rsid w:val="5CA506B9"/>
    <w:rsid w:val="5CFD5FB2"/>
    <w:rsid w:val="5D2B52D8"/>
    <w:rsid w:val="5D5A7C63"/>
    <w:rsid w:val="5E256F6F"/>
    <w:rsid w:val="5EE005D0"/>
    <w:rsid w:val="5F6235A9"/>
    <w:rsid w:val="614125C2"/>
    <w:rsid w:val="624C5C52"/>
    <w:rsid w:val="63060724"/>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E312D83"/>
    <w:rsid w:val="6F3849AB"/>
    <w:rsid w:val="714213DD"/>
    <w:rsid w:val="717F272E"/>
    <w:rsid w:val="728027C6"/>
    <w:rsid w:val="72D54D7C"/>
    <w:rsid w:val="737664E0"/>
    <w:rsid w:val="73C27095"/>
    <w:rsid w:val="73FE7ACC"/>
    <w:rsid w:val="74053F35"/>
    <w:rsid w:val="7446636A"/>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E25CA6"/>
    <w:rsid w:val="7CF65D07"/>
    <w:rsid w:val="7D2975D1"/>
    <w:rsid w:val="7DCC0CD6"/>
    <w:rsid w:val="7E37505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3</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赵娜</cp:lastModifiedBy>
  <cp:lastPrinted>2022-02-21T08:08:00Z</cp:lastPrinted>
  <dcterms:modified xsi:type="dcterms:W3CDTF">2024-02-19T08:16:20Z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