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default" w:eastAsia="方正小标宋简体"/>
          <w:sz w:val="44"/>
          <w:szCs w:val="44"/>
          <w:lang w:eastAsia="zh-CN"/>
        </w:rPr>
        <w:t>通榆县市场监督管理局</w:t>
      </w:r>
      <w:r>
        <w:rPr>
          <w:rFonts w:hint="eastAsia" w:eastAsia="方正小标宋简体"/>
          <w:sz w:val="44"/>
          <w:szCs w:val="44"/>
          <w:lang w:val="en-US" w:eastAsia="zh-CN"/>
        </w:rPr>
        <w:t>本级</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rPr>
          <w:rFonts w:hint="default" w:eastAsia="方正小标宋简体"/>
          <w:sz w:val="44"/>
          <w:szCs w:val="44"/>
          <w:lang w:eastAsia="zh-CN"/>
        </w:rPr>
      </w:pPr>
      <w:r>
        <w:rPr>
          <w:rFonts w:hint="eastAsia" w:eastAsia="方正小标宋简体"/>
          <w:sz w:val="44"/>
          <w:szCs w:val="44"/>
          <w:lang w:val="en-US" w:eastAsia="zh-CN"/>
        </w:rPr>
        <w:t>2024年1月30日</w:t>
      </w:r>
    </w:p>
    <w:p>
      <w:pPr>
        <w:jc w:val="center"/>
        <w:rPr>
          <w:rFonts w:hint="default" w:eastAsia="方正小标宋简体"/>
          <w:sz w:val="44"/>
          <w:szCs w:val="44"/>
          <w:lang w:eastAsia="zh-CN"/>
        </w:rPr>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（一）贯彻执行国家、省、市有关工商行政管理、质量技术监督、食品药品监督管理等方面的法律、法规和政策；拟订相关规范性文件和政策、措施并组织实施。</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（二）拟订并组织实施市场监督管理事业发展规划和技术机构建设规划；组织推进质量发展工作。</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（三）负责涉及工商行政管理、质量技术监督、食品药品监督管理的各类行政审批和行政许可并监督管理。组织查处违反工商行政管理、质量技术监督、食品药品监督管理法律、法规、规章的行为。</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（四）依法承担对各类市场经营秩序监管责任，维护公平竞争的市场经营秩序；组织开展企业信用体系建设，推进政府企业信用、行业信用建设，实施信用分类管理；依法监督管理经纪人、经纪机构及经纪活动。</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（五）依法承担消费者权益保护责任，建立消费者权益保护体系，组织指导消费维权工作；负责做好涉及工商行政管理、质量技术监督、食品药品监督管理的申诉和举报工作。</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（六）依法实施合同行政监督管理，规范合同行为；负责商标监督管理工作；承担辖区内酒类流通管理职责</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（七）依法承担质量监督管理工作。负责质量宏观管理和产品（商品）质量监督检查工作；组织产品（商品）质量预警、监测工作；依法组织协调重大质量事故的调查处理和缺陷产品（商品）召回制度。</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（八）负责管理计量工作；组织推行法定计量单位和国家计量制度；依法管理辖区计量器具及量值传递和比对工作；负责规范和监督商品计量和市场计量行为。</w:t>
      </w:r>
    </w:p>
    <w:p>
      <w:pPr>
        <w:pStyle w:val="51"/>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rPr>
        <w:t>（九）负责管理标准化工作；组织协调和指导推动各部门、</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各行业的标准化工作；依法组织制定地方标准规范；依法监督标准的实施。</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（十）负责管理合格评定工作；依法负责检验机构及其检验服务活动的监督管理工作；规范和监督认证市场行为；负责工业产品生产许可证和能效标识的监督管</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（十一）依法承担食品安全监督管理工作。负责食品质量监督抽查、检测及处理工作，负责监督实施食品行政许可，承担食品安全检查、整顿治理和食品安全突发事件的应对处置。</w:t>
      </w:r>
    </w:p>
    <w:p>
      <w:pPr>
        <w:pStyle w:val="51"/>
        <w:ind w:firstLine="640" w:firstLineChars="200"/>
        <w:rPr>
          <w:rFonts w:hint="eastAsia" w:ascii="黑体" w:hAnsi="黑体" w:eastAsia="黑体" w:cs="黑体"/>
          <w:kern w:val="0"/>
          <w:szCs w:val="32"/>
          <w:lang w:eastAsia="zh-CN" w:bidi="ar"/>
        </w:rPr>
      </w:pPr>
      <w:r>
        <w:rPr>
          <w:rFonts w:hint="eastAsia" w:ascii="仿宋_GB2312" w:hAnsi="仿宋_GB2312" w:eastAsia="仿宋_GB2312" w:cs="仿宋_GB2312"/>
        </w:rPr>
        <w:t>（十二）负责药品、化妆品、医疗器械的监督管理；组织实施执业药师资格认定制度，配合实施医药从业人员职业资格准入制度；负责特种设备的安全监察工作</w:t>
      </w:r>
      <w:r>
        <w:rPr>
          <w:rFonts w:hint="eastAsia" w:ascii="黑体" w:hAnsi="黑体" w:eastAsia="黑体" w:cs="黑体"/>
          <w:kern w:val="0"/>
          <w:szCs w:val="32"/>
          <w:lang w:bidi="ar"/>
        </w:rPr>
        <w:t>。</w:t>
      </w:r>
    </w:p>
    <w:p>
      <w:pPr>
        <w:widowControl/>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（十三）承担县食品安全委员会日常工作。负责食品安全综合协调，推动健全协调联动机制。</w:t>
      </w:r>
    </w:p>
    <w:p>
      <w:pPr>
        <w:widowControl/>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（十四）承办县委、县政府及县食品安全委员会交办的其他事项。</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none"/>
          <w:lang w:eastAsia="zh-CN"/>
        </w:rPr>
        <w:t>通榆县市场监督管理局</w:t>
      </w:r>
      <w:r>
        <w:rPr>
          <w:rFonts w:hint="eastAsia" w:ascii="仿宋_GB2312" w:hAnsi="仿宋_GB2312" w:eastAsia="仿宋_GB2312" w:cs="仿宋_GB2312"/>
          <w:u w:val="none"/>
        </w:rPr>
        <w:t>内设</w:t>
      </w:r>
      <w:r>
        <w:rPr>
          <w:rFonts w:hint="eastAsia" w:ascii="仿宋_GB2312" w:hAnsi="仿宋_GB2312" w:eastAsia="仿宋_GB2312" w:cs="仿宋_GB2312"/>
          <w:u w:val="none"/>
          <w:lang w:val="en-US" w:eastAsia="zh-CN"/>
        </w:rPr>
        <w:t>3</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通榆县市场监管综合行政执法大队、通榆县食品检验检测中心、通榆县消费投诉受理中心</w:t>
      </w:r>
      <w:r>
        <w:rPr>
          <w:rFonts w:hint="eastAsia" w:ascii="仿宋_GB2312" w:hAnsi="仿宋_GB2312" w:eastAsia="仿宋_GB2312" w:cs="仿宋_GB2312"/>
        </w:rPr>
        <w:t>。</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通榆县市场监管综合行政执法大队、通榆县食品检验检测中心、通榆县消费投诉受理中心</w:t>
      </w:r>
      <w:r>
        <w:rPr>
          <w:rFonts w:hint="eastAsia" w:ascii="仿宋_GB2312" w:hAnsi="仿宋_GB2312" w:eastAsia="仿宋_GB2312" w:cs="仿宋_GB2312"/>
        </w:rPr>
        <w:t>。</w:t>
      </w: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eastAsia="zh-CN"/>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192.2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rPr>
          <w:rFonts w:eastAsia="楷体"/>
        </w:rPr>
      </w:pPr>
    </w:p>
    <w:p>
      <w:pPr>
        <w:rPr>
          <w:rFonts w:eastAsia="楷体"/>
        </w:rPr>
      </w:pPr>
    </w:p>
    <w:p>
      <w:pPr>
        <w:jc w:val="center"/>
        <w:rPr>
          <w:rFonts w:eastAsia="方正小标宋简体"/>
          <w:sz w:val="36"/>
          <w:szCs w:val="36"/>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通榆县市场监督管理局</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eastAsia" w:ascii="楷体" w:hAnsi="楷体" w:eastAsia="楷体" w:cs="楷体"/>
                <w:i w:val="0"/>
                <w:iCs w:val="0"/>
                <w:color w:val="000000"/>
                <w:kern w:val="2"/>
                <w:sz w:val="16"/>
                <w:szCs w:val="16"/>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rPr>
          <w:rFonts w:eastAsia="楷体"/>
        </w:rPr>
      </w:pPr>
    </w:p>
    <w:p>
      <w:pPr>
        <w:rPr>
          <w:rFonts w:eastAsia="楷体"/>
        </w:rPr>
      </w:pPr>
    </w:p>
    <w:p>
      <w:pPr>
        <w:rPr>
          <w:rFonts w:eastAsia="楷体"/>
        </w:rPr>
      </w:pPr>
    </w:p>
    <w:p>
      <w:pPr>
        <w:rPr>
          <w:rFonts w:eastAsia="楷体"/>
        </w:rPr>
      </w:pPr>
    </w:p>
    <w:p>
      <w:pPr>
        <w:rPr>
          <w:rFonts w:eastAsia="楷体"/>
        </w:rPr>
      </w:pPr>
    </w:p>
    <w:p>
      <w:pPr>
        <w:rPr>
          <w:rFonts w:eastAsia="楷体"/>
        </w:rPr>
      </w:pP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1672.70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imes New Roman" w:hAnsi="Times New Roman" w:eastAsia="宋体" w:cs="Times New Roman"/>
                      <w:color w:val="000000"/>
                      <w:kern w:val="0"/>
                      <w:sz w:val="20"/>
                      <w:lang w:val="en-US" w:eastAsia="zh-CN" w:bidi="ar-SA"/>
                    </w:rPr>
                  </w:pPr>
                  <w:r>
                    <w:rPr>
                      <w:rFonts w:hint="eastAsia"/>
                      <w:sz w:val="20"/>
                      <w:szCs w:val="20"/>
                    </w:rPr>
                    <w:t>194</w:t>
                  </w:r>
                  <w:r>
                    <w:rPr>
                      <w:rFonts w:hint="eastAsia"/>
                      <w:sz w:val="20"/>
                      <w:szCs w:val="20"/>
                      <w:lang w:val="en-US" w:eastAsia="zh-CN"/>
                    </w:rPr>
                    <w:t>.</w:t>
                  </w:r>
                  <w:r>
                    <w:rPr>
                      <w:rFonts w:hint="eastAsia"/>
                      <w:sz w:val="20"/>
                      <w:szCs w:val="20"/>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1492.98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1298.58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sz w:val="20"/>
                      <w:szCs w:val="20"/>
                    </w:rPr>
                    <w:t>194</w:t>
                  </w:r>
                  <w:r>
                    <w:rPr>
                      <w:rFonts w:hint="eastAsia"/>
                      <w:sz w:val="20"/>
                      <w:szCs w:val="20"/>
                      <w:lang w:val="en-US" w:eastAsia="zh-CN"/>
                    </w:rPr>
                    <w:t>.</w:t>
                  </w:r>
                  <w:r>
                    <w:rPr>
                      <w:rFonts w:hint="eastAsia"/>
                      <w:sz w:val="20"/>
                      <w:szCs w:val="20"/>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bookmarkStart w:id="0" w:name="_GoBack"/>
                  <w:bookmarkEnd w:id="0"/>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1492.98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1298.58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sz w:val="20"/>
                      <w:szCs w:val="20"/>
                    </w:rPr>
                    <w:t>194</w:t>
                  </w:r>
                  <w:r>
                    <w:rPr>
                      <w:rFonts w:hint="eastAsia"/>
                      <w:sz w:val="20"/>
                      <w:szCs w:val="20"/>
                      <w:lang w:val="en-US" w:eastAsia="zh-CN"/>
                    </w:rPr>
                    <w:t>.</w:t>
                  </w:r>
                  <w:r>
                    <w:rPr>
                      <w:rFonts w:hint="eastAsia"/>
                      <w:sz w:val="20"/>
                      <w:szCs w:val="20"/>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p>
      <w:pPr>
        <w:rPr>
          <w:rFonts w:hAnsi="楷体" w:eastAsia="楷体"/>
        </w:rPr>
      </w:pPr>
    </w:p>
    <w:p>
      <w:pPr>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54"/>
              <w:gridCol w:w="422"/>
              <w:gridCol w:w="1721"/>
              <w:gridCol w:w="1067"/>
              <w:gridCol w:w="1005"/>
              <w:gridCol w:w="510"/>
              <w:gridCol w:w="57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5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2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06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34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5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2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06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5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9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2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98</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98</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9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90"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2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.51</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r>
                    <w:rPr>
                      <w:rFonts w:eastAsia="黑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r>
                    <w:rPr>
                      <w:rFonts w:eastAsia="黑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5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5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r>
                    <w:rPr>
                      <w:rFonts w:eastAsia="黑体"/>
                      <w:kern w:val="0"/>
                      <w:sz w:val="20"/>
                    </w:rPr>
                    <w:t>　</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42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5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1867</w:t>
                  </w:r>
                  <w:r>
                    <w:rPr>
                      <w:rFonts w:hint="eastAsia" w:ascii="Arial" w:hAnsi="Arial" w:eastAsia="宋体" w:cs="Arial"/>
                      <w:i w:val="0"/>
                      <w:iCs w:val="0"/>
                      <w:color w:val="000000"/>
                      <w:kern w:val="0"/>
                      <w:sz w:val="20"/>
                      <w:szCs w:val="20"/>
                      <w:u w:val="none"/>
                      <w:lang w:val="en-US" w:eastAsia="zh-CN" w:bidi="ar"/>
                    </w:rPr>
                    <w:t>.10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1672</w:t>
                  </w:r>
                  <w:r>
                    <w:rPr>
                      <w:rFonts w:hint="eastAsia" w:ascii="Arial" w:hAnsi="Arial" w:eastAsia="宋体" w:cs="Arial"/>
                      <w:i w:val="0"/>
                      <w:iCs w:val="0"/>
                      <w:color w:val="000000"/>
                      <w:kern w:val="0"/>
                      <w:sz w:val="20"/>
                      <w:szCs w:val="20"/>
                      <w:u w:val="none"/>
                      <w:lang w:val="en-US" w:eastAsia="zh-CN" w:bidi="ar"/>
                    </w:rPr>
                    <w:t>.70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1467</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194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1298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市场监督管理事务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192</w:t>
                  </w:r>
                  <w:r>
                    <w:rPr>
                      <w:rFonts w:hint="eastAsia" w:ascii="Arial" w:hAnsi="Arial" w:eastAsia="宋体" w:cs="Arial"/>
                      <w:i w:val="0"/>
                      <w:iCs w:val="0"/>
                      <w:color w:val="000000"/>
                      <w:kern w:val="0"/>
                      <w:sz w:val="20"/>
                      <w:szCs w:val="20"/>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1672</w:t>
            </w:r>
            <w:r>
              <w:rPr>
                <w:rFonts w:hint="eastAsia" w:ascii="Arial" w:hAnsi="Arial" w:eastAsia="宋体" w:cs="Arial"/>
                <w:i w:val="0"/>
                <w:iCs w:val="0"/>
                <w:color w:val="000000"/>
                <w:kern w:val="0"/>
                <w:sz w:val="20"/>
                <w:szCs w:val="20"/>
                <w:u w:val="none"/>
                <w:lang w:val="en-US" w:eastAsia="zh-CN" w:bidi="ar"/>
              </w:rPr>
              <w:t>.70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1467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477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0.97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0.97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福利费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72</w:t>
            </w:r>
            <w:r>
              <w:rPr>
                <w:rFonts w:hint="eastAsia" w:ascii="Arial" w:hAnsi="Arial" w:eastAsia="宋体" w:cs="Arial"/>
                <w:i w:val="0"/>
                <w:iCs w:val="0"/>
                <w:color w:val="000000"/>
                <w:kern w:val="0"/>
                <w:sz w:val="20"/>
                <w:szCs w:val="20"/>
                <w:u w:val="none"/>
                <w:lang w:val="en-US" w:eastAsia="zh-CN" w:bidi="ar"/>
              </w:rPr>
              <w:t>.80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离休费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216</w:t>
            </w:r>
            <w:r>
              <w:rPr>
                <w:color w:val="000000"/>
                <w:kern w:val="0"/>
                <w:sz w:val="28"/>
                <w:szCs w:val="28"/>
              </w:rPr>
              <w:t>人，其中：在职人员</w:t>
            </w:r>
            <w:r>
              <w:rPr>
                <w:rFonts w:hint="eastAsia" w:eastAsia="宋体"/>
                <w:color w:val="000000"/>
                <w:kern w:val="0"/>
                <w:sz w:val="28"/>
                <w:szCs w:val="28"/>
                <w:u w:val="single"/>
                <w:lang w:val="en-US" w:eastAsia="zh-CN"/>
              </w:rPr>
              <w:t>113</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73"/>
        <w:gridCol w:w="615"/>
        <w:gridCol w:w="420"/>
        <w:gridCol w:w="418"/>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7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53"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7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5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673" w:type="dxa"/>
            <w:vMerge w:val="continue"/>
            <w:noWrap w:val="0"/>
            <w:vAlign w:val="center"/>
          </w:tcPr>
          <w:p>
            <w:pPr>
              <w:autoSpaceDN w:val="0"/>
              <w:jc w:val="center"/>
              <w:textAlignment w:val="center"/>
              <w:rPr>
                <w:rFonts w:ascii="Calibri" w:hAnsi="Calibri" w:eastAsia="华文细黑"/>
                <w:color w:val="000000"/>
                <w:sz w:val="20"/>
                <w:szCs w:val="22"/>
              </w:rPr>
            </w:pPr>
          </w:p>
        </w:tc>
        <w:tc>
          <w:tcPr>
            <w:tcW w:w="6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exact"/>
          <w:jc w:val="center"/>
        </w:trPr>
        <w:tc>
          <w:tcPr>
            <w:tcW w:w="759"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311-专项业务支出</w:t>
            </w:r>
          </w:p>
        </w:tc>
        <w:tc>
          <w:tcPr>
            <w:tcW w:w="1063"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通榆县市场监督管理局2024年办公费榆县市场监督管理局2024年办公费</w:t>
            </w:r>
          </w:p>
        </w:tc>
        <w:tc>
          <w:tcPr>
            <w:tcW w:w="1107"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通榆县市场监督管理局2024年办公费</w:t>
            </w:r>
          </w:p>
        </w:tc>
        <w:tc>
          <w:tcPr>
            <w:tcW w:w="864" w:type="dxa"/>
            <w:noWrap w:val="0"/>
            <w:vAlign w:val="center"/>
          </w:tcPr>
          <w:p>
            <w:pPr>
              <w:spacing w:line="700" w:lineRule="exact"/>
              <w:jc w:val="center"/>
              <w:rPr>
                <w:rFonts w:hint="eastAsia" w:ascii="Calibri" w:hAnsi="Calibri" w:eastAsia="楷体"/>
                <w:kern w:val="0"/>
                <w:sz w:val="20"/>
                <w:szCs w:val="20"/>
                <w:lang w:eastAsia="zh-CN"/>
              </w:rPr>
            </w:pPr>
            <w:r>
              <w:rPr>
                <w:rFonts w:hint="eastAsia" w:ascii="Calibri" w:hAnsi="Calibri" w:eastAsia="楷体"/>
                <w:kern w:val="0"/>
                <w:sz w:val="20"/>
                <w:szCs w:val="20"/>
                <w:lang w:eastAsia="zh-CN"/>
              </w:rPr>
              <w:t>通榆县市场监督管理局</w:t>
            </w:r>
          </w:p>
        </w:tc>
        <w:tc>
          <w:tcPr>
            <w:tcW w:w="673"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180</w:t>
            </w:r>
          </w:p>
        </w:tc>
        <w:tc>
          <w:tcPr>
            <w:tcW w:w="615"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180</w:t>
            </w:r>
          </w:p>
        </w:tc>
        <w:tc>
          <w:tcPr>
            <w:tcW w:w="420" w:type="dxa"/>
            <w:noWrap w:val="0"/>
            <w:vAlign w:val="center"/>
          </w:tcPr>
          <w:p>
            <w:pPr>
              <w:spacing w:line="700" w:lineRule="exact"/>
              <w:jc w:val="center"/>
              <w:rPr>
                <w:rFonts w:hint="default" w:ascii="Times New Roman" w:hAnsi="Times New Roman" w:eastAsia="楷体" w:cs="Times New Roman"/>
                <w:kern w:val="0"/>
                <w:sz w:val="20"/>
                <w:szCs w:val="20"/>
              </w:rPr>
            </w:pPr>
          </w:p>
        </w:tc>
        <w:tc>
          <w:tcPr>
            <w:tcW w:w="41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2" w:hRule="exact"/>
          <w:jc w:val="center"/>
        </w:trPr>
        <w:tc>
          <w:tcPr>
            <w:tcW w:w="759" w:type="dxa"/>
            <w:noWrap w:val="0"/>
            <w:vAlign w:val="center"/>
          </w:tcPr>
          <w:p>
            <w:pPr>
              <w:spacing w:line="700" w:lineRule="exact"/>
              <w:jc w:val="center"/>
              <w:rPr>
                <w:rFonts w:hint="default" w:ascii="Times New Roman" w:hAnsi="Times New Roman" w:eastAsia="楷体" w:cs="Times New Roman"/>
                <w:kern w:val="0"/>
                <w:sz w:val="20"/>
                <w:szCs w:val="20"/>
                <w:lang w:val="en-US" w:eastAsia="zh-CN" w:bidi="ar-SA"/>
              </w:rPr>
            </w:pPr>
            <w:r>
              <w:rPr>
                <w:rFonts w:hint="default" w:ascii="Times New Roman" w:hAnsi="Times New Roman" w:eastAsia="楷体" w:cs="Times New Roman"/>
                <w:kern w:val="0"/>
                <w:sz w:val="20"/>
                <w:szCs w:val="20"/>
              </w:rPr>
              <w:t>311-专项业务支出</w:t>
            </w:r>
          </w:p>
        </w:tc>
        <w:tc>
          <w:tcPr>
            <w:tcW w:w="1063"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通榆县市场监督管理局2024年驻村工作队生活补贴</w:t>
            </w:r>
          </w:p>
        </w:tc>
        <w:tc>
          <w:tcPr>
            <w:tcW w:w="1107"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通榆县市场监督管理局2024年驻村工作队生活补贴</w:t>
            </w:r>
          </w:p>
        </w:tc>
        <w:tc>
          <w:tcPr>
            <w:tcW w:w="864" w:type="dxa"/>
            <w:noWrap w:val="0"/>
            <w:vAlign w:val="center"/>
          </w:tcPr>
          <w:p>
            <w:pPr>
              <w:spacing w:line="700" w:lineRule="exact"/>
              <w:jc w:val="center"/>
              <w:rPr>
                <w:rFonts w:ascii="Calibri" w:hAnsi="Calibri" w:eastAsia="楷体"/>
                <w:kern w:val="0"/>
                <w:szCs w:val="32"/>
              </w:rPr>
            </w:pPr>
            <w:r>
              <w:rPr>
                <w:rFonts w:hint="eastAsia" w:ascii="Calibri" w:hAnsi="Calibri" w:eastAsia="楷体"/>
                <w:kern w:val="0"/>
                <w:sz w:val="20"/>
                <w:szCs w:val="20"/>
                <w:lang w:eastAsia="zh-CN"/>
              </w:rPr>
              <w:t>通榆县市场监督管理局</w:t>
            </w:r>
          </w:p>
        </w:tc>
        <w:tc>
          <w:tcPr>
            <w:tcW w:w="673"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14</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rPr>
              <w:t>4</w:t>
            </w:r>
          </w:p>
        </w:tc>
        <w:tc>
          <w:tcPr>
            <w:tcW w:w="615" w:type="dxa"/>
            <w:noWrap w:val="0"/>
            <w:vAlign w:val="center"/>
          </w:tcPr>
          <w:p>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14</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rPr>
              <w:t>4</w:t>
            </w:r>
          </w:p>
        </w:tc>
        <w:tc>
          <w:tcPr>
            <w:tcW w:w="420" w:type="dxa"/>
            <w:noWrap w:val="0"/>
            <w:vAlign w:val="center"/>
          </w:tcPr>
          <w:p>
            <w:pPr>
              <w:spacing w:line="700" w:lineRule="exact"/>
              <w:jc w:val="center"/>
              <w:rPr>
                <w:rFonts w:ascii="Calibri" w:hAnsi="Calibri" w:eastAsia="楷体"/>
                <w:kern w:val="0"/>
                <w:szCs w:val="32"/>
              </w:rPr>
            </w:pPr>
          </w:p>
        </w:tc>
        <w:tc>
          <w:tcPr>
            <w:tcW w:w="41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73" w:type="dxa"/>
            <w:noWrap w:val="0"/>
            <w:vAlign w:val="center"/>
          </w:tcPr>
          <w:p>
            <w:pPr>
              <w:spacing w:line="700" w:lineRule="exact"/>
              <w:jc w:val="center"/>
              <w:rPr>
                <w:rFonts w:ascii="Calibri" w:hAnsi="Calibri" w:eastAsia="楷体"/>
                <w:kern w:val="0"/>
                <w:szCs w:val="32"/>
              </w:rPr>
            </w:pPr>
            <w:r>
              <w:rPr>
                <w:rFonts w:hint="default" w:ascii="Times New Roman" w:hAnsi="Times New Roman" w:eastAsia="楷体" w:cs="Times New Roman"/>
                <w:kern w:val="0"/>
                <w:sz w:val="20"/>
                <w:szCs w:val="20"/>
              </w:rPr>
              <w:t>194</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rPr>
              <w:t>4</w:t>
            </w:r>
          </w:p>
        </w:tc>
        <w:tc>
          <w:tcPr>
            <w:tcW w:w="615" w:type="dxa"/>
            <w:noWrap w:val="0"/>
            <w:vAlign w:val="center"/>
          </w:tcPr>
          <w:p>
            <w:pPr>
              <w:spacing w:line="700" w:lineRule="exact"/>
              <w:jc w:val="center"/>
              <w:rPr>
                <w:rFonts w:ascii="Calibri" w:hAnsi="Calibri" w:eastAsia="楷体"/>
                <w:kern w:val="0"/>
                <w:szCs w:val="32"/>
              </w:rPr>
            </w:pPr>
          </w:p>
        </w:tc>
        <w:tc>
          <w:tcPr>
            <w:tcW w:w="420" w:type="dxa"/>
            <w:noWrap w:val="0"/>
            <w:vAlign w:val="center"/>
          </w:tcPr>
          <w:p>
            <w:pPr>
              <w:spacing w:line="700" w:lineRule="exact"/>
              <w:jc w:val="center"/>
              <w:rPr>
                <w:rFonts w:ascii="Calibri" w:hAnsi="Calibri" w:eastAsia="楷体"/>
                <w:kern w:val="0"/>
                <w:szCs w:val="32"/>
              </w:rPr>
            </w:pPr>
          </w:p>
        </w:tc>
        <w:tc>
          <w:tcPr>
            <w:tcW w:w="418"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180万元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180万元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2023年市场监督管理局市场监管职责工作分模块分区域，按照时间节点完成本年度工作。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2024年市场监管大案要案专项检查次数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市场监管大案要案班里的完善度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市场监管大案要案专项检查单次成本标准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市场监管大案要案专项检查的及时性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市场监管工作的开展对营造良好的市场经营环境的影响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群众对市场监管工作的满意程度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14.4万元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14.4万元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按照县里统一部署完成本年度乡村振兴工作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每人每年驻村天数及2024年驻村人数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天数：360天，人数：4人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驻村干部资格符合率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驻村工作人员补助标准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驻村生活补助资金发放的及时性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驻村干部对生活保障资金的满意度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jc w:val="both"/>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default" w:ascii="仿宋_GB2312" w:hAnsi="仿宋_GB2312" w:cs="仿宋_GB2312"/>
          <w:szCs w:val="32"/>
          <w:u w:val="none"/>
          <w:lang w:val="en-US" w:eastAsia="zh-CN"/>
        </w:rPr>
        <w:t>1867</w:t>
      </w:r>
      <w:r>
        <w:rPr>
          <w:rFonts w:hint="eastAsia" w:ascii="仿宋_GB2312" w:hAnsi="仿宋_GB2312" w:cs="仿宋_GB2312"/>
          <w:szCs w:val="32"/>
          <w:u w:val="none"/>
          <w:lang w:val="en-US" w:eastAsia="zh-CN"/>
        </w:rPr>
        <w:t>.10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default" w:ascii="仿宋_GB2312" w:hAnsi="仿宋_GB2312" w:cs="仿宋_GB2312"/>
          <w:szCs w:val="32"/>
          <w:u w:val="none"/>
          <w:lang w:val="en-US" w:eastAsia="zh-CN"/>
        </w:rPr>
        <w:t>1867</w:t>
      </w:r>
      <w:r>
        <w:rPr>
          <w:rFonts w:hint="eastAsia" w:ascii="仿宋_GB2312" w:hAnsi="仿宋_GB2312" w:cs="仿宋_GB2312"/>
          <w:szCs w:val="32"/>
          <w:u w:val="none"/>
          <w:lang w:val="en-US" w:eastAsia="zh-CN"/>
        </w:rPr>
        <w:t>.10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119.25</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节省公用经费支出</w:t>
      </w:r>
      <w:r>
        <w:rPr>
          <w:rFonts w:hint="eastAsia" w:ascii="仿宋_GB2312" w:hAnsi="仿宋_GB2312" w:eastAsia="仿宋_GB2312" w:cs="仿宋_GB2312"/>
          <w:szCs w:val="32"/>
          <w:u w:val="none"/>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eastAsia="仿宋_GB2312" w:cs="仿宋_GB2312"/>
          <w:szCs w:val="32"/>
          <w:lang w:val="en-US" w:eastAsia="zh-CN"/>
        </w:rPr>
        <w:t>1867.10</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lang w:val="en-US" w:eastAsia="zh-CN"/>
        </w:rPr>
        <w:t>1867.10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1867.10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eastAsia="仿宋_GB2312" w:cs="仿宋_GB2312"/>
          <w:szCs w:val="32"/>
          <w:lang w:val="en-US" w:eastAsia="zh-CN"/>
        </w:rPr>
        <w:t>1867.10</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1672.70</w:t>
      </w:r>
      <w:r>
        <w:rPr>
          <w:rFonts w:hint="eastAsia" w:ascii="仿宋_GB2312" w:hAnsi="仿宋_GB2312" w:eastAsia="仿宋_GB2312" w:cs="仿宋_GB2312"/>
          <w:szCs w:val="32"/>
        </w:rPr>
        <w:t>万元，占</w:t>
      </w:r>
      <w:r>
        <w:rPr>
          <w:rFonts w:hint="eastAsia" w:ascii="仿宋_GB2312" w:hAnsi="仿宋_GB2312" w:cs="仿宋_GB2312"/>
          <w:color w:val="auto"/>
          <w:szCs w:val="32"/>
          <w:lang w:val="en-US" w:eastAsia="zh-CN"/>
        </w:rPr>
        <w:t>89.59</w:t>
      </w:r>
      <w:r>
        <w:rPr>
          <w:rFonts w:hint="eastAsia" w:ascii="仿宋_GB2312" w:hAnsi="仿宋_GB2312" w:eastAsia="仿宋_GB2312" w:cs="仿宋_GB2312"/>
          <w:color w:val="auto"/>
          <w:szCs w:val="32"/>
        </w:rPr>
        <w:t>%；项目支出</w:t>
      </w:r>
      <w:r>
        <w:rPr>
          <w:rFonts w:hint="eastAsia" w:ascii="仿宋_GB2312" w:hAnsi="仿宋_GB2312" w:cs="仿宋_GB2312"/>
          <w:color w:val="auto"/>
          <w:szCs w:val="32"/>
          <w:lang w:val="en-US" w:eastAsia="zh-CN"/>
        </w:rPr>
        <w:t>194.4</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10.41</w:t>
      </w:r>
      <w:r>
        <w:rPr>
          <w:rFonts w:hint="eastAsia" w:ascii="仿宋_GB2312" w:hAnsi="仿宋_GB2312" w:eastAsia="仿宋_GB2312" w:cs="仿宋_GB2312"/>
          <w:color w:val="auto"/>
          <w:szCs w:val="32"/>
        </w:rPr>
        <w:t>%；事业单位经营支出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%；上缴上级支出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lang w:val="en-US" w:eastAsia="zh-CN"/>
        </w:rPr>
        <w:t>18,67.10</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lang w:val="en-US" w:eastAsia="zh-CN"/>
        </w:rPr>
        <w:t>18,67.10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1298.59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192</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67</w:t>
      </w:r>
      <w:r>
        <w:rPr>
          <w:rFonts w:hint="eastAsia" w:ascii="仿宋_GB2312" w:hAnsi="仿宋_GB2312" w:cs="仿宋_GB2312"/>
          <w:szCs w:val="32"/>
          <w:lang w:val="en-US" w:eastAsia="zh-CN"/>
        </w:rPr>
        <w:t>.</w:t>
      </w:r>
      <w:r>
        <w:rPr>
          <w:rFonts w:hint="eastAsia" w:ascii="仿宋_GB2312" w:hAnsi="仿宋_GB2312" w:eastAsia="仿宋_GB2312" w:cs="仿宋_GB2312"/>
          <w:szCs w:val="32"/>
        </w:rPr>
        <w:t>41万元，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114.51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rFonts w:hint="eastAsia" w:ascii="黑体" w:hAnsi="黑体" w:eastAsia="黑体" w:cs="黑体"/>
          <w:szCs w:val="30"/>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2024</w:t>
      </w:r>
      <w:r>
        <w:rPr>
          <w:rFonts w:hint="eastAsia" w:ascii="仿宋_GB2312" w:hAnsi="仿宋_GB2312" w:eastAsia="仿宋_GB2312" w:cs="仿宋_GB2312"/>
          <w:color w:val="auto"/>
          <w:szCs w:val="32"/>
        </w:rPr>
        <w:t>年一般公共预算拨款</w:t>
      </w:r>
      <w:r>
        <w:rPr>
          <w:rFonts w:hint="eastAsia" w:ascii="仿宋_GB2312" w:hAnsi="仿宋_GB2312" w:eastAsia="仿宋_GB2312" w:cs="仿宋_GB2312"/>
          <w:color w:val="auto"/>
          <w:szCs w:val="32"/>
          <w:lang w:val="en-US" w:eastAsia="zh-CN"/>
        </w:rPr>
        <w:t>1867.10</w:t>
      </w:r>
      <w:r>
        <w:rPr>
          <w:rFonts w:hint="eastAsia" w:ascii="仿宋_GB2312" w:hAnsi="仿宋_GB2312" w:eastAsia="仿宋_GB2312" w:cs="仿宋_GB2312"/>
          <w:color w:val="auto"/>
          <w:szCs w:val="32"/>
        </w:rPr>
        <w:t>万元，其中：基本支出</w:t>
      </w:r>
      <w:r>
        <w:rPr>
          <w:rFonts w:hint="eastAsia" w:ascii="仿宋_GB2312" w:hAnsi="仿宋_GB2312" w:cs="仿宋_GB2312"/>
          <w:color w:val="auto"/>
          <w:szCs w:val="32"/>
          <w:lang w:val="en-US" w:eastAsia="zh-CN"/>
        </w:rPr>
        <w:t>1672.70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89.59</w:t>
      </w:r>
      <w:r>
        <w:rPr>
          <w:rFonts w:hint="eastAsia" w:ascii="仿宋_GB2312" w:hAnsi="仿宋_GB2312" w:eastAsia="仿宋_GB2312" w:cs="仿宋_GB2312"/>
          <w:color w:val="auto"/>
          <w:szCs w:val="32"/>
        </w:rPr>
        <w:t>%；项目支出</w:t>
      </w:r>
      <w:r>
        <w:rPr>
          <w:rFonts w:hint="eastAsia" w:ascii="仿宋_GB2312" w:hAnsi="仿宋_GB2312" w:cs="仿宋_GB2312"/>
          <w:color w:val="auto"/>
          <w:szCs w:val="32"/>
          <w:lang w:val="en-US" w:eastAsia="zh-CN"/>
        </w:rPr>
        <w:t>194.4</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10.41</w:t>
      </w:r>
      <w:r>
        <w:rPr>
          <w:rFonts w:hint="eastAsia" w:ascii="仿宋_GB2312" w:hAnsi="仿宋_GB2312" w:eastAsia="仿宋_GB2312" w:cs="仿宋_GB2312"/>
          <w:color w:val="auto"/>
          <w:szCs w:val="32"/>
        </w:rPr>
        <w:t>%。基本支出中，人员经费</w:t>
      </w:r>
      <w:r>
        <w:rPr>
          <w:rFonts w:hint="default" w:ascii="仿宋_GB2312" w:hAnsi="仿宋_GB2312" w:eastAsia="仿宋_GB2312" w:cs="仿宋_GB2312"/>
          <w:color w:val="auto"/>
          <w:szCs w:val="32"/>
          <w:lang w:val="en-US" w:eastAsia="zh-CN"/>
        </w:rPr>
        <w:t>1467</w:t>
      </w:r>
      <w:r>
        <w:rPr>
          <w:rFonts w:hint="eastAsia" w:ascii="仿宋_GB2312" w:hAnsi="仿宋_GB2312" w:eastAsia="仿宋_GB2312" w:cs="仿宋_GB2312"/>
          <w:color w:val="auto"/>
          <w:szCs w:val="32"/>
          <w:lang w:val="en-US" w:eastAsia="zh-CN"/>
        </w:rPr>
        <w:t>.</w:t>
      </w:r>
      <w:r>
        <w:rPr>
          <w:rFonts w:hint="default" w:ascii="仿宋_GB2312" w:hAnsi="仿宋_GB2312" w:eastAsia="仿宋_GB2312" w:cs="仿宋_GB2312"/>
          <w:color w:val="auto"/>
          <w:szCs w:val="32"/>
          <w:lang w:val="en-US" w:eastAsia="zh-CN"/>
        </w:rPr>
        <w:t>8</w:t>
      </w:r>
      <w:r>
        <w:rPr>
          <w:rFonts w:hint="eastAsia" w:ascii="仿宋_GB2312" w:hAnsi="仿宋_GB2312" w:eastAsia="仿宋_GB2312" w:cs="仿宋_GB2312"/>
          <w:color w:val="auto"/>
          <w:szCs w:val="32"/>
          <w:lang w:val="en-US" w:eastAsia="zh-CN"/>
        </w:rPr>
        <w:t>6</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87.75</w:t>
      </w:r>
      <w:r>
        <w:rPr>
          <w:rFonts w:hint="eastAsia" w:ascii="仿宋_GB2312" w:hAnsi="仿宋_GB2312" w:eastAsia="仿宋_GB2312" w:cs="仿宋_GB2312"/>
          <w:color w:val="auto"/>
          <w:szCs w:val="32"/>
        </w:rPr>
        <w:t>%；公用经费</w:t>
      </w:r>
      <w:r>
        <w:rPr>
          <w:rFonts w:hint="eastAsia" w:ascii="仿宋_GB2312" w:hAnsi="仿宋_GB2312" w:cs="仿宋_GB2312"/>
          <w:color w:val="auto"/>
          <w:szCs w:val="32"/>
          <w:lang w:val="en-US" w:eastAsia="zh-CN"/>
        </w:rPr>
        <w:t>204.84</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12.25</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一般公共服务（类）支出</w:t>
      </w:r>
      <w:r>
        <w:rPr>
          <w:rFonts w:hint="eastAsia" w:ascii="仿宋_GB2312" w:hAnsi="仿宋_GB2312" w:cs="仿宋_GB2312"/>
          <w:color w:val="auto"/>
          <w:szCs w:val="32"/>
          <w:lang w:val="en-US" w:eastAsia="zh-CN"/>
        </w:rPr>
        <w:t>1492.98</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79.96</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人员经费及公用经费</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国防（类）支出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卫生健康（类）</w:t>
      </w:r>
      <w:r>
        <w:rPr>
          <w:rFonts w:hint="eastAsia" w:ascii="仿宋_GB2312" w:hAnsi="仿宋_GB2312" w:eastAsia="仿宋_GB2312" w:cs="仿宋_GB2312"/>
          <w:color w:val="auto"/>
          <w:szCs w:val="32"/>
        </w:rPr>
        <w:t>支出67</w:t>
      </w:r>
      <w:r>
        <w:rPr>
          <w:rFonts w:hint="eastAsia" w:ascii="仿宋_GB2312" w:hAnsi="仿宋_GB2312" w:cs="仿宋_GB2312"/>
          <w:color w:val="auto"/>
          <w:szCs w:val="32"/>
          <w:lang w:val="en-US" w:eastAsia="zh-CN"/>
        </w:rPr>
        <w:t>.</w:t>
      </w:r>
      <w:r>
        <w:rPr>
          <w:rFonts w:hint="eastAsia" w:ascii="仿宋_GB2312" w:hAnsi="仿宋_GB2312" w:eastAsia="仿宋_GB2312" w:cs="仿宋_GB2312"/>
          <w:color w:val="auto"/>
          <w:szCs w:val="32"/>
        </w:rPr>
        <w:t>41万元，占</w:t>
      </w:r>
      <w:r>
        <w:rPr>
          <w:rFonts w:hint="eastAsia" w:ascii="仿宋_GB2312" w:hAnsi="仿宋_GB2312" w:cs="仿宋_GB2312"/>
          <w:color w:val="auto"/>
          <w:szCs w:val="32"/>
          <w:lang w:val="en-US" w:eastAsia="zh-CN"/>
        </w:rPr>
        <w:t>3.6</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职工医保缴纳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科学技术（类）支出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w:t>
      </w:r>
      <w:r>
        <w:rPr>
          <w:rFonts w:hint="eastAsia" w:ascii="仿宋_GB2312" w:hAnsi="仿宋_GB2312" w:cs="仿宋_GB2312"/>
          <w:color w:val="auto"/>
          <w:szCs w:val="32"/>
          <w:lang w:val="en-US" w:eastAsia="zh-CN"/>
        </w:rPr>
        <w:t>于_________</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文化旅游体育与传媒（类）支出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社会保障和就业（类）支出192</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10.29</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职工养老金及职业年金等社会保险缴纳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农林水支出（类）支出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color w:val="auto"/>
          <w:szCs w:val="32"/>
        </w:rPr>
        <w:t>。</w:t>
      </w:r>
    </w:p>
    <w:p>
      <w:pPr>
        <w:spacing w:line="520" w:lineRule="exact"/>
        <w:ind w:firstLine="200"/>
        <w:rPr>
          <w:rFonts w:hint="eastAsia"/>
          <w:color w:val="auto"/>
          <w:szCs w:val="32"/>
        </w:rPr>
      </w:pPr>
      <w:r>
        <w:rPr>
          <w:rFonts w:hint="eastAsia" w:ascii="仿宋_GB2312" w:hAnsi="仿宋_GB2312" w:eastAsia="仿宋_GB2312" w:cs="仿宋_GB2312"/>
          <w:color w:val="auto"/>
          <w:szCs w:val="32"/>
        </w:rPr>
        <w:t>住房保障（类）支出</w:t>
      </w:r>
      <w:r>
        <w:rPr>
          <w:rFonts w:hint="eastAsia" w:ascii="仿宋_GB2312" w:hAnsi="仿宋_GB2312" w:cs="仿宋_GB2312"/>
          <w:color w:val="auto"/>
          <w:szCs w:val="32"/>
          <w:lang w:val="en-US" w:eastAsia="zh-CN"/>
        </w:rPr>
        <w:t>114.51</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6.1</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职工住房公积金缴纳</w:t>
      </w:r>
      <w:r>
        <w:rPr>
          <w:rFonts w:hint="eastAsia" w:ascii="仿宋_GB2312" w:hAnsi="仿宋_GB2312" w:eastAsia="仿宋_GB2312" w:cs="仿宋_GB2312"/>
          <w:color w:val="auto"/>
          <w:szCs w:val="32"/>
        </w:rPr>
        <w:t>。</w:t>
      </w:r>
    </w:p>
    <w:p>
      <w:pPr>
        <w:spacing w:line="520" w:lineRule="exact"/>
        <w:ind w:firstLine="640" w:firstLineChars="200"/>
        <w:rPr>
          <w:rFonts w:eastAsia="楷体"/>
          <w:szCs w:val="32"/>
        </w:rPr>
      </w:pPr>
      <w:r>
        <w:rPr>
          <w:rFonts w:eastAsia="楷体"/>
          <w:color w:val="auto"/>
          <w:szCs w:val="32"/>
        </w:rPr>
        <w:t>注：一般公共预算拨款中包括的具体内容，</w:t>
      </w:r>
      <w:r>
        <w:rPr>
          <w:rFonts w:eastAsia="楷体"/>
          <w:szCs w:val="32"/>
        </w:rPr>
        <w:t>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1672.70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1467.86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204.84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bidi w:val="0"/>
        <w:ind w:firstLine="640" w:firstLineChars="200"/>
        <w:jc w:val="left"/>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20.5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20.5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16</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0.5</w:t>
      </w:r>
      <w:r>
        <w:rPr>
          <w:rFonts w:hint="eastAsia" w:ascii="仿宋_GB2312" w:hAnsi="仿宋_GB2312" w:eastAsia="仿宋_GB2312" w:cs="仿宋_GB2312"/>
          <w:szCs w:val="32"/>
          <w:lang w:eastAsia="zh-CN"/>
        </w:rPr>
        <w:t>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预计公务接待减少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color w:val="auto"/>
          <w:szCs w:val="32"/>
          <w:lang w:val="en-US" w:eastAsia="zh-CN"/>
        </w:rPr>
        <w:t>17</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上年度少录入数据</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szCs w:val="32"/>
          <w:highlight w:val="none"/>
        </w:rPr>
        <w:t>。</w:t>
      </w:r>
    </w:p>
    <w:p>
      <w:pPr>
        <w:ind w:firstLine="640"/>
        <w:rPr>
          <w:szCs w:val="32"/>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color w:val="auto"/>
          <w:szCs w:val="32"/>
          <w:lang w:val="en-US" w:eastAsia="zh-CN"/>
        </w:rPr>
        <w:t>_________</w:t>
      </w:r>
      <w:r>
        <w:rPr>
          <w:rFonts w:hint="eastAsia" w:ascii="仿宋_GB2312" w:hAnsi="仿宋_GB2312" w:eastAsia="仿宋_GB2312" w:cs="仿宋_GB2312"/>
          <w:szCs w:val="32"/>
          <w:highlight w:val="none"/>
        </w:rPr>
        <w:t>。</w:t>
      </w: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%；项目支出万元，占%。</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eastAsia="楷体"/>
          <w:szCs w:val="32"/>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eastAsia="黑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年部门本级机关运行经费财政拨款预算</w:t>
      </w:r>
      <w:r>
        <w:rPr>
          <w:rFonts w:hint="default" w:ascii="仿宋_GB2312" w:hAnsi="仿宋_GB2312" w:eastAsia="仿宋_GB2312" w:cs="仿宋_GB2312"/>
          <w:szCs w:val="32"/>
          <w:lang w:val="en-US" w:eastAsia="zh-CN"/>
        </w:rPr>
        <w:t>1492</w:t>
      </w:r>
      <w:r>
        <w:rPr>
          <w:rFonts w:hint="eastAsia" w:ascii="仿宋_GB2312" w:hAnsi="仿宋_GB2312" w:eastAsia="仿宋_GB2312" w:cs="仿宋_GB2312"/>
          <w:szCs w:val="32"/>
          <w:lang w:val="en-US" w:eastAsia="zh-CN"/>
        </w:rPr>
        <w:t>.</w:t>
      </w:r>
      <w:r>
        <w:rPr>
          <w:rFonts w:hint="default" w:ascii="仿宋_GB2312" w:hAnsi="仿宋_GB2312" w:eastAsia="仿宋_GB2312" w:cs="仿宋_GB2312"/>
          <w:szCs w:val="32"/>
          <w:lang w:val="en-US" w:eastAsia="zh-CN"/>
        </w:rPr>
        <w:t>98</w:t>
      </w:r>
      <w:r>
        <w:rPr>
          <w:rFonts w:hint="eastAsia" w:ascii="仿宋_GB2312" w:hAnsi="仿宋_GB2312" w:eastAsia="仿宋_GB2312" w:cs="仿宋_GB2312"/>
          <w:szCs w:val="32"/>
        </w:rPr>
        <w:t>万元，比</w:t>
      </w:r>
      <w:r>
        <w:rPr>
          <w:rFonts w:hint="eastAsia" w:ascii="仿宋_GB2312" w:hAnsi="仿宋_GB2312" w:eastAsia="仿宋_GB2312" w:cs="仿宋_GB2312"/>
          <w:szCs w:val="32"/>
          <w:lang w:eastAsia="zh-CN"/>
        </w:rPr>
        <w:t>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172.75</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10.37</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5</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5</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31</w:t>
      </w:r>
      <w:r>
        <w:rPr>
          <w:rFonts w:hint="eastAsia" w:ascii="仿宋_GB2312" w:hAnsi="仿宋_GB2312" w:eastAsia="仿宋_GB2312" w:cs="仿宋_GB2312"/>
          <w:szCs w:val="32"/>
        </w:rPr>
        <w:t>辆，土地平方米，房屋</w:t>
      </w:r>
      <w:r>
        <w:rPr>
          <w:rFonts w:hint="eastAsia" w:ascii="仿宋_GB2312" w:hAnsi="仿宋_GB2312" w:cs="仿宋_GB2312"/>
          <w:szCs w:val="32"/>
          <w:lang w:val="en-US" w:eastAsia="zh-CN"/>
        </w:rPr>
        <w:t>8882.88</w:t>
      </w:r>
      <w:r>
        <w:rPr>
          <w:rFonts w:hint="eastAsia" w:ascii="仿宋_GB2312" w:hAnsi="仿宋_GB2312" w:eastAsia="仿宋_GB2312" w:cs="仿宋_GB2312"/>
          <w:szCs w:val="32"/>
        </w:rPr>
        <w:t>平方米，单价50万元及以上的通用设备台/套，单价100万元及以上的专用设备实有数台/套。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194.4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194.4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w:t>
      </w:r>
      <w:r>
        <w:rPr>
          <w:rFonts w:hint="eastAsia" w:ascii="仿宋_GB2312" w:hAnsi="仿宋_GB2312" w:cs="仿宋_GB2312"/>
          <w:lang w:val="en-US" w:eastAsia="zh-CN"/>
        </w:rPr>
        <w:t>二级</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194.4</w:t>
      </w:r>
      <w:r>
        <w:rPr>
          <w:rFonts w:hint="eastAsia" w:ascii="仿宋_GB2312" w:hAnsi="仿宋_GB2312" w:eastAsia="仿宋_GB2312" w:cs="仿宋_GB2312"/>
        </w:rPr>
        <w:t>万元。</w:t>
      </w:r>
    </w:p>
    <w:p>
      <w:pPr>
        <w:spacing w:line="540" w:lineRule="exact"/>
        <w:ind w:firstLine="640" w:firstLineChars="200"/>
        <w:rPr>
          <w:rFonts w:eastAsia="楷体"/>
          <w:szCs w:val="32"/>
        </w:rPr>
      </w:pPr>
      <w:r>
        <w:rPr>
          <w:rFonts w:eastAsia="楷体"/>
          <w:szCs w:val="32"/>
        </w:rPr>
        <w:t>注：没有需要按规定说明情况的，直接表述为“本部门无”，不得直接删除。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YmJkYjNlMzMyNjk1YzdlOTFiYWQ3ZGJlZTA1MT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050926"/>
    <w:rsid w:val="01562515"/>
    <w:rsid w:val="01620FE6"/>
    <w:rsid w:val="019B69D8"/>
    <w:rsid w:val="020E6D2C"/>
    <w:rsid w:val="031D7D4B"/>
    <w:rsid w:val="03D16C91"/>
    <w:rsid w:val="04022755"/>
    <w:rsid w:val="0486486A"/>
    <w:rsid w:val="04954460"/>
    <w:rsid w:val="04F026C1"/>
    <w:rsid w:val="050D06DA"/>
    <w:rsid w:val="050F3BA7"/>
    <w:rsid w:val="054443B7"/>
    <w:rsid w:val="05513E94"/>
    <w:rsid w:val="056F5A6D"/>
    <w:rsid w:val="059B3770"/>
    <w:rsid w:val="05D932A2"/>
    <w:rsid w:val="063949A0"/>
    <w:rsid w:val="067960C1"/>
    <w:rsid w:val="06BD5BC7"/>
    <w:rsid w:val="070522DF"/>
    <w:rsid w:val="07D21289"/>
    <w:rsid w:val="07F544B0"/>
    <w:rsid w:val="094D7B97"/>
    <w:rsid w:val="09A0082A"/>
    <w:rsid w:val="09CD52E8"/>
    <w:rsid w:val="0A331EB9"/>
    <w:rsid w:val="0A334D52"/>
    <w:rsid w:val="0AB15C77"/>
    <w:rsid w:val="0ABA06FE"/>
    <w:rsid w:val="0B5F5ADA"/>
    <w:rsid w:val="0B710869"/>
    <w:rsid w:val="0C2A5C84"/>
    <w:rsid w:val="0C7A1ACD"/>
    <w:rsid w:val="0DA001B0"/>
    <w:rsid w:val="0DB6446C"/>
    <w:rsid w:val="0DEB170B"/>
    <w:rsid w:val="0E49717B"/>
    <w:rsid w:val="0E4C7841"/>
    <w:rsid w:val="0EB32225"/>
    <w:rsid w:val="0F3E0406"/>
    <w:rsid w:val="0F8B592F"/>
    <w:rsid w:val="0FD62F63"/>
    <w:rsid w:val="107728C7"/>
    <w:rsid w:val="10785A61"/>
    <w:rsid w:val="10AE7F82"/>
    <w:rsid w:val="10C93B35"/>
    <w:rsid w:val="11177619"/>
    <w:rsid w:val="112605C8"/>
    <w:rsid w:val="12E711B7"/>
    <w:rsid w:val="136D62BD"/>
    <w:rsid w:val="139F2A9C"/>
    <w:rsid w:val="13F21722"/>
    <w:rsid w:val="1441443C"/>
    <w:rsid w:val="144E09DA"/>
    <w:rsid w:val="14C12787"/>
    <w:rsid w:val="15593E10"/>
    <w:rsid w:val="1560390C"/>
    <w:rsid w:val="159F7E25"/>
    <w:rsid w:val="15F848D0"/>
    <w:rsid w:val="160E1FA5"/>
    <w:rsid w:val="160F2600"/>
    <w:rsid w:val="17765BCA"/>
    <w:rsid w:val="17A027D8"/>
    <w:rsid w:val="190A1635"/>
    <w:rsid w:val="1A817DF8"/>
    <w:rsid w:val="1A9E27F9"/>
    <w:rsid w:val="1ADC594E"/>
    <w:rsid w:val="1ADC6228"/>
    <w:rsid w:val="1AE273F6"/>
    <w:rsid w:val="1AEB5252"/>
    <w:rsid w:val="1C852172"/>
    <w:rsid w:val="1CA40C0C"/>
    <w:rsid w:val="1CFF4A32"/>
    <w:rsid w:val="1D833200"/>
    <w:rsid w:val="1E2D59A2"/>
    <w:rsid w:val="1E3A3FD0"/>
    <w:rsid w:val="1EB15386"/>
    <w:rsid w:val="1EB55C07"/>
    <w:rsid w:val="1F351A10"/>
    <w:rsid w:val="1FED47E9"/>
    <w:rsid w:val="206816AC"/>
    <w:rsid w:val="21245B78"/>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A4223BE"/>
    <w:rsid w:val="2B1D27C6"/>
    <w:rsid w:val="2B58194B"/>
    <w:rsid w:val="2C2439CC"/>
    <w:rsid w:val="2DF8796C"/>
    <w:rsid w:val="2EB22F18"/>
    <w:rsid w:val="2EE12108"/>
    <w:rsid w:val="2EED35E3"/>
    <w:rsid w:val="2F250383"/>
    <w:rsid w:val="2F63610B"/>
    <w:rsid w:val="300965A3"/>
    <w:rsid w:val="30730D6E"/>
    <w:rsid w:val="30B91A70"/>
    <w:rsid w:val="326B79BE"/>
    <w:rsid w:val="32874191"/>
    <w:rsid w:val="32CF2C5D"/>
    <w:rsid w:val="331529B6"/>
    <w:rsid w:val="335402B5"/>
    <w:rsid w:val="339466B2"/>
    <w:rsid w:val="34555AF5"/>
    <w:rsid w:val="35616772"/>
    <w:rsid w:val="35EA1663"/>
    <w:rsid w:val="364C598E"/>
    <w:rsid w:val="36CC2B0F"/>
    <w:rsid w:val="36F46607"/>
    <w:rsid w:val="371A614D"/>
    <w:rsid w:val="37D53851"/>
    <w:rsid w:val="3838492F"/>
    <w:rsid w:val="387258D7"/>
    <w:rsid w:val="3887374F"/>
    <w:rsid w:val="38AF6637"/>
    <w:rsid w:val="39041A07"/>
    <w:rsid w:val="39043B77"/>
    <w:rsid w:val="393F0DCD"/>
    <w:rsid w:val="39670895"/>
    <w:rsid w:val="3A657F9A"/>
    <w:rsid w:val="3A9113D4"/>
    <w:rsid w:val="3AC07D07"/>
    <w:rsid w:val="3AC3326A"/>
    <w:rsid w:val="3AC54F32"/>
    <w:rsid w:val="3B144A0A"/>
    <w:rsid w:val="3B1B2A0D"/>
    <w:rsid w:val="3B7C071F"/>
    <w:rsid w:val="3BC92948"/>
    <w:rsid w:val="3BE370D4"/>
    <w:rsid w:val="3C211A1B"/>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342473"/>
    <w:rsid w:val="449A363F"/>
    <w:rsid w:val="449C5E6A"/>
    <w:rsid w:val="456D114B"/>
    <w:rsid w:val="45EB670F"/>
    <w:rsid w:val="46AB7C0D"/>
    <w:rsid w:val="46D44808"/>
    <w:rsid w:val="47CF49E6"/>
    <w:rsid w:val="4843587B"/>
    <w:rsid w:val="48674ED2"/>
    <w:rsid w:val="487708E6"/>
    <w:rsid w:val="49645F71"/>
    <w:rsid w:val="499F5C68"/>
    <w:rsid w:val="4AF16062"/>
    <w:rsid w:val="4B031BC4"/>
    <w:rsid w:val="4B646DDD"/>
    <w:rsid w:val="4B7F44F8"/>
    <w:rsid w:val="4BAC24C5"/>
    <w:rsid w:val="4BFA0656"/>
    <w:rsid w:val="4C0773F3"/>
    <w:rsid w:val="4C5567C9"/>
    <w:rsid w:val="4D145F0C"/>
    <w:rsid w:val="4D730507"/>
    <w:rsid w:val="4D741DD3"/>
    <w:rsid w:val="4DC93207"/>
    <w:rsid w:val="4E2A22FD"/>
    <w:rsid w:val="4E8D5761"/>
    <w:rsid w:val="4EF54A85"/>
    <w:rsid w:val="4F6F75D9"/>
    <w:rsid w:val="4FCB1E4C"/>
    <w:rsid w:val="4FD032CC"/>
    <w:rsid w:val="501B3C66"/>
    <w:rsid w:val="504B40C5"/>
    <w:rsid w:val="50987DC2"/>
    <w:rsid w:val="50A4703E"/>
    <w:rsid w:val="5136104F"/>
    <w:rsid w:val="51E55C99"/>
    <w:rsid w:val="52071113"/>
    <w:rsid w:val="52447C09"/>
    <w:rsid w:val="525A440D"/>
    <w:rsid w:val="52DD2A0A"/>
    <w:rsid w:val="54741940"/>
    <w:rsid w:val="54810E66"/>
    <w:rsid w:val="54C2556E"/>
    <w:rsid w:val="55193AFA"/>
    <w:rsid w:val="55480EEF"/>
    <w:rsid w:val="55696D88"/>
    <w:rsid w:val="55D32FF5"/>
    <w:rsid w:val="56570E30"/>
    <w:rsid w:val="57AE5C26"/>
    <w:rsid w:val="57DD75A9"/>
    <w:rsid w:val="58256ABD"/>
    <w:rsid w:val="59472AC7"/>
    <w:rsid w:val="59BD150F"/>
    <w:rsid w:val="59DD570D"/>
    <w:rsid w:val="59FF5EDC"/>
    <w:rsid w:val="5A084708"/>
    <w:rsid w:val="5AB343F7"/>
    <w:rsid w:val="5ABF50F2"/>
    <w:rsid w:val="5AD02789"/>
    <w:rsid w:val="5AF76904"/>
    <w:rsid w:val="5B052E7A"/>
    <w:rsid w:val="5B3D7F7E"/>
    <w:rsid w:val="5B7C7777"/>
    <w:rsid w:val="5B9462A0"/>
    <w:rsid w:val="5BEC6771"/>
    <w:rsid w:val="5C9B0982"/>
    <w:rsid w:val="5CA506B9"/>
    <w:rsid w:val="5CFD5FB2"/>
    <w:rsid w:val="5D2B52D8"/>
    <w:rsid w:val="5D5A7C63"/>
    <w:rsid w:val="5E256F6F"/>
    <w:rsid w:val="5EE005D0"/>
    <w:rsid w:val="5F6235A9"/>
    <w:rsid w:val="5F7308CD"/>
    <w:rsid w:val="60774B8E"/>
    <w:rsid w:val="60F6015E"/>
    <w:rsid w:val="614125C2"/>
    <w:rsid w:val="624C5C52"/>
    <w:rsid w:val="63952BB5"/>
    <w:rsid w:val="63DF08E4"/>
    <w:rsid w:val="64127E15"/>
    <w:rsid w:val="64C04AFD"/>
    <w:rsid w:val="659F65E4"/>
    <w:rsid w:val="661A7B69"/>
    <w:rsid w:val="664909C1"/>
    <w:rsid w:val="669E26A9"/>
    <w:rsid w:val="66A865D3"/>
    <w:rsid w:val="66C63EB5"/>
    <w:rsid w:val="677772D0"/>
    <w:rsid w:val="679461D3"/>
    <w:rsid w:val="6858287E"/>
    <w:rsid w:val="6862514C"/>
    <w:rsid w:val="69157114"/>
    <w:rsid w:val="691A443E"/>
    <w:rsid w:val="6A80735F"/>
    <w:rsid w:val="6ACC5E47"/>
    <w:rsid w:val="6AD43ED1"/>
    <w:rsid w:val="6B11024D"/>
    <w:rsid w:val="6B7D5B36"/>
    <w:rsid w:val="6CF120A8"/>
    <w:rsid w:val="6E312D83"/>
    <w:rsid w:val="6E407BDC"/>
    <w:rsid w:val="714213DD"/>
    <w:rsid w:val="717F272E"/>
    <w:rsid w:val="71E5184F"/>
    <w:rsid w:val="728027C6"/>
    <w:rsid w:val="72D54D7C"/>
    <w:rsid w:val="737664E0"/>
    <w:rsid w:val="73FE7ACC"/>
    <w:rsid w:val="74053F35"/>
    <w:rsid w:val="74355FB9"/>
    <w:rsid w:val="7446636A"/>
    <w:rsid w:val="74556746"/>
    <w:rsid w:val="74AB7A24"/>
    <w:rsid w:val="7657350F"/>
    <w:rsid w:val="76BB79B1"/>
    <w:rsid w:val="76C17E06"/>
    <w:rsid w:val="76CA67BD"/>
    <w:rsid w:val="774E6400"/>
    <w:rsid w:val="775B0046"/>
    <w:rsid w:val="78796248"/>
    <w:rsid w:val="79700BEF"/>
    <w:rsid w:val="79F85634"/>
    <w:rsid w:val="7A090695"/>
    <w:rsid w:val="7AE175F4"/>
    <w:rsid w:val="7B417685"/>
    <w:rsid w:val="7B5220F0"/>
    <w:rsid w:val="7B9433BD"/>
    <w:rsid w:val="7BA169C0"/>
    <w:rsid w:val="7BE95D3C"/>
    <w:rsid w:val="7CAD595B"/>
    <w:rsid w:val="7CE25CA6"/>
    <w:rsid w:val="7CF65D07"/>
    <w:rsid w:val="7D2975D1"/>
    <w:rsid w:val="7D337D20"/>
    <w:rsid w:val="7DCC0CD6"/>
    <w:rsid w:val="7E375050"/>
    <w:rsid w:val="7F590AE3"/>
    <w:rsid w:val="7FBE48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赵娜</cp:lastModifiedBy>
  <cp:lastPrinted>2022-02-21T08:08:00Z</cp:lastPrinted>
  <dcterms:modified xsi:type="dcterms:W3CDTF">2024-02-20T00:35:52Z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