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lang w:val="en-US" w:eastAsia="zh-CN"/>
        </w:rPr>
        <w:t>通榆县国家法律援助中心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83"/>
        <w:keepNext w:val="0"/>
        <w:keepLines w:val="0"/>
        <w:pageBreakBefore w:val="0"/>
        <w:widowControl w:val="0"/>
        <w:kinsoku/>
        <w:wordWrap/>
        <w:overflowPunct/>
        <w:topLinePunct w:val="0"/>
        <w:autoSpaceDE/>
        <w:autoSpaceDN/>
        <w:bidi w:val="0"/>
        <w:adjustRightInd/>
        <w:snapToGrid/>
        <w:spacing w:line="576" w:lineRule="exact"/>
        <w:ind w:left="390" w:firstLine="0" w:firstLineChars="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（一）</w:t>
      </w:r>
      <w:r>
        <w:rPr>
          <w:rFonts w:hint="eastAsia" w:ascii="Times New Roman" w:hAnsi="Times New Roman" w:eastAsia="仿宋_GB2312" w:cs="仿宋_GB2312"/>
          <w:sz w:val="32"/>
          <w:szCs w:val="32"/>
        </w:rPr>
        <w:t>贯彻执行国家和上级主管部门有关法律援助制度的规定，制度法律援助工作标准，规范以及拟定推行法律援助制度和年度计划，并组织实施。</w:t>
      </w:r>
    </w:p>
    <w:p>
      <w:pPr>
        <w:pStyle w:val="83"/>
        <w:keepNext w:val="0"/>
        <w:keepLines w:val="0"/>
        <w:pageBreakBefore w:val="0"/>
        <w:widowControl w:val="0"/>
        <w:kinsoku/>
        <w:wordWrap/>
        <w:overflowPunct/>
        <w:topLinePunct w:val="0"/>
        <w:autoSpaceDE/>
        <w:autoSpaceDN/>
        <w:bidi w:val="0"/>
        <w:adjustRightInd/>
        <w:snapToGrid/>
        <w:spacing w:line="576" w:lineRule="exact"/>
        <w:ind w:left="390" w:firstLine="0" w:firstLineChars="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（二）</w:t>
      </w:r>
      <w:r>
        <w:rPr>
          <w:rFonts w:hint="eastAsia" w:ascii="Times New Roman" w:hAnsi="Times New Roman" w:eastAsia="仿宋_GB2312" w:cs="仿宋_GB2312"/>
          <w:sz w:val="32"/>
          <w:szCs w:val="32"/>
        </w:rPr>
        <w:t>负责组织，指派法律服务工作人员办理各项法律援助事务。</w:t>
      </w:r>
    </w:p>
    <w:p>
      <w:pPr>
        <w:pStyle w:val="83"/>
        <w:keepNext w:val="0"/>
        <w:keepLines w:val="0"/>
        <w:pageBreakBefore w:val="0"/>
        <w:widowControl w:val="0"/>
        <w:numPr>
          <w:ilvl w:val="0"/>
          <w:numId w:val="0"/>
        </w:numPr>
        <w:kinsoku/>
        <w:wordWrap/>
        <w:overflowPunct/>
        <w:topLinePunct w:val="0"/>
        <w:autoSpaceDE/>
        <w:autoSpaceDN/>
        <w:bidi w:val="0"/>
        <w:adjustRightInd/>
        <w:snapToGrid/>
        <w:spacing w:line="576" w:lineRule="exact"/>
        <w:ind w:left="426" w:leftChars="0"/>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（三）</w:t>
      </w:r>
      <w:r>
        <w:rPr>
          <w:rFonts w:hint="eastAsia" w:ascii="Times New Roman" w:hAnsi="Times New Roman" w:eastAsia="仿宋_GB2312" w:cs="仿宋_GB2312"/>
          <w:sz w:val="32"/>
          <w:szCs w:val="32"/>
        </w:rPr>
        <w:t>负责开展法律援助业务研究和相关业务成果的推广应用。</w:t>
      </w:r>
    </w:p>
    <w:p>
      <w:pPr>
        <w:keepNext w:val="0"/>
        <w:keepLines w:val="0"/>
        <w:pageBreakBefore w:val="0"/>
        <w:widowControl w:val="0"/>
        <w:kinsoku/>
        <w:wordWrap/>
        <w:overflowPunct/>
        <w:topLinePunct w:val="0"/>
        <w:autoSpaceDE/>
        <w:autoSpaceDN/>
        <w:bidi w:val="0"/>
        <w:adjustRightInd/>
        <w:snapToGrid/>
        <w:spacing w:line="576" w:lineRule="exact"/>
        <w:ind w:left="426"/>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（四）</w:t>
      </w:r>
      <w:r>
        <w:rPr>
          <w:rFonts w:hint="eastAsia" w:ascii="Times New Roman" w:hAnsi="Times New Roman" w:eastAsia="仿宋_GB2312" w:cs="仿宋_GB2312"/>
          <w:sz w:val="32"/>
          <w:szCs w:val="32"/>
        </w:rPr>
        <w:t>负责法律援助工作的对外宣传、交流活动。</w:t>
      </w:r>
    </w:p>
    <w:p>
      <w:pPr>
        <w:keepNext w:val="0"/>
        <w:keepLines w:val="0"/>
        <w:pageBreakBefore w:val="0"/>
        <w:widowControl w:val="0"/>
        <w:kinsoku/>
        <w:wordWrap/>
        <w:overflowPunct/>
        <w:topLinePunct w:val="0"/>
        <w:autoSpaceDE/>
        <w:autoSpaceDN/>
        <w:bidi w:val="0"/>
        <w:adjustRightInd/>
        <w:snapToGrid/>
        <w:spacing w:line="576" w:lineRule="exact"/>
        <w:ind w:left="426"/>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（五）</w:t>
      </w:r>
      <w:r>
        <w:rPr>
          <w:rFonts w:hint="eastAsia" w:ascii="Times New Roman" w:hAnsi="Times New Roman" w:eastAsia="仿宋_GB2312" w:cs="仿宋_GB2312"/>
          <w:sz w:val="32"/>
          <w:szCs w:val="32"/>
        </w:rPr>
        <w:t>负责统一管理法律援助案件档案资料。</w:t>
      </w:r>
    </w:p>
    <w:p>
      <w:pPr>
        <w:keepNext w:val="0"/>
        <w:keepLines w:val="0"/>
        <w:pageBreakBefore w:val="0"/>
        <w:widowControl w:val="0"/>
        <w:kinsoku/>
        <w:wordWrap/>
        <w:overflowPunct/>
        <w:topLinePunct w:val="0"/>
        <w:autoSpaceDE/>
        <w:autoSpaceDN/>
        <w:bidi w:val="0"/>
        <w:adjustRightInd/>
        <w:snapToGrid/>
        <w:spacing w:line="576" w:lineRule="exact"/>
        <w:ind w:left="426"/>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（六）</w:t>
      </w:r>
      <w:r>
        <w:rPr>
          <w:rFonts w:hint="eastAsia" w:ascii="Times New Roman" w:hAnsi="Times New Roman" w:eastAsia="仿宋_GB2312" w:cs="仿宋_GB2312"/>
          <w:sz w:val="32"/>
          <w:szCs w:val="32"/>
        </w:rPr>
        <w:t>负责监督管理所属律师事务所法律援助案件办案质量。</w:t>
      </w:r>
    </w:p>
    <w:p>
      <w:pPr>
        <w:keepNext w:val="0"/>
        <w:keepLines w:val="0"/>
        <w:pageBreakBefore w:val="0"/>
        <w:widowControl w:val="0"/>
        <w:kinsoku/>
        <w:wordWrap/>
        <w:overflowPunct/>
        <w:topLinePunct w:val="0"/>
        <w:autoSpaceDE/>
        <w:autoSpaceDN/>
        <w:bidi w:val="0"/>
        <w:adjustRightInd/>
        <w:snapToGrid/>
        <w:spacing w:line="576" w:lineRule="exact"/>
        <w:ind w:left="426"/>
        <w:jc w:val="left"/>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lang w:eastAsia="zh-CN"/>
        </w:rPr>
        <w:t>（七）</w:t>
      </w:r>
      <w:r>
        <w:rPr>
          <w:rFonts w:hint="eastAsia" w:ascii="Times New Roman" w:hAnsi="Times New Roman" w:eastAsia="仿宋_GB2312" w:cs="仿宋_GB2312"/>
          <w:sz w:val="32"/>
          <w:szCs w:val="32"/>
        </w:rPr>
        <w:t>负责法律援助资金的使用和管理。</w:t>
      </w:r>
    </w:p>
    <w:p>
      <w:pPr>
        <w:keepNext w:val="0"/>
        <w:keepLines w:val="0"/>
        <w:pageBreakBefore w:val="0"/>
        <w:widowControl w:val="0"/>
        <w:kinsoku/>
        <w:wordWrap/>
        <w:overflowPunct/>
        <w:topLinePunct w:val="0"/>
        <w:autoSpaceDE/>
        <w:autoSpaceDN/>
        <w:bidi w:val="0"/>
        <w:adjustRightInd/>
        <w:snapToGrid/>
        <w:spacing w:line="576" w:lineRule="exact"/>
        <w:ind w:left="426"/>
        <w:jc w:val="left"/>
        <w:textAlignment w:val="auto"/>
        <w:rPr>
          <w:rFonts w:hint="eastAsia" w:ascii="仿宋" w:hAnsi="仿宋" w:eastAsia="仿宋"/>
          <w:sz w:val="32"/>
        </w:rPr>
      </w:pPr>
      <w:r>
        <w:rPr>
          <w:rFonts w:hint="eastAsia" w:ascii="Times New Roman" w:hAnsi="Times New Roman" w:eastAsia="仿宋_GB2312" w:cs="仿宋_GB2312"/>
          <w:sz w:val="32"/>
          <w:szCs w:val="32"/>
        </w:rPr>
        <w:t>通榆县国家法律援助中心根据中央和省关于公益一类事业单位改革的要求，强化公益属性，进一步理顺体制，完善机制，健全制度，不断提高公益服务水平和效率。</w:t>
      </w:r>
    </w:p>
    <w:p>
      <w:pPr>
        <w:ind w:firstLine="640" w:firstLineChars="200"/>
      </w:pPr>
      <w:r>
        <w:rPr>
          <w:rFonts w:eastAsia="楷体_GB2312"/>
        </w:rPr>
        <w:t>二、机构设置</w:t>
      </w:r>
    </w:p>
    <w:p>
      <w:pPr>
        <w:pStyle w:val="83"/>
        <w:ind w:left="420" w:firstLine="0" w:firstLineChars="0"/>
        <w:rPr>
          <w:rFonts w:ascii="仿宋" w:hAnsi="仿宋" w:eastAsia="仿宋"/>
          <w:sz w:val="32"/>
          <w:szCs w:val="32"/>
        </w:rPr>
      </w:pPr>
      <w:r>
        <w:rPr>
          <w:rFonts w:hint="eastAsia" w:ascii="仿宋" w:hAnsi="仿宋" w:eastAsia="仿宋"/>
          <w:sz w:val="32"/>
          <w:szCs w:val="32"/>
        </w:rPr>
        <w:t>通榆县国家法律援助中心是通榆县司法局的下属事业单位，未设立独立办公室。</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2160" w:firstLineChars="600"/>
        <w:jc w:val="both"/>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53.31</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42.75</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5.57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3.24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1.78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53.34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3960" w:firstLineChars="1100"/>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eastAsia="宋体"/>
                <w:color w:val="000000"/>
                <w:sz w:val="20"/>
                <w:lang w:eastAsia="zh-CN"/>
              </w:rPr>
            </w:pPr>
            <w:r>
              <w:rPr>
                <w:rFonts w:hint="eastAsia" w:eastAsia="宋体"/>
                <w:color w:val="000000"/>
                <w:sz w:val="20"/>
                <w:lang w:eastAsia="zh-CN"/>
              </w:rPr>
              <w:t>通榆县国家法律援助中心</w:t>
            </w:r>
          </w:p>
        </w:tc>
        <w:tc>
          <w:tcPr>
            <w:tcW w:w="416"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240" w:lineRule="atLeast"/>
              <w:jc w:val="center"/>
              <w:textAlignment w:val="center"/>
              <w:rPr>
                <w:rFonts w:hint="default" w:eastAsia="宋体"/>
                <w:color w:val="000000"/>
                <w:sz w:val="20"/>
                <w:lang w:val="en-US" w:eastAsia="zh-CN"/>
              </w:rPr>
            </w:pPr>
            <w:r>
              <w:rPr>
                <w:rFonts w:hint="eastAsia" w:eastAsia="宋体"/>
                <w:color w:val="000000"/>
                <w:sz w:val="20"/>
                <w:lang w:val="en-US" w:eastAsia="zh-CN"/>
              </w:rPr>
              <w:t>53.34</w:t>
            </w:r>
          </w:p>
        </w:tc>
        <w:tc>
          <w:tcPr>
            <w:tcW w:w="416"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240" w:lineRule="atLeast"/>
              <w:jc w:val="center"/>
              <w:textAlignment w:val="center"/>
              <w:rPr>
                <w:rFonts w:hint="default" w:eastAsia="宋体"/>
                <w:color w:val="000000"/>
                <w:sz w:val="20"/>
                <w:lang w:val="en-US" w:eastAsia="zh-CN"/>
              </w:rPr>
            </w:pPr>
            <w:r>
              <w:rPr>
                <w:rFonts w:hint="eastAsia" w:eastAsia="宋体"/>
                <w:color w:val="000000"/>
                <w:sz w:val="20"/>
                <w:lang w:val="en-US" w:eastAsia="zh-CN"/>
              </w:rPr>
              <w:t>53.34</w:t>
            </w:r>
          </w:p>
        </w:tc>
        <w:tc>
          <w:tcPr>
            <w:tcW w:w="416" w:type="dxa"/>
            <w:tcBorders>
              <w:top w:val="single" w:color="000000" w:sz="4" w:space="0"/>
              <w:left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val="0"/>
              <w:bidi w:val="0"/>
              <w:adjustRightInd/>
              <w:snapToGrid/>
              <w:spacing w:line="240" w:lineRule="atLeast"/>
              <w:jc w:val="center"/>
              <w:textAlignment w:val="center"/>
              <w:rPr>
                <w:rFonts w:hint="default" w:eastAsia="宋体"/>
                <w:color w:val="000000"/>
                <w:sz w:val="20"/>
                <w:lang w:val="en-US" w:eastAsia="zh-CN"/>
              </w:rPr>
            </w:pPr>
            <w:r>
              <w:rPr>
                <w:rFonts w:hint="eastAsia" w:eastAsia="宋体"/>
                <w:color w:val="000000"/>
                <w:sz w:val="20"/>
                <w:lang w:val="en-US" w:eastAsia="zh-CN"/>
              </w:rPr>
              <w:t>53.34</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53.34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53.34</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keepNext w:val="0"/>
              <w:keepLines w:val="0"/>
              <w:pageBreakBefore w:val="0"/>
              <w:widowControl w:val="0"/>
              <w:shd w:val="solid" w:color="FFFFFF" w:fill="auto"/>
              <w:kinsoku/>
              <w:wordWrap/>
              <w:overflowPunct/>
              <w:topLinePunct w:val="0"/>
              <w:autoSpaceDE/>
              <w:autoSpaceDN w:val="0"/>
              <w:bidi w:val="0"/>
              <w:adjustRightInd/>
              <w:snapToGrid/>
              <w:spacing w:line="240" w:lineRule="atLeast"/>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53.34</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hint="eastAsia" w:eastAsia="宋体"/>
                      <w:color w:val="000000"/>
                      <w:kern w:val="0"/>
                      <w:sz w:val="20"/>
                      <w:lang w:eastAsia="zh-CN"/>
                    </w:rPr>
                    <w:t>一</w:t>
                  </w:r>
                  <w:r>
                    <w:rPr>
                      <w:rFonts w:eastAsia="宋体"/>
                      <w:color w:val="000000"/>
                      <w:kern w:val="0"/>
                      <w:sz w:val="20"/>
                    </w:rPr>
                    <w:t>、</w:t>
                  </w:r>
                  <w:r>
                    <w:rPr>
                      <w:rFonts w:hint="eastAsia" w:eastAsia="宋体"/>
                      <w:color w:val="000000"/>
                      <w:kern w:val="0"/>
                      <w:sz w:val="20"/>
                      <w:lang w:eastAsia="zh-CN"/>
                    </w:rPr>
                    <w:t>公共安全支出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default" w:eastAsia="宋体"/>
                      <w:color w:val="000000"/>
                      <w:kern w:val="0"/>
                      <w:sz w:val="20"/>
                      <w:lang w:val="en-US" w:eastAsia="zh-CN"/>
                    </w:rPr>
                  </w:pPr>
                  <w:r>
                    <w:rPr>
                      <w:rFonts w:hint="eastAsia" w:eastAsia="宋体"/>
                      <w:color w:val="000000"/>
                      <w:kern w:val="0"/>
                      <w:sz w:val="20"/>
                      <w:lang w:eastAsia="zh-CN"/>
                    </w:rPr>
                    <w:t>三、卫生</w:t>
                  </w:r>
                  <w:r>
                    <w:rPr>
                      <w:rFonts w:hint="eastAsia" w:eastAsia="宋体"/>
                      <w:color w:val="000000"/>
                      <w:kern w:val="0"/>
                      <w:sz w:val="20"/>
                      <w:lang w:val="en-US" w:eastAsia="zh-CN"/>
                    </w:rPr>
                    <w:t>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住房公积金支出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53.34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53.34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53.34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53.34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42.75</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42.75</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5.57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1.78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1.78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3.24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3.24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53.34</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53.34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53.34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53.34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53.34</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53.34</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53.34</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53.34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一</w:t>
                  </w:r>
                  <w:r>
                    <w:rPr>
                      <w:rFonts w:eastAsia="宋体"/>
                      <w:color w:val="000000"/>
                      <w:kern w:val="0"/>
                      <w:sz w:val="20"/>
                    </w:rPr>
                    <w:t>、</w:t>
                  </w:r>
                  <w:r>
                    <w:rPr>
                      <w:rFonts w:hint="eastAsia" w:eastAsia="宋体"/>
                      <w:color w:val="000000"/>
                      <w:kern w:val="0"/>
                      <w:sz w:val="20"/>
                      <w:lang w:eastAsia="zh-CN"/>
                    </w:rPr>
                    <w:t>公共安全支出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司法</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机关事业单位基本养老保险缴费</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4.32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其他行政事业养老支出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其他行政事业单位医疗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500" w:firstLineChars="250"/>
                    <w:jc w:val="left"/>
                    <w:rPr>
                      <w:rFonts w:hint="eastAsia" w:eastAsia="宋体"/>
                      <w:color w:val="000000"/>
                      <w:kern w:val="0"/>
                      <w:sz w:val="20"/>
                      <w:lang w:eastAsia="zh-CN"/>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42.34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39.46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hint="eastAsia" w:eastAsia="楷体"/>
          <w:lang w:val="en-US" w:eastAsia="zh-CN"/>
        </w:rPr>
      </w:pPr>
      <w:r>
        <w:rPr>
          <w:rFonts w:hAnsi="楷体" w:eastAsia="楷体"/>
        </w:rPr>
        <w:br w:type="page"/>
      </w:r>
      <w:r>
        <w:rPr>
          <w:rFonts w:hint="eastAsia" w:hAnsi="楷体" w:eastAsia="楷体"/>
          <w:lang w:val="en-US" w:eastAsia="zh-CN"/>
        </w:rPr>
        <w:t xml:space="preserve"> </w:t>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37.99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37.99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14.67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14.67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1.05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2.93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2.93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sz w:val="20"/>
                <w:lang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8.36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8.36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4.32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4.32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1.73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1.73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eastAsia="zh-CN"/>
              </w:rPr>
              <w:t>其他社保</w:t>
            </w:r>
            <w:r>
              <w:rPr>
                <w:rFonts w:hint="eastAsia" w:eastAsia="宋体"/>
                <w:color w:val="000000"/>
                <w:sz w:val="20"/>
                <w:lang w:val="en-US" w:eastAsia="zh-CN"/>
              </w:rPr>
              <w:t>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0.24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eastAsia="宋体"/>
                <w:color w:val="000000"/>
                <w:sz w:val="20"/>
                <w:lang w:eastAsia="zh-CN"/>
              </w:rPr>
            </w:pPr>
            <w:r>
              <w:rPr>
                <w:rFonts w:hint="eastAsia" w:eastAsia="宋体"/>
                <w:color w:val="000000"/>
                <w:sz w:val="20"/>
                <w:lang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3.24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3.24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color w:val="000000"/>
                <w:sz w:val="20"/>
                <w:lang w:eastAsia="zh-CN"/>
              </w:rPr>
            </w:pPr>
            <w:r>
              <w:rPr>
                <w:rFonts w:hint="eastAsia" w:eastAsia="宋体"/>
                <w:color w:val="000000"/>
                <w:sz w:val="20"/>
                <w:lang w:eastAsia="zh-CN"/>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0.39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sz w:val="20"/>
                <w:szCs w:val="20"/>
                <w:lang w:val="en-US" w:eastAsia="zh-CN"/>
              </w:rPr>
            </w:pPr>
            <w:r>
              <w:rPr>
                <w:rFonts w:hint="eastAsia"/>
                <w:sz w:val="20"/>
                <w:szCs w:val="20"/>
                <w:lang w:val="en-US" w:eastAsia="zh-CN"/>
              </w:rPr>
              <w:t>0.39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szCs w:val="20"/>
                <w:lang w:val="en-US" w:eastAsia="zh-CN"/>
              </w:rPr>
            </w:pPr>
            <w:r>
              <w:rPr>
                <w:rFonts w:hint="eastAsia" w:eastAsia="宋体"/>
                <w:kern w:val="0"/>
                <w:sz w:val="20"/>
                <w:szCs w:val="20"/>
                <w:lang w:val="en-US" w:eastAsia="zh-CN"/>
              </w:rPr>
              <w:t>2.48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2.48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仿宋_GB2312"/>
                <w:sz w:val="20"/>
                <w:szCs w:val="20"/>
                <w:lang w:val="en-US" w:eastAsia="zh-CN"/>
              </w:rPr>
            </w:pPr>
            <w:r>
              <w:rPr>
                <w:rFonts w:hint="eastAsia"/>
                <w:sz w:val="20"/>
                <w:szCs w:val="20"/>
                <w:lang w:val="en-US" w:eastAsia="zh-CN"/>
              </w:rPr>
              <w:t>0.8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印刷费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咨询费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0.05</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0.22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0.22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1.47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1.47</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四、资本性支出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办公设置购置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ascii="Times New Roman" w:hAnsi="Times New Roman" w:eastAsia="仿宋_GB2312" w:cs="Times New Roman"/>
                <w:kern w:val="2"/>
                <w:sz w:val="20"/>
                <w:szCs w:val="20"/>
                <w:lang w:val="en-US" w:eastAsia="zh-CN" w:bidi="ar-SA"/>
              </w:rPr>
            </w:pPr>
            <w:r>
              <w:rPr>
                <w:rFonts w:hint="eastAsia"/>
                <w:sz w:val="20"/>
                <w:szCs w:val="20"/>
                <w:lang w:val="en-US" w:eastAsia="zh-CN"/>
              </w:rPr>
              <w:t>0.4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0.4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eastAsia="zh-CN"/>
              </w:rPr>
            </w:pPr>
            <w:r>
              <w:rPr>
                <w:rFonts w:hint="eastAsia" w:eastAsia="宋体"/>
                <w:color w:val="000000"/>
                <w:kern w:val="0"/>
                <w:sz w:val="20"/>
                <w:lang w:eastAsia="zh-CN"/>
              </w:rPr>
              <w:t>合计</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42.34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仿宋_GB2312"/>
                <w:sz w:val="20"/>
                <w:szCs w:val="20"/>
                <w:lang w:val="en-US" w:eastAsia="zh-CN"/>
              </w:rPr>
            </w:pPr>
            <w:r>
              <w:rPr>
                <w:rFonts w:hint="eastAsia"/>
                <w:sz w:val="20"/>
                <w:szCs w:val="20"/>
                <w:lang w:val="en-US" w:eastAsia="zh-CN"/>
              </w:rPr>
              <w:t>39.46</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sz w:val="20"/>
                <w:szCs w:val="20"/>
                <w:lang w:val="en-US" w:eastAsia="zh-CN"/>
              </w:rPr>
            </w:pPr>
            <w:r>
              <w:rPr>
                <w:rFonts w:hint="eastAsia"/>
                <w:sz w:val="20"/>
                <w:szCs w:val="20"/>
                <w:lang w:val="en-US" w:eastAsia="zh-CN"/>
              </w:rPr>
              <w:t>2.88</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0.1</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0.1</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eastAsia="宋体"/>
                <w:color w:val="000000"/>
                <w:kern w:val="0"/>
                <w:sz w:val="20"/>
              </w:rPr>
              <w:t>　</w:t>
            </w:r>
            <w:r>
              <w:rPr>
                <w:rFonts w:hint="eastAsia" w:eastAsia="宋体"/>
                <w:color w:val="000000"/>
                <w:kern w:val="0"/>
                <w:sz w:val="20"/>
                <w:lang w:val="en-US" w:eastAsia="zh-CN"/>
              </w:rPr>
              <w:t>0.1</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7</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4</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553" w:type="dxa"/>
            <w:gridSpan w:val="13"/>
            <w:tcBorders>
              <w:top w:val="nil"/>
              <w:left w:val="nil"/>
              <w:bottom w:val="nil"/>
              <w:right w:val="nil"/>
            </w:tcBorders>
            <w:noWrap w:val="0"/>
            <w:vAlign w:val="center"/>
          </w:tcPr>
          <w:p>
            <w:pPr>
              <w:keepNext w:val="0"/>
              <w:keepLines w:val="0"/>
              <w:pageBreakBefore w:val="0"/>
              <w:widowControl/>
              <w:kinsoku/>
              <w:wordWrap/>
              <w:overflowPunct/>
              <w:topLinePunct w:val="0"/>
              <w:autoSpaceDE/>
              <w:bidi w:val="0"/>
              <w:adjustRightInd/>
              <w:snapToGrid/>
              <w:spacing w:line="240" w:lineRule="atLeast"/>
              <w:ind w:firstLine="720" w:firstLineChars="200"/>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31" w:type="dxa"/>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831" w:type="dxa"/>
            <w:vMerge w:val="restart"/>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831" w:type="dxa"/>
            <w:vMerge w:val="continue"/>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ascii="Calibri" w:hAnsi="Calibri" w:eastAsia="华文细黑"/>
                <w:color w:val="000000"/>
                <w:sz w:val="20"/>
                <w:szCs w:val="22"/>
              </w:rPr>
            </w:pPr>
          </w:p>
        </w:tc>
        <w:tc>
          <w:tcPr>
            <w:tcW w:w="1063"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一</w:t>
            </w:r>
            <w:r>
              <w:rPr>
                <w:rFonts w:hint="eastAsia" w:ascii="宋体" w:hAnsi="宋体" w:eastAsia="宋体" w:cs="宋体"/>
                <w:color w:val="000000"/>
                <w:sz w:val="20"/>
                <w:szCs w:val="22"/>
              </w:rPr>
              <w:t>级项目</w:t>
            </w:r>
          </w:p>
        </w:tc>
        <w:tc>
          <w:tcPr>
            <w:tcW w:w="1107"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ascii="Calibri" w:hAnsi="Calibri" w:eastAsia="华文细黑"/>
                <w:color w:val="000000"/>
                <w:sz w:val="20"/>
                <w:szCs w:val="22"/>
              </w:rPr>
            </w:pPr>
          </w:p>
        </w:tc>
        <w:tc>
          <w:tcPr>
            <w:tcW w:w="498" w:type="dxa"/>
            <w:vMerge w:val="continue"/>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ascii="Calibri" w:hAnsi="Calibri" w:eastAsia="华文细黑"/>
                <w:color w:val="000000"/>
                <w:sz w:val="20"/>
                <w:szCs w:val="22"/>
              </w:rPr>
            </w:pPr>
          </w:p>
        </w:tc>
        <w:tc>
          <w:tcPr>
            <w:tcW w:w="553"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szCs w:val="22"/>
              </w:rPr>
            </w:pPr>
          </w:p>
        </w:tc>
        <w:tc>
          <w:tcPr>
            <w:tcW w:w="425" w:type="dxa"/>
            <w:vMerge w:val="continue"/>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exact"/>
          <w:jc w:val="center"/>
        </w:trPr>
        <w:tc>
          <w:tcPr>
            <w:tcW w:w="83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lang w:eastAsia="zh-CN"/>
              </w:rPr>
              <w:t>一次性项目</w:t>
            </w:r>
          </w:p>
        </w:tc>
        <w:tc>
          <w:tcPr>
            <w:tcW w:w="106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eastAsia="zh-CN"/>
              </w:rPr>
              <w:t>通榆县法律援助中心</w:t>
            </w:r>
            <w:r>
              <w:rPr>
                <w:rFonts w:hint="eastAsia" w:asciiTheme="minorEastAsia" w:hAnsiTheme="minorEastAsia" w:eastAsiaTheme="minorEastAsia" w:cstheme="minorEastAsia"/>
                <w:kern w:val="0"/>
                <w:sz w:val="20"/>
                <w:szCs w:val="20"/>
                <w:lang w:val="en-US" w:eastAsia="zh-CN"/>
              </w:rPr>
              <w:t>2024年法律援助工作经费</w:t>
            </w:r>
          </w:p>
        </w:tc>
        <w:tc>
          <w:tcPr>
            <w:tcW w:w="1107"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lang w:eastAsia="zh-CN"/>
              </w:rPr>
              <w:t>通榆县法律援助中心</w:t>
            </w:r>
            <w:r>
              <w:rPr>
                <w:rFonts w:hint="eastAsia" w:asciiTheme="minorEastAsia" w:hAnsiTheme="minorEastAsia" w:eastAsiaTheme="minorEastAsia" w:cstheme="minorEastAsia"/>
                <w:kern w:val="0"/>
                <w:sz w:val="20"/>
                <w:szCs w:val="20"/>
                <w:lang w:val="en-US" w:eastAsia="zh-CN"/>
              </w:rPr>
              <w:t>2024年法律援助工作经费</w:t>
            </w:r>
          </w:p>
        </w:tc>
        <w:tc>
          <w:tcPr>
            <w:tcW w:w="8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lang w:eastAsia="zh-CN"/>
              </w:rPr>
            </w:pPr>
            <w:r>
              <w:rPr>
                <w:rFonts w:hint="eastAsia" w:asciiTheme="minorEastAsia" w:hAnsiTheme="minorEastAsia" w:eastAsiaTheme="minorEastAsia" w:cstheme="minorEastAsia"/>
                <w:kern w:val="0"/>
                <w:sz w:val="20"/>
                <w:szCs w:val="20"/>
                <w:lang w:eastAsia="zh-CN"/>
              </w:rPr>
              <w:t>通榆县国家法律援助中心</w:t>
            </w:r>
          </w:p>
        </w:tc>
        <w:tc>
          <w:tcPr>
            <w:tcW w:w="4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w:t>
            </w:r>
          </w:p>
        </w:tc>
        <w:tc>
          <w:tcPr>
            <w:tcW w:w="55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w:t>
            </w:r>
          </w:p>
        </w:tc>
        <w:tc>
          <w:tcPr>
            <w:tcW w:w="55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2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32"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4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25"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06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107"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8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2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32"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4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25"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06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107"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8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2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32"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4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25"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3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06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1107"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8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5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2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32"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4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25"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exact"/>
          <w:jc w:val="center"/>
        </w:trPr>
        <w:tc>
          <w:tcPr>
            <w:tcW w:w="831"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ascii="Calibri" w:hAnsi="Calibri" w:eastAsia="华文细黑"/>
                <w:color w:val="000000"/>
                <w:sz w:val="20"/>
                <w:szCs w:val="22"/>
              </w:rPr>
            </w:pPr>
          </w:p>
        </w:tc>
        <w:tc>
          <w:tcPr>
            <w:tcW w:w="1107"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ascii="Calibri" w:hAnsi="Calibri" w:eastAsia="楷体"/>
                <w:kern w:val="0"/>
                <w:szCs w:val="32"/>
              </w:rPr>
            </w:pPr>
          </w:p>
        </w:tc>
        <w:tc>
          <w:tcPr>
            <w:tcW w:w="8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ascii="Calibri" w:hAnsi="Calibri" w:eastAsia="楷体"/>
                <w:kern w:val="0"/>
                <w:szCs w:val="32"/>
              </w:rPr>
            </w:pPr>
          </w:p>
        </w:tc>
        <w:tc>
          <w:tcPr>
            <w:tcW w:w="4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w:t>
            </w:r>
          </w:p>
        </w:tc>
        <w:tc>
          <w:tcPr>
            <w:tcW w:w="55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11</w:t>
            </w:r>
          </w:p>
        </w:tc>
        <w:tc>
          <w:tcPr>
            <w:tcW w:w="55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21"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64"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32"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598"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43"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c>
          <w:tcPr>
            <w:tcW w:w="425" w:type="dxa"/>
            <w:noWrap w:val="0"/>
            <w:vAlign w:val="center"/>
          </w:tcPr>
          <w:p>
            <w:pPr>
              <w:keepNext w:val="0"/>
              <w:keepLines w:val="0"/>
              <w:pageBreakBefore w:val="0"/>
              <w:kinsoku/>
              <w:wordWrap/>
              <w:overflowPunct/>
              <w:topLinePunct w:val="0"/>
              <w:autoSpaceDE/>
              <w:bidi w:val="0"/>
              <w:adjustRightInd/>
              <w:snapToGrid/>
              <w:spacing w:line="240" w:lineRule="atLeast"/>
              <w:jc w:val="center"/>
              <w:rPr>
                <w:rFonts w:hint="eastAsia" w:asciiTheme="minorEastAsia" w:hAnsiTheme="minorEastAsia" w:eastAsiaTheme="minorEastAsia" w:cstheme="minorEastAsia"/>
                <w:kern w:val="0"/>
                <w:sz w:val="20"/>
                <w:szCs w:val="20"/>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131"/>
        <w:gridCol w:w="2227"/>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keepNext w:val="0"/>
              <w:keepLines w:val="0"/>
              <w:pageBreakBefore w:val="0"/>
              <w:widowControl/>
              <w:kinsoku/>
              <w:wordWrap/>
              <w:overflowPunct/>
              <w:topLinePunct w:val="0"/>
              <w:autoSpaceDE/>
              <w:bidi w:val="0"/>
              <w:adjustRightInd/>
              <w:snapToGrid/>
              <w:spacing w:line="240" w:lineRule="atLeast"/>
              <w:ind w:firstLine="3240" w:firstLineChars="900"/>
              <w:jc w:val="both"/>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96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6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eastAsia="zh-CN"/>
              </w:rPr>
              <w:t>通榆县法律援助中心</w:t>
            </w:r>
            <w:r>
              <w:rPr>
                <w:rFonts w:hint="eastAsia" w:ascii="宋体" w:hAnsi="宋体" w:eastAsia="宋体" w:cs="宋体"/>
                <w:color w:val="000000"/>
                <w:sz w:val="20"/>
                <w:lang w:val="en-US" w:eastAsia="zh-CN"/>
              </w:rPr>
              <w:t>2024年法律援助工作经费</w:t>
            </w:r>
          </w:p>
        </w:tc>
      </w:tr>
      <w:tr>
        <w:tblPrEx>
          <w:tblCellMar>
            <w:top w:w="15" w:type="dxa"/>
            <w:left w:w="15" w:type="dxa"/>
            <w:bottom w:w="15" w:type="dxa"/>
            <w:right w:w="15" w:type="dxa"/>
          </w:tblCellMar>
        </w:tblPrEx>
        <w:trPr>
          <w:trHeight w:val="390" w:hRule="atLeast"/>
        </w:trPr>
        <w:tc>
          <w:tcPr>
            <w:tcW w:w="496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6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6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38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6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389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61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9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为经济困难公民和符合法定条件的其他当事人无偿提供法律咨询、代理、刑事辩护等法律服务，</w:t>
            </w:r>
          </w:p>
          <w:p>
            <w:pPr>
              <w:keepNext w:val="0"/>
              <w:keepLines w:val="0"/>
              <w:pageBreakBefore w:val="0"/>
              <w:kinsoku/>
              <w:wordWrap/>
              <w:overflowPunct/>
              <w:topLinePunct w:val="0"/>
              <w:autoSpaceDE/>
              <w:autoSpaceDN w:val="0"/>
              <w:bidi w:val="0"/>
              <w:adjustRightInd/>
              <w:snapToGrid/>
              <w:spacing w:line="240" w:lineRule="atLeast"/>
              <w:jc w:val="both"/>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并逐步实现刑事审判阶段律师辩护全覆盖目标提供经费保障。</w:t>
            </w:r>
          </w:p>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p>
          <w:p>
            <w:pPr>
              <w:keepNext w:val="0"/>
              <w:keepLines w:val="0"/>
              <w:pageBreakBefore w:val="0"/>
              <w:kinsoku/>
              <w:wordWrap/>
              <w:overflowPunct/>
              <w:topLinePunct w:val="0"/>
              <w:autoSpaceDE/>
              <w:autoSpaceDN w:val="0"/>
              <w:bidi w:val="0"/>
              <w:adjustRightInd/>
              <w:snapToGrid/>
              <w:spacing w:line="240" w:lineRule="atLeast"/>
              <w:jc w:val="both"/>
              <w:textAlignment w:val="center"/>
              <w:rPr>
                <w:rFonts w:hint="eastAsia" w:ascii="宋体" w:hAnsi="宋体" w:eastAsia="宋体" w:cs="宋体"/>
                <w:color w:val="000000"/>
                <w:sz w:val="20"/>
                <w:lang w:eastAsia="zh-CN"/>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1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1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其他援助案件的数量</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200</w:t>
            </w:r>
          </w:p>
        </w:tc>
      </w:tr>
      <w:tr>
        <w:tblPrEx>
          <w:tblCellMar>
            <w:top w:w="15" w:type="dxa"/>
            <w:left w:w="15" w:type="dxa"/>
            <w:bottom w:w="15" w:type="dxa"/>
            <w:right w:w="15" w:type="dxa"/>
          </w:tblCellMar>
        </w:tblPrEx>
        <w:trPr>
          <w:trHeight w:val="12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审查起诉阶段律师辩护全覆盖案件数量</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kern w:val="2"/>
                <w:sz w:val="20"/>
                <w:lang w:val="en-US" w:eastAsia="zh-CN" w:bidi="ar-SA"/>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215</w:t>
            </w:r>
          </w:p>
        </w:tc>
      </w:tr>
      <w:tr>
        <w:tblPrEx>
          <w:tblCellMar>
            <w:top w:w="15" w:type="dxa"/>
            <w:left w:w="15" w:type="dxa"/>
            <w:bottom w:w="15" w:type="dxa"/>
            <w:right w:w="15" w:type="dxa"/>
          </w:tblCellMar>
        </w:tblPrEx>
        <w:trPr>
          <w:trHeight w:val="30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其他援助案件完成率</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12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审查起诉阶段律师辩护全覆盖案件完成率</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kern w:val="2"/>
                <w:sz w:val="20"/>
                <w:lang w:val="en-US" w:eastAsia="zh-CN" w:bidi="ar-SA"/>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291"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其他援助案件成本</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500元/件</w:t>
            </w:r>
          </w:p>
        </w:tc>
      </w:tr>
      <w:tr>
        <w:tblPrEx>
          <w:tblCellMar>
            <w:top w:w="15" w:type="dxa"/>
            <w:left w:w="15" w:type="dxa"/>
            <w:bottom w:w="15" w:type="dxa"/>
            <w:right w:w="15" w:type="dxa"/>
          </w:tblCellMar>
        </w:tblPrEx>
        <w:trPr>
          <w:trHeight w:val="13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审查起诉阶段律师辩护全覆盖的案件成本</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val="en-US" w:eastAsia="zh-CN"/>
              </w:rPr>
              <w:t>=1200元/件</w:t>
            </w:r>
          </w:p>
        </w:tc>
      </w:tr>
      <w:tr>
        <w:tblPrEx>
          <w:tblCellMar>
            <w:top w:w="15" w:type="dxa"/>
            <w:left w:w="15" w:type="dxa"/>
            <w:bottom w:w="15" w:type="dxa"/>
            <w:right w:w="15" w:type="dxa"/>
          </w:tblCellMar>
        </w:tblPrEx>
        <w:trPr>
          <w:trHeight w:val="53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其他援助案件完成及时率</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168"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审查起诉阶段律师辩护全覆盖案件完成及时率</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kern w:val="2"/>
                <w:sz w:val="20"/>
                <w:lang w:val="en-US" w:eastAsia="zh-CN" w:bidi="ar-SA"/>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1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504"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其他援助案件的工作成效</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加大法律援助力度，从而提升执法规范水平</w:t>
            </w:r>
          </w:p>
        </w:tc>
      </w:tr>
      <w:tr>
        <w:tblPrEx>
          <w:tblCellMar>
            <w:top w:w="15" w:type="dxa"/>
            <w:left w:w="15" w:type="dxa"/>
            <w:bottom w:w="15" w:type="dxa"/>
            <w:right w:w="15" w:type="dxa"/>
          </w:tblCellMar>
        </w:tblPrEx>
        <w:trPr>
          <w:trHeight w:val="54"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审查起诉阶段律师辩护全覆盖案件的工作成效</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加大法律援助力度，从而提升执法规范水平</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22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299"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restart"/>
            <w:tcBorders>
              <w:top w:val="single" w:color="000000" w:sz="4" w:space="0"/>
              <w:left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22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sz w:val="20"/>
                <w:lang w:val="en-US" w:eastAsia="zh-CN"/>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106" w:hRule="atLeast"/>
        </w:trPr>
        <w:tc>
          <w:tcPr>
            <w:tcW w:w="1069"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131" w:type="dxa"/>
            <w:vMerge w:val="continue"/>
            <w:tcBorders>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sz w:val="20"/>
              </w:rPr>
            </w:pPr>
          </w:p>
        </w:tc>
        <w:tc>
          <w:tcPr>
            <w:tcW w:w="222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eastAsia" w:ascii="宋体" w:hAnsi="宋体" w:eastAsia="宋体" w:cs="宋体"/>
                <w:color w:val="000000"/>
                <w:kern w:val="2"/>
                <w:sz w:val="20"/>
                <w:lang w:val="en-US" w:eastAsia="zh-CN" w:bidi="ar-SA"/>
              </w:rPr>
            </w:pPr>
            <w:r>
              <w:rPr>
                <w:rFonts w:hint="eastAsia" w:ascii="宋体" w:hAnsi="宋体" w:eastAsia="宋体" w:cs="宋体"/>
                <w:color w:val="000000"/>
                <w:sz w:val="20"/>
                <w:lang w:eastAsia="zh-CN"/>
              </w:rPr>
              <w:t>律师满意度</w:t>
            </w:r>
          </w:p>
        </w:tc>
        <w:tc>
          <w:tcPr>
            <w:tcW w:w="2392"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autoSpaceDE/>
              <w:autoSpaceDN w:val="0"/>
              <w:bidi w:val="0"/>
              <w:adjustRightInd/>
              <w:snapToGrid/>
              <w:spacing w:line="240" w:lineRule="atLeast"/>
              <w:jc w:val="center"/>
              <w:textAlignment w:val="center"/>
              <w:rPr>
                <w:rFonts w:hint="default" w:ascii="宋体" w:hAnsi="宋体" w:eastAsia="宋体" w:cs="宋体"/>
                <w:color w:val="000000"/>
                <w:kern w:val="2"/>
                <w:sz w:val="20"/>
                <w:lang w:val="en-US" w:eastAsia="zh-CN" w:bidi="ar-SA"/>
              </w:rPr>
            </w:pPr>
            <w:r>
              <w:rPr>
                <w:rFonts w:hint="default" w:ascii="Arial" w:hAnsi="Arial" w:eastAsia="华文细黑" w:cs="Arial"/>
                <w:color w:val="000000"/>
                <w:sz w:val="20"/>
              </w:rPr>
              <w:t>≥</w:t>
            </w:r>
            <w:r>
              <w:rPr>
                <w:rFonts w:hint="eastAsia" w:ascii="宋体" w:hAnsi="宋体" w:eastAsia="宋体" w:cs="宋体"/>
                <w:color w:val="000000"/>
                <w:sz w:val="20"/>
                <w:lang w:val="en-US" w:eastAsia="zh-CN"/>
              </w:rPr>
              <w:t>98%</w:t>
            </w:r>
          </w:p>
        </w:tc>
      </w:tr>
    </w:tbl>
    <w:p>
      <w:pPr>
        <w:keepNext w:val="0"/>
        <w:keepLines w:val="0"/>
        <w:pageBreakBefore w:val="0"/>
        <w:kinsoku/>
        <w:wordWrap/>
        <w:overflowPunct/>
        <w:topLinePunct w:val="0"/>
        <w:autoSpaceDE/>
        <w:bidi w:val="0"/>
        <w:adjustRightInd/>
        <w:snapToGrid/>
        <w:spacing w:line="240" w:lineRule="atLeast"/>
        <w:rPr>
          <w:rFonts w:hint="eastAsia" w:ascii="楷体" w:hAnsi="楷体" w:eastAsia="楷体" w:cs="楷体"/>
          <w:kern w:val="0"/>
          <w:sz w:val="24"/>
          <w:szCs w:val="24"/>
        </w:rPr>
      </w:pPr>
    </w:p>
    <w:p>
      <w:pPr>
        <w:keepNext w:val="0"/>
        <w:keepLines w:val="0"/>
        <w:pageBreakBefore w:val="0"/>
        <w:kinsoku/>
        <w:wordWrap/>
        <w:overflowPunct/>
        <w:topLinePunct w:val="0"/>
        <w:autoSpaceDE/>
        <w:bidi w:val="0"/>
        <w:adjustRightInd/>
        <w:snapToGrid/>
        <w:spacing w:line="240" w:lineRule="atLeas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u w:val="single"/>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按照综合预算的原则，所有收入和支出全部纳入部门预算管理。收入包括：一般公共预算拨款收入、上年结转结余等；支出包括：</w:t>
      </w:r>
      <w:r>
        <w:rPr>
          <w:rFonts w:hint="eastAsia" w:ascii="仿宋_GB2312" w:hAnsi="仿宋_GB2312" w:cs="仿宋_GB2312"/>
          <w:szCs w:val="32"/>
          <w:lang w:eastAsia="zh-CN"/>
        </w:rPr>
        <w:t>公共安全支出</w:t>
      </w:r>
      <w:r>
        <w:rPr>
          <w:rFonts w:hint="eastAsia" w:ascii="仿宋_GB2312" w:hAnsi="仿宋_GB2312" w:eastAsia="仿宋_GB2312" w:cs="仿宋_GB2312"/>
          <w:szCs w:val="32"/>
        </w:rPr>
        <w:t>、社会保障和就业支出、</w:t>
      </w: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b w:val="0"/>
          <w:bCs w:val="0"/>
          <w:szCs w:val="32"/>
          <w:u w:val="single"/>
          <w:lang w:val="en-US" w:eastAsia="zh-CN"/>
        </w:rPr>
        <w:t>53.34</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u w:val="single"/>
          <w:lang w:val="en-US" w:eastAsia="zh-CN"/>
        </w:rPr>
        <w:t>3.01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eastAsia="zh-CN"/>
        </w:rPr>
        <w:t>人员工资上涨，社保缴费比例提高。</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53.34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u w:val="none"/>
          <w:lang w:val="en-US" w:eastAsia="zh-CN"/>
        </w:rPr>
        <w:t xml:space="preserve"> </w:t>
      </w:r>
      <w:r>
        <w:rPr>
          <w:rFonts w:hint="eastAsia" w:ascii="仿宋_GB2312" w:hAnsi="仿宋_GB2312" w:eastAsia="仿宋_GB2312" w:cs="仿宋_GB2312"/>
          <w:szCs w:val="32"/>
          <w:u w:val="none"/>
        </w:rPr>
        <w:t>%。</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rPr>
        <w:t>万元，</w:t>
      </w:r>
      <w:r>
        <w:rPr>
          <w:rFonts w:hint="eastAsia" w:ascii="仿宋_GB2312" w:hAnsi="仿宋_GB2312" w:cs="仿宋_GB2312"/>
          <w:szCs w:val="32"/>
          <w:lang w:eastAsia="zh-CN"/>
        </w:rPr>
        <w:t>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i w:val="0"/>
          <w:iCs w:val="0"/>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元，占</w:t>
      </w:r>
      <w:r>
        <w:rPr>
          <w:rFonts w:hint="eastAsia" w:ascii="仿宋_GB2312" w:hAnsi="仿宋_GB2312" w:cs="仿宋_GB2312"/>
          <w:szCs w:val="32"/>
          <w:u w:val="single"/>
          <w:lang w:val="en-US" w:eastAsia="zh-CN"/>
        </w:rPr>
        <w:t xml:space="preserve">0 </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 xml:space="preserve">0 </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 xml:space="preserve">0 </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42.34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79</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21</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53.3</w:t>
      </w:r>
      <w:r>
        <w:rPr>
          <w:rFonts w:hint="eastAsia" w:ascii="仿宋_GB2312" w:hAnsi="仿宋_GB2312" w:cs="仿宋_GB2312"/>
          <w:szCs w:val="32"/>
          <w:lang w:val="en-US" w:eastAsia="zh-CN"/>
        </w:rPr>
        <w:t>4</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42.75</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5.57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3.24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53.34</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42.34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11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21</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39.46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93.20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6.8</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公共安全（类）支出</w:t>
      </w:r>
      <w:r>
        <w:rPr>
          <w:rFonts w:hint="eastAsia" w:ascii="仿宋_GB2312" w:hAnsi="仿宋_GB2312" w:cs="仿宋_GB2312"/>
          <w:szCs w:val="32"/>
          <w:u w:val="single"/>
          <w:lang w:val="en-US" w:eastAsia="zh-CN"/>
        </w:rPr>
        <w:t>42.75</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80.15</w:t>
      </w:r>
      <w:r>
        <w:rPr>
          <w:rFonts w:hint="eastAsia" w:ascii="仿宋_GB2312" w:hAnsi="仿宋_GB2312" w:cs="仿宋_GB2312"/>
          <w:szCs w:val="32"/>
          <w:lang w:val="en-US" w:eastAsia="zh-CN"/>
        </w:rPr>
        <w:t xml:space="preserve"> %，主要</w:t>
      </w:r>
      <w:r>
        <w:rPr>
          <w:rFonts w:hint="eastAsia" w:ascii="仿宋_GB2312" w:hAnsi="仿宋_GB2312" w:cs="仿宋_GB2312"/>
          <w:szCs w:val="32"/>
          <w:u w:val="single"/>
          <w:lang w:val="en-US" w:eastAsia="zh-CN"/>
        </w:rPr>
        <w:t>用于人员工资、公用经费和二级项目方面的支出。</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5.57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10.44</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职工养老保险、职业年金和失业保险的缴纳</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w:t>
      </w:r>
    </w:p>
    <w:p>
      <w:pPr>
        <w:spacing w:line="520" w:lineRule="exact"/>
        <w:ind w:firstLine="518" w:firstLineChars="162"/>
        <w:rPr>
          <w:rFonts w:hint="eastAsia" w:ascii="仿宋_GB2312" w:hAnsi="仿宋_GB2312" w:eastAsia="仿宋_GB2312" w:cs="仿宋_GB2312"/>
          <w:szCs w:val="32"/>
          <w:u w:val="single"/>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3.24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6.07</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%，主要</w:t>
      </w:r>
      <w:r>
        <w:rPr>
          <w:rFonts w:hint="eastAsia" w:ascii="仿宋_GB2312" w:hAnsi="仿宋_GB2312" w:eastAsia="仿宋_GB2312" w:cs="仿宋_GB2312"/>
          <w:szCs w:val="32"/>
          <w:u w:val="single"/>
        </w:rPr>
        <w:t>用于</w:t>
      </w:r>
      <w:r>
        <w:rPr>
          <w:rFonts w:hint="eastAsia" w:ascii="仿宋_GB2312" w:hAnsi="仿宋_GB2312" w:cs="仿宋_GB2312"/>
          <w:szCs w:val="32"/>
          <w:u w:val="single"/>
          <w:lang w:eastAsia="zh-CN"/>
        </w:rPr>
        <w:t>职工住房公积金的缴纳</w:t>
      </w:r>
      <w:r>
        <w:rPr>
          <w:rFonts w:hint="eastAsia" w:ascii="仿宋_GB2312" w:hAnsi="仿宋_GB2312" w:eastAsia="仿宋_GB2312" w:cs="仿宋_GB2312"/>
          <w:szCs w:val="32"/>
          <w:u w:val="single"/>
        </w:rPr>
        <w:t>。</w:t>
      </w:r>
    </w:p>
    <w:p>
      <w:pPr>
        <w:spacing w:line="520" w:lineRule="exact"/>
        <w:ind w:firstLine="518" w:firstLineChars="162"/>
        <w:rPr>
          <w:rFonts w:hint="default" w:ascii="仿宋_GB2312" w:hAnsi="仿宋_GB2312" w:eastAsia="仿宋_GB2312" w:cs="仿宋_GB2312"/>
          <w:szCs w:val="32"/>
          <w:u w:val="single"/>
          <w:lang w:val="en-US" w:eastAsia="zh-CN"/>
        </w:rPr>
      </w:pPr>
      <w:r>
        <w:rPr>
          <w:rFonts w:hint="eastAsia" w:ascii="仿宋_GB2312" w:hAnsi="仿宋_GB2312" w:cs="仿宋_GB2312"/>
          <w:szCs w:val="32"/>
          <w:lang w:eastAsia="zh-CN"/>
        </w:rPr>
        <w:t>卫生健康（类）支出</w:t>
      </w:r>
      <w:r>
        <w:rPr>
          <w:rFonts w:hint="eastAsia" w:ascii="仿宋_GB2312" w:hAnsi="仿宋_GB2312" w:cs="仿宋_GB2312"/>
          <w:szCs w:val="32"/>
          <w:u w:val="single"/>
          <w:lang w:val="en-US" w:eastAsia="zh-CN"/>
        </w:rPr>
        <w:t>1.78</w:t>
      </w:r>
      <w:r>
        <w:rPr>
          <w:rFonts w:hint="eastAsia" w:ascii="仿宋_GB2312" w:hAnsi="仿宋_GB2312" w:cs="仿宋_GB2312"/>
          <w:szCs w:val="32"/>
          <w:lang w:val="en-US" w:eastAsia="zh-CN"/>
        </w:rPr>
        <w:t>万元，占</w:t>
      </w:r>
      <w:r>
        <w:rPr>
          <w:rFonts w:hint="eastAsia" w:ascii="仿宋_GB2312" w:hAnsi="仿宋_GB2312" w:cs="仿宋_GB2312"/>
          <w:szCs w:val="32"/>
          <w:u w:val="single"/>
          <w:lang w:val="en-US" w:eastAsia="zh-CN"/>
        </w:rPr>
        <w:t>3.34</w:t>
      </w:r>
      <w:r>
        <w:rPr>
          <w:rFonts w:hint="eastAsia" w:ascii="仿宋_GB2312" w:hAnsi="仿宋_GB2312" w:cs="仿宋_GB2312"/>
          <w:szCs w:val="32"/>
          <w:lang w:val="en-US" w:eastAsia="zh-CN"/>
        </w:rPr>
        <w:t xml:space="preserve"> %，主要用于</w:t>
      </w:r>
      <w:r>
        <w:rPr>
          <w:rFonts w:hint="eastAsia" w:ascii="仿宋_GB2312" w:hAnsi="仿宋_GB2312" w:cs="仿宋_GB2312"/>
          <w:szCs w:val="32"/>
          <w:u w:val="single"/>
          <w:lang w:val="en-US" w:eastAsia="zh-CN"/>
        </w:rPr>
        <w:t>职工医疗保险和工伤保险的缴纳。</w:t>
      </w: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p>
    <w:p>
      <w:pPr>
        <w:spacing w:line="520" w:lineRule="exact"/>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42.34</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39.46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eastAsia="zh-CN"/>
        </w:rPr>
        <w:t>医疗保险缴费、</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rFonts w:hint="default" w:eastAsia="仿宋_GB2312"/>
          <w:szCs w:val="32"/>
          <w:lang w:val="en-US" w:eastAsia="zh-CN"/>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2.88</w:t>
      </w:r>
      <w:bookmarkStart w:id="0" w:name="_GoBack"/>
      <w:bookmarkEnd w:id="0"/>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kern w:val="0"/>
          <w:szCs w:val="32"/>
          <w:lang w:eastAsia="zh-CN"/>
        </w:rPr>
        <w:t>咨询费</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lang w:eastAsia="zh-CN"/>
        </w:rPr>
        <w:t>、办公设备购置。</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0.73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减少</w:t>
      </w:r>
      <w:r>
        <w:rPr>
          <w:rFonts w:hint="eastAsia" w:ascii="仿宋_GB2312" w:hAnsi="仿宋_GB2312" w:cs="仿宋_GB2312"/>
          <w:szCs w:val="32"/>
          <w:u w:val="single"/>
          <w:lang w:val="en-US" w:eastAsia="zh-CN"/>
        </w:rPr>
        <w:t>0.73</w:t>
      </w:r>
      <w:r>
        <w:rPr>
          <w:rFonts w:hint="eastAsia" w:ascii="仿宋_GB2312" w:hAnsi="仿宋_GB2312" w:eastAsia="仿宋_GB2312" w:cs="仿宋_GB2312"/>
          <w:szCs w:val="32"/>
        </w:rPr>
        <w:t>万元。</w:t>
      </w:r>
    </w:p>
    <w:p>
      <w:pPr>
        <w:ind w:firstLine="640" w:firstLineChars="200"/>
        <w:rPr>
          <w:rFonts w:hint="eastAsia" w:ascii="仿宋_GB2312" w:hAnsi="仿宋_GB2312" w:cs="仿宋_GB2312"/>
          <w:szCs w:val="32"/>
          <w:u w:val="single"/>
          <w:lang w:eastAsia="zh-CN"/>
        </w:rPr>
      </w:pPr>
      <w:r>
        <w:rPr>
          <w:rFonts w:hint="eastAsia" w:ascii="仿宋_GB2312" w:hAnsi="仿宋_GB2312" w:eastAsia="仿宋_GB2312" w:cs="仿宋_GB2312"/>
          <w:szCs w:val="32"/>
        </w:rPr>
        <w:t>公务用车运行维护费</w:t>
      </w:r>
      <w:r>
        <w:rPr>
          <w:rFonts w:hint="eastAsia" w:ascii="仿宋_GB2312" w:hAnsi="仿宋_GB2312" w:cs="仿宋_GB2312"/>
          <w:szCs w:val="32"/>
          <w:u w:val="single"/>
          <w:lang w:val="en-US" w:eastAsia="zh-CN"/>
        </w:rPr>
        <w:t>0.1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年预算数减少</w:t>
      </w:r>
      <w:r>
        <w:rPr>
          <w:rFonts w:hint="eastAsia" w:ascii="仿宋_GB2312" w:hAnsi="仿宋_GB2312" w:cs="仿宋_GB2312"/>
          <w:szCs w:val="32"/>
          <w:lang w:val="en-US" w:eastAsia="zh-CN"/>
        </w:rPr>
        <w:t>0.73万元，</w:t>
      </w:r>
      <w:r>
        <w:rPr>
          <w:rFonts w:hint="eastAsia" w:ascii="仿宋_GB2312" w:hAnsi="仿宋_GB2312" w:eastAsia="仿宋_GB2312" w:cs="仿宋_GB2312"/>
          <w:szCs w:val="32"/>
        </w:rPr>
        <w:t>主要原因是</w:t>
      </w:r>
      <w:r>
        <w:rPr>
          <w:rFonts w:hint="eastAsia" w:ascii="仿宋_GB2312" w:hAnsi="仿宋_GB2312" w:cs="仿宋_GB2312"/>
          <w:szCs w:val="32"/>
          <w:u w:val="single"/>
          <w:lang w:eastAsia="zh-CN"/>
        </w:rPr>
        <w:t>公务用车接近报废，不知是否能正常运行。</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p>
    <w:p>
      <w:pPr>
        <w:ind w:firstLine="640" w:firstLineChars="200"/>
        <w:rPr>
          <w:rFonts w:hint="eastAsia" w:ascii="仿宋_GB2312" w:hAnsi="仿宋_GB2312" w:eastAsia="仿宋_GB2312" w:cs="仿宋_GB2312"/>
          <w:szCs w:val="32"/>
          <w:lang w:eastAsia="zh-CN"/>
        </w:rPr>
      </w:pP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960" w:firstLineChars="300"/>
        <w:rPr>
          <w:szCs w:val="32"/>
        </w:rPr>
      </w:pPr>
      <w:r>
        <w:rPr>
          <w:rFonts w:hint="eastAsia" w:ascii="仿宋_GB2312" w:hAnsi="仿宋_GB2312" w:cs="仿宋_GB2312"/>
          <w:szCs w:val="32"/>
          <w:lang w:eastAsia="zh-CN"/>
        </w:rPr>
        <w:t>本部门无政府性基金预算拨款。</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szCs w:val="32"/>
        </w:rPr>
      </w:pPr>
      <w:r>
        <w:rPr>
          <w:rFonts w:hint="eastAsia" w:ascii="仿宋_GB2312" w:hAnsi="仿宋_GB2312" w:cs="仿宋_GB2312"/>
          <w:szCs w:val="32"/>
          <w:highlight w:val="none"/>
          <w:lang w:eastAsia="zh-CN"/>
        </w:rPr>
        <w:t>本部门无国有资本经营预算拨款。</w:t>
      </w: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本单位为事业单位，没有机关运行经费支出。</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cs="仿宋_GB2312"/>
          <w:szCs w:val="32"/>
          <w:lang w:eastAsia="zh-CN"/>
        </w:rPr>
      </w:pPr>
      <w:r>
        <w:rPr>
          <w:rFonts w:hint="eastAsia" w:ascii="仿宋_GB2312" w:hAnsi="仿宋_GB2312" w:cs="仿宋_GB2312"/>
          <w:szCs w:val="32"/>
          <w:lang w:eastAsia="zh-CN"/>
        </w:rPr>
        <w:t>本单位无政府采购支出。</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2</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11</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eastAsia="zh-CN"/>
        </w:rPr>
        <w:t>一</w:t>
      </w:r>
      <w:r>
        <w:rPr>
          <w:rFonts w:hint="eastAsia" w:ascii="仿宋_GB2312" w:hAnsi="仿宋_GB2312" w:eastAsia="仿宋_GB2312" w:cs="仿宋_GB2312"/>
          <w:szCs w:val="32"/>
          <w:highlight w:val="none"/>
        </w:rPr>
        <w:t>级项目</w:t>
      </w:r>
      <w:r>
        <w:rPr>
          <w:rFonts w:hint="eastAsia" w:ascii="仿宋_GB2312" w:hAnsi="仿宋_GB2312" w:cs="仿宋_GB2312"/>
          <w:szCs w:val="32"/>
          <w:highlight w:val="none"/>
          <w:lang w:eastAsia="zh-CN"/>
        </w:rPr>
        <w:t>无</w:t>
      </w:r>
      <w:r>
        <w:rPr>
          <w:rFonts w:hint="eastAsia" w:ascii="仿宋_GB2312" w:hAnsi="仿宋_GB2312" w:eastAsia="仿宋_GB2312" w:cs="仿宋_GB2312"/>
          <w:szCs w:val="32"/>
          <w:highlight w:val="none"/>
        </w:rPr>
        <w:t>，二级项目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11</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11</w:t>
      </w:r>
      <w:r>
        <w:rPr>
          <w:rFonts w:hint="eastAsia" w:ascii="仿宋_GB2312" w:hAnsi="仿宋_GB2312" w:eastAsia="仿宋_GB2312" w:cs="仿宋_GB2312"/>
        </w:rPr>
        <w:t>万元。</w:t>
      </w:r>
    </w:p>
    <w:p>
      <w:pPr>
        <w:spacing w:line="540" w:lineRule="exact"/>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1928"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mYzhiYjhhMzZiYTZlYjNlNjczMjY4MjM5ZjBmN2QifQ=="/>
    <w:docVar w:name="KSO_WPS_MARK_KEY" w:val="5b1e02d7-d511-47ff-a7b7-d53bc58d0f75"/>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133A0"/>
    <w:rsid w:val="04954460"/>
    <w:rsid w:val="04F026C1"/>
    <w:rsid w:val="050D06DA"/>
    <w:rsid w:val="050F3BA7"/>
    <w:rsid w:val="051009DE"/>
    <w:rsid w:val="05513E94"/>
    <w:rsid w:val="056F5A6D"/>
    <w:rsid w:val="059B3770"/>
    <w:rsid w:val="063949A0"/>
    <w:rsid w:val="067960C1"/>
    <w:rsid w:val="06BD5BC7"/>
    <w:rsid w:val="07D21289"/>
    <w:rsid w:val="07EB4651"/>
    <w:rsid w:val="07F544B0"/>
    <w:rsid w:val="09A0082A"/>
    <w:rsid w:val="09EC284E"/>
    <w:rsid w:val="0A334D52"/>
    <w:rsid w:val="0ABA06FE"/>
    <w:rsid w:val="0B5F5ADA"/>
    <w:rsid w:val="0B710869"/>
    <w:rsid w:val="0B920B17"/>
    <w:rsid w:val="0C2A5C84"/>
    <w:rsid w:val="0CED6E88"/>
    <w:rsid w:val="0D9378B6"/>
    <w:rsid w:val="0DA001B0"/>
    <w:rsid w:val="0DB6446C"/>
    <w:rsid w:val="0DEB170B"/>
    <w:rsid w:val="0E334F52"/>
    <w:rsid w:val="0E4C7841"/>
    <w:rsid w:val="0EC747C8"/>
    <w:rsid w:val="0F3E0406"/>
    <w:rsid w:val="0F621C35"/>
    <w:rsid w:val="0F8B592F"/>
    <w:rsid w:val="0FD62F63"/>
    <w:rsid w:val="107728C7"/>
    <w:rsid w:val="10AE7F82"/>
    <w:rsid w:val="10C93B35"/>
    <w:rsid w:val="10F30DA3"/>
    <w:rsid w:val="11177619"/>
    <w:rsid w:val="112605C8"/>
    <w:rsid w:val="12E711B7"/>
    <w:rsid w:val="136D62BD"/>
    <w:rsid w:val="13763B6A"/>
    <w:rsid w:val="13F21722"/>
    <w:rsid w:val="14101E09"/>
    <w:rsid w:val="1441443C"/>
    <w:rsid w:val="14C12787"/>
    <w:rsid w:val="150673BE"/>
    <w:rsid w:val="15593E10"/>
    <w:rsid w:val="159F7E25"/>
    <w:rsid w:val="15F848D0"/>
    <w:rsid w:val="160E1FA5"/>
    <w:rsid w:val="160F2600"/>
    <w:rsid w:val="17765BCA"/>
    <w:rsid w:val="17A027D8"/>
    <w:rsid w:val="1A817DF8"/>
    <w:rsid w:val="1ADC594E"/>
    <w:rsid w:val="1AEB5252"/>
    <w:rsid w:val="1B4576E5"/>
    <w:rsid w:val="1B572C5C"/>
    <w:rsid w:val="1B731932"/>
    <w:rsid w:val="1C571329"/>
    <w:rsid w:val="1C852172"/>
    <w:rsid w:val="1CA40C0C"/>
    <w:rsid w:val="1CFF4A32"/>
    <w:rsid w:val="1D833200"/>
    <w:rsid w:val="1E2D59A2"/>
    <w:rsid w:val="1E3A3FD0"/>
    <w:rsid w:val="1EB55C07"/>
    <w:rsid w:val="1F351A10"/>
    <w:rsid w:val="1FE97F67"/>
    <w:rsid w:val="1FED47E9"/>
    <w:rsid w:val="206816AC"/>
    <w:rsid w:val="211D1CDC"/>
    <w:rsid w:val="22A4003E"/>
    <w:rsid w:val="23984063"/>
    <w:rsid w:val="23CE11F0"/>
    <w:rsid w:val="23E4487A"/>
    <w:rsid w:val="23EC61F6"/>
    <w:rsid w:val="24213063"/>
    <w:rsid w:val="244C543C"/>
    <w:rsid w:val="245E7C4E"/>
    <w:rsid w:val="24624768"/>
    <w:rsid w:val="2539376C"/>
    <w:rsid w:val="254C6FAD"/>
    <w:rsid w:val="259B5BC5"/>
    <w:rsid w:val="25C7462E"/>
    <w:rsid w:val="25F62C4E"/>
    <w:rsid w:val="26643D6C"/>
    <w:rsid w:val="26FE109D"/>
    <w:rsid w:val="27073E1E"/>
    <w:rsid w:val="27B04AB3"/>
    <w:rsid w:val="28A63332"/>
    <w:rsid w:val="29C45F24"/>
    <w:rsid w:val="2A376D63"/>
    <w:rsid w:val="2C796767"/>
    <w:rsid w:val="2DF8796C"/>
    <w:rsid w:val="2EB22F18"/>
    <w:rsid w:val="2ED672CD"/>
    <w:rsid w:val="2EE12108"/>
    <w:rsid w:val="2EED35E3"/>
    <w:rsid w:val="2F250383"/>
    <w:rsid w:val="2F63610B"/>
    <w:rsid w:val="300965A3"/>
    <w:rsid w:val="3035229B"/>
    <w:rsid w:val="30701C0E"/>
    <w:rsid w:val="30730D6E"/>
    <w:rsid w:val="30B91A70"/>
    <w:rsid w:val="32B37F2E"/>
    <w:rsid w:val="32CF2C5D"/>
    <w:rsid w:val="335402B5"/>
    <w:rsid w:val="339466B2"/>
    <w:rsid w:val="34555AF5"/>
    <w:rsid w:val="35616772"/>
    <w:rsid w:val="35EA1663"/>
    <w:rsid w:val="364C598E"/>
    <w:rsid w:val="36CC2B0F"/>
    <w:rsid w:val="371A614D"/>
    <w:rsid w:val="3838492F"/>
    <w:rsid w:val="387258D7"/>
    <w:rsid w:val="3887374F"/>
    <w:rsid w:val="38AF6637"/>
    <w:rsid w:val="39041A07"/>
    <w:rsid w:val="39043B77"/>
    <w:rsid w:val="392A6663"/>
    <w:rsid w:val="393F0DCD"/>
    <w:rsid w:val="39670895"/>
    <w:rsid w:val="3A137505"/>
    <w:rsid w:val="3A657F9A"/>
    <w:rsid w:val="3A9113D4"/>
    <w:rsid w:val="3AC54F32"/>
    <w:rsid w:val="3ACE4DA8"/>
    <w:rsid w:val="3AFD61EB"/>
    <w:rsid w:val="3B144A0A"/>
    <w:rsid w:val="3B1B2A0D"/>
    <w:rsid w:val="3B7C071F"/>
    <w:rsid w:val="3BC92948"/>
    <w:rsid w:val="3BE370D4"/>
    <w:rsid w:val="3C29381E"/>
    <w:rsid w:val="3C711E1D"/>
    <w:rsid w:val="3C7249B6"/>
    <w:rsid w:val="3C7F463D"/>
    <w:rsid w:val="3CAE3960"/>
    <w:rsid w:val="3D07591F"/>
    <w:rsid w:val="3D365BF6"/>
    <w:rsid w:val="3DF23324"/>
    <w:rsid w:val="3EA14040"/>
    <w:rsid w:val="3EE8108D"/>
    <w:rsid w:val="405745EF"/>
    <w:rsid w:val="405F5204"/>
    <w:rsid w:val="40B80EFF"/>
    <w:rsid w:val="41A35364"/>
    <w:rsid w:val="41B132F0"/>
    <w:rsid w:val="41C31686"/>
    <w:rsid w:val="42982B4E"/>
    <w:rsid w:val="43512965"/>
    <w:rsid w:val="436B1E42"/>
    <w:rsid w:val="43993170"/>
    <w:rsid w:val="44054362"/>
    <w:rsid w:val="449C5E6A"/>
    <w:rsid w:val="456D114B"/>
    <w:rsid w:val="45A75D69"/>
    <w:rsid w:val="45EB670F"/>
    <w:rsid w:val="46AB7C0D"/>
    <w:rsid w:val="46D44808"/>
    <w:rsid w:val="47CF49E6"/>
    <w:rsid w:val="4843587B"/>
    <w:rsid w:val="48674ED2"/>
    <w:rsid w:val="487708E6"/>
    <w:rsid w:val="49645F71"/>
    <w:rsid w:val="499F5C68"/>
    <w:rsid w:val="4A85523E"/>
    <w:rsid w:val="4AF16062"/>
    <w:rsid w:val="4B646DDD"/>
    <w:rsid w:val="4B7F44F8"/>
    <w:rsid w:val="4B851830"/>
    <w:rsid w:val="4BAC24C5"/>
    <w:rsid w:val="4BFA0656"/>
    <w:rsid w:val="4C5567C9"/>
    <w:rsid w:val="4D730507"/>
    <w:rsid w:val="4D741DD3"/>
    <w:rsid w:val="4DC93207"/>
    <w:rsid w:val="4E2A22FD"/>
    <w:rsid w:val="4E8D5761"/>
    <w:rsid w:val="4EF54A85"/>
    <w:rsid w:val="4F4032D9"/>
    <w:rsid w:val="4F6F75D9"/>
    <w:rsid w:val="501B3C66"/>
    <w:rsid w:val="504B40C5"/>
    <w:rsid w:val="50987DC2"/>
    <w:rsid w:val="50A4703E"/>
    <w:rsid w:val="5136104F"/>
    <w:rsid w:val="51746229"/>
    <w:rsid w:val="51CB646C"/>
    <w:rsid w:val="51E55C99"/>
    <w:rsid w:val="52071113"/>
    <w:rsid w:val="52447C09"/>
    <w:rsid w:val="525A440D"/>
    <w:rsid w:val="53824799"/>
    <w:rsid w:val="54741940"/>
    <w:rsid w:val="54810E66"/>
    <w:rsid w:val="54C2556E"/>
    <w:rsid w:val="55480EEF"/>
    <w:rsid w:val="56570E30"/>
    <w:rsid w:val="57AE5C26"/>
    <w:rsid w:val="57DD75A9"/>
    <w:rsid w:val="581F1A3E"/>
    <w:rsid w:val="58256ABD"/>
    <w:rsid w:val="58503AAC"/>
    <w:rsid w:val="591F1CA5"/>
    <w:rsid w:val="59472AC7"/>
    <w:rsid w:val="59BD150F"/>
    <w:rsid w:val="59DD570D"/>
    <w:rsid w:val="59FF5EDC"/>
    <w:rsid w:val="5A084708"/>
    <w:rsid w:val="5AB343F7"/>
    <w:rsid w:val="5ABF50F2"/>
    <w:rsid w:val="5AF76904"/>
    <w:rsid w:val="5B052E7A"/>
    <w:rsid w:val="5B3D7F7E"/>
    <w:rsid w:val="5B7C7777"/>
    <w:rsid w:val="5B9462A0"/>
    <w:rsid w:val="5B9C083A"/>
    <w:rsid w:val="5BEC6771"/>
    <w:rsid w:val="5CA506B9"/>
    <w:rsid w:val="5CFD5FB2"/>
    <w:rsid w:val="5D2B52D8"/>
    <w:rsid w:val="5D5A7C63"/>
    <w:rsid w:val="5D8C4A1C"/>
    <w:rsid w:val="5E256F6F"/>
    <w:rsid w:val="5F0A0A43"/>
    <w:rsid w:val="5F6235A9"/>
    <w:rsid w:val="5F6B3AC8"/>
    <w:rsid w:val="614125C2"/>
    <w:rsid w:val="624C5C52"/>
    <w:rsid w:val="63952BB5"/>
    <w:rsid w:val="639E7C5C"/>
    <w:rsid w:val="63DF08E4"/>
    <w:rsid w:val="64127E15"/>
    <w:rsid w:val="64872047"/>
    <w:rsid w:val="64C04AFD"/>
    <w:rsid w:val="65C86315"/>
    <w:rsid w:val="661A7B69"/>
    <w:rsid w:val="664909C1"/>
    <w:rsid w:val="6682065E"/>
    <w:rsid w:val="66C63EB5"/>
    <w:rsid w:val="67492728"/>
    <w:rsid w:val="677772D0"/>
    <w:rsid w:val="679461D3"/>
    <w:rsid w:val="6858287E"/>
    <w:rsid w:val="69157114"/>
    <w:rsid w:val="691A443E"/>
    <w:rsid w:val="6A80735F"/>
    <w:rsid w:val="6ACC5E47"/>
    <w:rsid w:val="6AD43ED1"/>
    <w:rsid w:val="6B11024D"/>
    <w:rsid w:val="6B7D5B36"/>
    <w:rsid w:val="6CF120A8"/>
    <w:rsid w:val="6F496354"/>
    <w:rsid w:val="70BA6CF7"/>
    <w:rsid w:val="714213DD"/>
    <w:rsid w:val="717F272E"/>
    <w:rsid w:val="728027C6"/>
    <w:rsid w:val="72A4370C"/>
    <w:rsid w:val="72D54D7C"/>
    <w:rsid w:val="72E91333"/>
    <w:rsid w:val="737664E0"/>
    <w:rsid w:val="73FE7ACC"/>
    <w:rsid w:val="74053F35"/>
    <w:rsid w:val="74556746"/>
    <w:rsid w:val="74AB7A24"/>
    <w:rsid w:val="75ED6880"/>
    <w:rsid w:val="76A21717"/>
    <w:rsid w:val="76BB79B1"/>
    <w:rsid w:val="76C17E06"/>
    <w:rsid w:val="76CA67BD"/>
    <w:rsid w:val="774E6400"/>
    <w:rsid w:val="775B0046"/>
    <w:rsid w:val="78002EF6"/>
    <w:rsid w:val="78796248"/>
    <w:rsid w:val="79700BEF"/>
    <w:rsid w:val="79B02856"/>
    <w:rsid w:val="79F85634"/>
    <w:rsid w:val="7A090695"/>
    <w:rsid w:val="7AE175F4"/>
    <w:rsid w:val="7B417685"/>
    <w:rsid w:val="7B5220F0"/>
    <w:rsid w:val="7BA169C0"/>
    <w:rsid w:val="7BE95D3C"/>
    <w:rsid w:val="7CAD3BF2"/>
    <w:rsid w:val="7CAD595B"/>
    <w:rsid w:val="7CF65D07"/>
    <w:rsid w:val="7D2975D1"/>
    <w:rsid w:val="7DCC0CD6"/>
    <w:rsid w:val="7E4A24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styleId="8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7102</Words>
  <Characters>8019</Characters>
  <Lines>71</Lines>
  <Paragraphs>20</Paragraphs>
  <TotalTime>14</TotalTime>
  <ScaleCrop>false</ScaleCrop>
  <LinksUpToDate>false</LinksUpToDate>
  <CharactersWithSpaces>8557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心窗</cp:lastModifiedBy>
  <cp:lastPrinted>2024-01-27T12:55:00Z</cp:lastPrinted>
  <dcterms:modified xsi:type="dcterms:W3CDTF">2024-01-29T13:51:53Z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commondata">
    <vt:lpwstr>eyJoZGlkIjoiZWM5MjE1YWFmYzZkMzU5ZGRkN2NlNjYxOGIzMjAyOWQifQ==</vt:lpwstr>
  </property>
  <property fmtid="{D5CDD505-2E9C-101B-9397-08002B2CF9AE}" pid="4" name="ICV">
    <vt:lpwstr>530CB042B6984288BBC8D3A08633B4DD_13</vt:lpwstr>
  </property>
</Properties>
</file>