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通榆县司法局</w:t>
      </w:r>
      <w:r>
        <w:rPr>
          <w:rFonts w:hint="eastAsia" w:eastAsia="方正小标宋简体"/>
          <w:sz w:val="44"/>
          <w:szCs w:val="44"/>
          <w:u w:val="single"/>
          <w:lang w:val="en-US" w:eastAsia="zh-CN"/>
        </w:rPr>
        <w:t>(本级)</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eastAsia="楷体_GB2312"/>
        </w:rPr>
      </w:pPr>
      <w:r>
        <w:rPr>
          <w:rFonts w:eastAsia="楷体_GB2312"/>
        </w:rPr>
        <w:t>一、主要职能</w:t>
      </w:r>
    </w:p>
    <w:p>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rPr>
          <w:rFonts w:hint="eastAsia" w:ascii="仿宋_GB2312" w:hAnsi="仿宋" w:eastAsia="仿宋_GB2312"/>
          <w:sz w:val="32"/>
          <w:szCs w:val="32"/>
        </w:rPr>
      </w:pPr>
      <w:r>
        <w:rPr>
          <w:rFonts w:hint="eastAsia" w:ascii="仿宋_GB2312" w:hAnsi="仿宋" w:eastAsia="仿宋_GB2312"/>
          <w:sz w:val="32"/>
          <w:szCs w:val="32"/>
        </w:rPr>
        <w:t>（一）提出全面依法治县中长期规划建议，承担全面依法治县重大问题的政策研究，负责有关重大决策部署督察工作。</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（二）承办各部门报送县政府制发的规范性文件(草案)的合法性审查工作，以及需要由县政府批准的、部门联合制发的规范性文件(草案)的合法性审查工作。</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（三）承办县政府规范性文件的清理工作，负责协调研究各部门、各乡镇（街道）实施县政府规范性文件有争议的问题。</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（四）负责县政府重大行政决策的合法性审查工作。</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（五）负责推进全县法治政府建设工作。</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（六）负责拟订全县法治宣传教育规划并组织实施。</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（七）负责指导、管理、组织实施社区矫正工作；对全县社区戒毒工作提供指导和协助。</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八）负责全县人民参与和促进法治建设工作，指导全县人民调解、行政调解、专业性行业性调解工作；负责对司法所人员编制、经费和设施设备等进行管理，指导司法所开展业务工作；指导全县刑满释放人员和解除矫正人员帮教安置工作。</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 w:eastAsia="仿宋_GB2312"/>
          <w:b/>
          <w:bCs/>
          <w:sz w:val="32"/>
          <w:szCs w:val="32"/>
        </w:rPr>
      </w:pPr>
      <w:r>
        <w:rPr>
          <w:rFonts w:hint="eastAsia" w:ascii="仿宋_GB2312" w:hAnsi="仿宋" w:eastAsia="仿宋_GB2312"/>
          <w:sz w:val="32"/>
          <w:szCs w:val="32"/>
        </w:rPr>
        <w:t>（九）负责拟定全县公共法律服务体系建设规划并指导实施，统筹和布局城乡、区域法律服务资源。监督、管理全县律师、法律援助、公证、</w:t>
      </w:r>
      <w:bookmarkStart w:id="0" w:name="1716786-1814980-0"/>
      <w:bookmarkEnd w:id="0"/>
      <w:r>
        <w:rPr>
          <w:rFonts w:hint="eastAsia" w:ascii="仿宋_GB2312" w:hAnsi="仿宋" w:eastAsia="仿宋_GB2312"/>
          <w:bCs/>
          <w:sz w:val="32"/>
          <w:szCs w:val="32"/>
        </w:rPr>
        <w:t>司法鉴定</w:t>
      </w:r>
      <w:r>
        <w:rPr>
          <w:rFonts w:hint="eastAsia" w:ascii="仿宋_GB2312" w:hAnsi="仿宋" w:eastAsia="仿宋_GB2312"/>
          <w:sz w:val="32"/>
          <w:szCs w:val="32"/>
        </w:rPr>
        <w:t>、仲裁和基层法律服务工作。</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（十）负责本系统执法执勤用车管理工作，监督管理本系统财务、装备、设施、固定资产等保障工作。</w:t>
      </w:r>
    </w:p>
    <w:p>
      <w:pPr>
        <w:keepNext w:val="0"/>
        <w:keepLines w:val="0"/>
        <w:pageBreakBefore w:val="0"/>
        <w:kinsoku/>
        <w:wordWrap/>
        <w:overflowPunct/>
        <w:topLinePunct w:val="0"/>
        <w:autoSpaceDE/>
        <w:autoSpaceDN/>
        <w:bidi w:val="0"/>
        <w:adjustRightInd/>
        <w:snapToGrid/>
        <w:spacing w:line="576" w:lineRule="exact"/>
        <w:ind w:firstLine="660"/>
        <w:textAlignment w:val="auto"/>
        <w:rPr>
          <w:rFonts w:hint="eastAsia" w:ascii="仿宋_GB2312" w:eastAsia="仿宋_GB2312"/>
          <w:color w:val="000000"/>
          <w:sz w:val="32"/>
          <w:szCs w:val="32"/>
        </w:rPr>
      </w:pPr>
      <w:r>
        <w:rPr>
          <w:rFonts w:hint="eastAsia" w:ascii="仿宋_GB2312" w:hAnsi="仿宋" w:eastAsia="仿宋_GB2312"/>
          <w:sz w:val="32"/>
          <w:szCs w:val="32"/>
        </w:rPr>
        <w:t>（十一）规划、协调、指导全县法治人才队伍建设相关工作，负责全县司法行政队伍建设工作。</w:t>
      </w:r>
      <w:r>
        <w:rPr>
          <w:rFonts w:hint="eastAsia" w:ascii="仿宋_GB2312" w:eastAsia="仿宋_GB2312" w:cs="黑体"/>
          <w:color w:val="000000"/>
          <w:sz w:val="32"/>
          <w:szCs w:val="32"/>
        </w:rPr>
        <w:t>负责本系统警务管理和警务督察工作。</w:t>
      </w:r>
    </w:p>
    <w:p>
      <w:pPr>
        <w:pStyle w:val="83"/>
        <w:keepNext w:val="0"/>
        <w:keepLines w:val="0"/>
        <w:pageBreakBefore w:val="0"/>
        <w:kinsoku/>
        <w:wordWrap/>
        <w:overflowPunct/>
        <w:topLinePunct w:val="0"/>
        <w:autoSpaceDE/>
        <w:autoSpaceDN/>
        <w:bidi w:val="0"/>
        <w:adjustRightInd/>
        <w:snapToGrid/>
        <w:spacing w:line="576" w:lineRule="exact"/>
        <w:ind w:firstLine="646" w:firstLineChars="0"/>
        <w:textAlignment w:val="auto"/>
        <w:rPr>
          <w:rFonts w:hint="eastAsia" w:ascii="仿宋_GB2312" w:hAnsi="Times New Roman" w:eastAsia="仿宋_GB2312"/>
          <w:sz w:val="32"/>
          <w:szCs w:val="32"/>
        </w:rPr>
      </w:pPr>
      <w:r>
        <w:rPr>
          <w:rFonts w:hint="eastAsia" w:ascii="仿宋_GB2312" w:hAnsi="仿宋" w:eastAsia="仿宋_GB2312"/>
          <w:sz w:val="32"/>
          <w:szCs w:val="32"/>
        </w:rPr>
        <w:t>（十二）</w:t>
      </w:r>
      <w:r>
        <w:rPr>
          <w:rFonts w:hint="eastAsia" w:ascii="仿宋_GB2312" w:hAnsi="仿宋" w:eastAsia="仿宋_GB2312"/>
          <w:color w:val="000000"/>
          <w:sz w:val="32"/>
          <w:szCs w:val="32"/>
        </w:rPr>
        <w:t>承担县委全面依法治县委员会具体工作，组织开展全面依法治县重大问题的政策研究，协调督促有关方面落实委员会决定事项、工作部署和要求等。</w:t>
      </w:r>
    </w:p>
    <w:p>
      <w:pPr>
        <w:ind w:firstLine="640" w:firstLineChars="200"/>
        <w:rPr>
          <w:rFonts w:hint="eastAsia" w:ascii="仿宋_GB2312" w:hAnsi="仿宋" w:eastAsia="仿宋_GB2312"/>
          <w:sz w:val="32"/>
          <w:szCs w:val="32"/>
        </w:rPr>
      </w:pPr>
      <w:r>
        <w:rPr>
          <w:rFonts w:hint="eastAsia" w:ascii="仿宋_GB2312" w:hAnsi="仿宋" w:eastAsia="仿宋_GB2312"/>
          <w:sz w:val="32"/>
          <w:szCs w:val="32"/>
        </w:rPr>
        <w:t>（十三）完成县委、县政府交办的其他工作任务。</w:t>
      </w:r>
    </w:p>
    <w:p>
      <w:pPr>
        <w:ind w:firstLine="640" w:firstLineChars="200"/>
      </w:pPr>
      <w:r>
        <w:rPr>
          <w:rFonts w:eastAsia="楷体_GB2312"/>
        </w:rPr>
        <w:t>二、机构设置</w:t>
      </w:r>
    </w:p>
    <w:p>
      <w:pPr>
        <w:pStyle w:val="51"/>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lang w:eastAsia="zh-CN"/>
        </w:rPr>
        <w:t>根据以上职责，</w:t>
      </w:r>
      <w:r>
        <w:rPr>
          <w:rFonts w:hint="eastAsia" w:ascii="仿宋_GB2312" w:hAnsi="仿宋_GB2312" w:eastAsia="仿宋_GB2312" w:cs="仿宋_GB2312"/>
        </w:rPr>
        <w:t>通榆县司法局</w:t>
      </w:r>
      <w:r>
        <w:rPr>
          <w:rFonts w:hint="eastAsia" w:ascii="仿宋_GB2312" w:hAnsi="仿宋_GB2312" w:eastAsia="仿宋_GB2312" w:cs="仿宋_GB2312"/>
          <w:lang w:eastAsia="zh-CN"/>
        </w:rPr>
        <w:t>下设</w:t>
      </w:r>
      <w:r>
        <w:rPr>
          <w:rFonts w:hint="eastAsia" w:ascii="仿宋_GB2312" w:hAnsi="仿宋_GB2312" w:eastAsia="仿宋_GB2312" w:cs="仿宋_GB2312"/>
          <w:lang w:val="en-US" w:eastAsia="zh-CN"/>
        </w:rPr>
        <w:t>3个事业单位。分别为</w:t>
      </w:r>
      <w:r>
        <w:rPr>
          <w:rFonts w:hint="eastAsia" w:ascii="仿宋_GB2312" w:hAnsi="仿宋_GB2312" w:eastAsia="仿宋_GB2312" w:cs="仿宋_GB2312"/>
          <w:lang w:eastAsia="zh-CN"/>
        </w:rPr>
        <w:t>榆县公证处</w:t>
      </w:r>
      <w:r>
        <w:rPr>
          <w:rFonts w:hint="eastAsia" w:ascii="仿宋_GB2312" w:hAnsi="仿宋_GB2312" w:eastAsia="仿宋_GB2312" w:cs="仿宋_GB2312"/>
        </w:rPr>
        <w:t>、</w:t>
      </w:r>
      <w:r>
        <w:rPr>
          <w:rFonts w:hint="eastAsia" w:ascii="仿宋_GB2312" w:hAnsi="仿宋_GB2312" w:eastAsia="仿宋_GB2312" w:cs="仿宋_GB2312"/>
          <w:lang w:eastAsia="zh-CN"/>
        </w:rPr>
        <w:t>通榆县国家</w:t>
      </w:r>
      <w:r>
        <w:rPr>
          <w:rFonts w:hint="eastAsia" w:ascii="仿宋_GB2312" w:hAnsi="仿宋_GB2312" w:eastAsia="仿宋_GB2312" w:cs="仿宋_GB2312"/>
        </w:rPr>
        <w:t>法律援助中心和</w:t>
      </w:r>
      <w:r>
        <w:rPr>
          <w:rFonts w:hint="eastAsia" w:ascii="仿宋_GB2312" w:hAnsi="仿宋_GB2312" w:eastAsia="仿宋_GB2312" w:cs="仿宋_GB2312"/>
          <w:lang w:eastAsia="zh-CN"/>
        </w:rPr>
        <w:t>通榆县社区矫正中心</w:t>
      </w:r>
      <w:r>
        <w:rPr>
          <w:rFonts w:hint="eastAsia" w:ascii="仿宋_GB2312" w:hAnsi="仿宋_GB2312" w:eastAsia="仿宋_GB2312" w:cs="仿宋_GB2312"/>
        </w:rPr>
        <w:t>。</w:t>
      </w:r>
    </w:p>
    <w:p>
      <w:pPr>
        <w:pStyle w:val="51"/>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lang w:eastAsia="zh-CN"/>
        </w:rPr>
        <w:t>局机关</w:t>
      </w:r>
      <w:r>
        <w:rPr>
          <w:rFonts w:hint="eastAsia" w:ascii="仿宋_GB2312" w:hAnsi="仿宋_GB2312" w:eastAsia="仿宋_GB2312" w:cs="仿宋_GB2312"/>
        </w:rPr>
        <w:t>内设4科室：办公室（政治处办公室）、法制科、社区矫正（解毒）管理科、公共法律服务管理科（普法宣传科）。</w:t>
      </w:r>
    </w:p>
    <w:p>
      <w:pPr>
        <w:pStyle w:val="51"/>
        <w:ind w:firstLine="640" w:firstLineChars="200"/>
        <w:rPr>
          <w:rFonts w:hint="eastAsia" w:hAnsi="楷体" w:eastAsia="楷体"/>
          <w:lang w:eastAsia="zh-CN"/>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773.95</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773.95</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773.95</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773.95</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eastAsia="宋体"/>
                <w:color w:val="000000"/>
                <w:kern w:val="0"/>
                <w:sz w:val="20"/>
                <w:lang w:val="en-US" w:eastAsia="zh-CN"/>
              </w:rPr>
            </w:pPr>
            <w:r>
              <w:rPr>
                <w:rFonts w:hint="eastAsia" w:eastAsia="宋体"/>
                <w:color w:val="000000"/>
                <w:kern w:val="0"/>
                <w:sz w:val="20"/>
                <w:lang w:val="en-US" w:eastAsia="zh-CN"/>
              </w:rPr>
              <w:t>609.57</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609.57</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84.64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84.64</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50.25</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50.25</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29.49</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29.49</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773.95</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773.95</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773.95</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773.95</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773.95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773.95</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hint="default" w:eastAsia="楷体_GB2312"/>
          <w:strike/>
          <w:lang w:val="en-US" w:eastAsia="zh-CN"/>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通榆县司法局（本级）</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773.95</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773.95</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773.95</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773.95</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773.95</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773.95</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一</w:t>
                  </w:r>
                  <w:r>
                    <w:rPr>
                      <w:rFonts w:eastAsia="宋体"/>
                      <w:color w:val="000000"/>
                      <w:kern w:val="0"/>
                      <w:sz w:val="20"/>
                    </w:rPr>
                    <w:t>、</w:t>
                  </w:r>
                  <w:r>
                    <w:rPr>
                      <w:rFonts w:hint="eastAsia" w:eastAsia="宋体"/>
                      <w:color w:val="000000"/>
                      <w:kern w:val="0"/>
                      <w:sz w:val="20"/>
                      <w:lang w:eastAsia="zh-CN"/>
                    </w:rPr>
                    <w:t>公共安全支出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609.57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 xml:space="preserve"> 563.62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 xml:space="preserve">     45.95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司法</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609.57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563.62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45.95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行政运行</w:t>
                  </w:r>
                  <w:r>
                    <w:rPr>
                      <w:rFonts w:hint="eastAsia" w:eastAsia="宋体"/>
                      <w:color w:val="000000"/>
                      <w:kern w:val="0"/>
                      <w:sz w:val="20"/>
                      <w:lang w:val="en-US" w:eastAsia="zh-CN"/>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609.57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563.62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45.95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84.64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84.64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84.64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84.64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机关事业单位基本养老保险缴费</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68.23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68.22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29.07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29.07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其他行政事业单位医疗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0.42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50.25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50.25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50.25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50.25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50.25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50.25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773.95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728.00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45.95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773.95</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773.95</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773.95</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773.95</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609.57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609.57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84.64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84.64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29.49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29.49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50.25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50.25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773.95</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773.95</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773.95</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773.95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773.95</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773.95</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773.95</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773.95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一</w:t>
                  </w:r>
                  <w:r>
                    <w:rPr>
                      <w:rFonts w:eastAsia="宋体"/>
                      <w:color w:val="000000"/>
                      <w:kern w:val="0"/>
                      <w:sz w:val="20"/>
                    </w:rPr>
                    <w:t>、</w:t>
                  </w:r>
                  <w:r>
                    <w:rPr>
                      <w:rFonts w:hint="eastAsia" w:eastAsia="宋体"/>
                      <w:color w:val="000000"/>
                      <w:kern w:val="0"/>
                      <w:sz w:val="20"/>
                      <w:lang w:eastAsia="zh-CN"/>
                    </w:rPr>
                    <w:t>公共安全支出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609.57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563.62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460.24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103.38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45.95</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司法</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609.57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563.62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460.24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103.38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45.95</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609.57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563.62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460.24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103.38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45.95</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84.64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84.64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84.64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84.64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84.64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84.64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机关事业单位基本养老保险缴费</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68.23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68.23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68.23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16.41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16.41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29.49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29.49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29.49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29.49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29.49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29.07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29.07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其他行政事业单位医疗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773.95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624.62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103.38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45.95</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611.52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611.52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178.59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178.59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187.56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187.56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76.30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76.30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Times New Roman" w:hAnsi="Times New Roman" w:eastAsia="宋体" w:cs="Times New Roman"/>
                <w:color w:val="000000"/>
                <w:kern w:val="2"/>
                <w:sz w:val="20"/>
                <w:lang w:val="en-US" w:eastAsia="zh-CN" w:bidi="ar-SA"/>
              </w:rPr>
            </w:pPr>
            <w:r>
              <w:rPr>
                <w:rFonts w:hint="eastAsia" w:eastAsia="宋体"/>
                <w:color w:val="000000"/>
                <w:sz w:val="20"/>
                <w:lang w:eastAsia="zh-CN"/>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68.23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68.23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16.41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16.41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Times New Roman" w:hAnsi="Times New Roman" w:eastAsia="宋体" w:cs="Times New Roman"/>
                <w:color w:val="000000"/>
                <w:kern w:val="2"/>
                <w:sz w:val="20"/>
                <w:lang w:val="en-US" w:eastAsia="zh-CN" w:bidi="ar-SA"/>
              </w:rPr>
            </w:pPr>
            <w:r>
              <w:rPr>
                <w:rFonts w:hint="eastAsia" w:eastAsia="宋体"/>
                <w:color w:val="000000"/>
                <w:sz w:val="20"/>
                <w:lang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29.07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29.07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eastAsia="zh-CN"/>
              </w:rPr>
              <w:t>其他社保</w:t>
            </w:r>
            <w:r>
              <w:rPr>
                <w:rFonts w:hint="eastAsia" w:eastAsia="宋体"/>
                <w:color w:val="000000"/>
                <w:sz w:val="20"/>
                <w:lang w:val="en-US" w:eastAsia="zh-CN"/>
              </w:rPr>
              <w:t>保障缴费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0.42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0.42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eastAsia" w:ascii="Times New Roman" w:hAnsi="Times New Roman" w:eastAsia="宋体" w:cs="Times New Roman"/>
                <w:color w:val="000000"/>
                <w:kern w:val="2"/>
                <w:sz w:val="20"/>
                <w:lang w:val="en-US" w:eastAsia="zh-CN" w:bidi="ar-SA"/>
              </w:rPr>
            </w:pPr>
            <w:r>
              <w:rPr>
                <w:rFonts w:hint="eastAsia" w:eastAsia="宋体"/>
                <w:color w:val="00000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50.25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50.25</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2"/>
                <w:sz w:val="20"/>
                <w:lang w:val="en-US" w:eastAsia="zh-CN" w:bidi="ar-SA"/>
              </w:rPr>
            </w:pPr>
            <w:r>
              <w:rPr>
                <w:rFonts w:hint="eastAsia" w:eastAsia="宋体"/>
                <w:color w:val="000000"/>
                <w:sz w:val="20"/>
                <w:lang w:eastAsia="zh-CN"/>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4.69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4.69</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ascii="Times New Roman" w:hAnsi="Times New Roman" w:eastAsia="宋体" w:cs="Times New Roman"/>
                <w:kern w:val="0"/>
                <w:sz w:val="20"/>
                <w:lang w:val="en-US" w:eastAsia="zh-CN" w:bidi="ar-SA"/>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103.38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103.38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ascii="Times New Roman" w:hAnsi="Times New Roman" w:eastAsia="宋体" w:cs="Times New Roman"/>
                <w:kern w:val="0"/>
                <w:sz w:val="20"/>
                <w:lang w:val="en-US" w:eastAsia="zh-CN" w:bidi="ar-SA"/>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仿宋_GB2312"/>
                <w:sz w:val="20"/>
                <w:szCs w:val="20"/>
                <w:lang w:val="en-US" w:eastAsia="zh-CN"/>
              </w:rPr>
            </w:pPr>
            <w:r>
              <w:rPr>
                <w:rFonts w:hint="eastAsia"/>
                <w:sz w:val="20"/>
                <w:szCs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eastAsia="zh-CN"/>
              </w:rPr>
              <w:t>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1.9</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咨询费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手续费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0.24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0"/>
                <w:szCs w:val="20"/>
                <w:lang w:val="en-US" w:eastAsia="zh-CN"/>
              </w:rPr>
            </w:pPr>
            <w:r>
              <w:rPr>
                <w:rFonts w:hint="eastAsia"/>
                <w:sz w:val="20"/>
                <w:szCs w:val="20"/>
                <w:lang w:val="en-US" w:eastAsia="zh-CN"/>
              </w:rPr>
              <w:t>1.36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0"/>
                <w:szCs w:val="20"/>
                <w:lang w:val="en-US" w:eastAsia="zh-CN"/>
              </w:rPr>
            </w:pPr>
            <w:r>
              <w:rPr>
                <w:rFonts w:hint="eastAsia"/>
                <w:sz w:val="20"/>
                <w:szCs w:val="20"/>
                <w:lang w:val="en-US" w:eastAsia="zh-CN"/>
              </w:rPr>
              <w:t>2.6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1.9</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取暖费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0"/>
                <w:szCs w:val="20"/>
                <w:lang w:val="en-US" w:eastAsia="zh-CN"/>
              </w:rPr>
            </w:pPr>
            <w:r>
              <w:rPr>
                <w:rFonts w:hint="eastAsia"/>
                <w:sz w:val="20"/>
                <w:szCs w:val="20"/>
                <w:lang w:val="en-US" w:eastAsia="zh-CN"/>
              </w:rPr>
              <w:t>7.8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租赁费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0"/>
                <w:szCs w:val="20"/>
                <w:lang w:val="en-US" w:eastAsia="zh-CN"/>
              </w:rPr>
            </w:pPr>
            <w:r>
              <w:rPr>
                <w:rFonts w:hint="eastAsia"/>
                <w:sz w:val="20"/>
                <w:szCs w:val="20"/>
                <w:lang w:val="en-US" w:eastAsia="zh-CN"/>
              </w:rPr>
              <w:t>0.8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公务接待费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0"/>
                <w:szCs w:val="20"/>
                <w:lang w:val="en-US" w:eastAsia="zh-CN"/>
              </w:rPr>
            </w:pPr>
            <w:r>
              <w:rPr>
                <w:rFonts w:hint="eastAsia"/>
                <w:sz w:val="20"/>
                <w:szCs w:val="20"/>
                <w:lang w:val="en-US" w:eastAsia="zh-CN"/>
              </w:rPr>
              <w:t>0.4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劳务费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0"/>
                <w:szCs w:val="20"/>
                <w:lang w:val="en-US" w:eastAsia="zh-CN"/>
              </w:rPr>
            </w:pPr>
            <w:r>
              <w:rPr>
                <w:rFonts w:hint="eastAsia"/>
                <w:sz w:val="20"/>
                <w:szCs w:val="20"/>
                <w:lang w:val="en-US" w:eastAsia="zh-CN"/>
              </w:rPr>
              <w:t>23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15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0"/>
                <w:szCs w:val="20"/>
                <w:lang w:val="en-US" w:eastAsia="zh-CN"/>
              </w:rPr>
            </w:pPr>
            <w:r>
              <w:rPr>
                <w:rFonts w:hint="eastAsia"/>
                <w:sz w:val="20"/>
                <w:szCs w:val="20"/>
                <w:lang w:val="en-US" w:eastAsia="zh-CN"/>
              </w:rPr>
              <w:t>27.78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17.2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13.10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13.10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13.10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13.10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728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624.62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103.38</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15.4</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15.4</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0.4</w:t>
            </w:r>
          </w:p>
        </w:tc>
        <w:tc>
          <w:tcPr>
            <w:tcW w:w="1378" w:type="dxa"/>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0.4</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15</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15</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63</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40</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23</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545"/>
        <w:gridCol w:w="1215"/>
        <w:gridCol w:w="690"/>
        <w:gridCol w:w="735"/>
        <w:gridCol w:w="464"/>
        <w:gridCol w:w="511"/>
        <w:gridCol w:w="480"/>
        <w:gridCol w:w="320"/>
        <w:gridCol w:w="532"/>
        <w:gridCol w:w="362"/>
        <w:gridCol w:w="236"/>
        <w:gridCol w:w="207"/>
        <w:gridCol w:w="236"/>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717" w:type="dxa"/>
            <w:gridSpan w:val="15"/>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54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21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9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3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975" w:type="dxa"/>
            <w:gridSpan w:val="2"/>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798" w:type="dxa"/>
            <w:gridSpan w:val="8"/>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5"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76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69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73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975"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4"/>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gridSpan w:val="2"/>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661"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54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21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690" w:type="dxa"/>
            <w:vMerge w:val="continue"/>
            <w:noWrap w:val="0"/>
            <w:vAlign w:val="center"/>
          </w:tcPr>
          <w:p>
            <w:pPr>
              <w:autoSpaceDN w:val="0"/>
              <w:jc w:val="center"/>
              <w:textAlignment w:val="center"/>
              <w:rPr>
                <w:rFonts w:ascii="Calibri" w:hAnsi="Calibri" w:eastAsia="华文细黑"/>
                <w:color w:val="000000"/>
                <w:sz w:val="20"/>
                <w:szCs w:val="22"/>
              </w:rPr>
            </w:pPr>
          </w:p>
        </w:tc>
        <w:tc>
          <w:tcPr>
            <w:tcW w:w="735" w:type="dxa"/>
            <w:vMerge w:val="continue"/>
            <w:noWrap w:val="0"/>
            <w:vAlign w:val="center"/>
          </w:tcPr>
          <w:p>
            <w:pPr>
              <w:autoSpaceDN w:val="0"/>
              <w:jc w:val="center"/>
              <w:textAlignment w:val="center"/>
              <w:rPr>
                <w:rFonts w:ascii="Calibri" w:hAnsi="Calibri" w:eastAsia="华文细黑"/>
                <w:color w:val="000000"/>
                <w:sz w:val="20"/>
                <w:szCs w:val="22"/>
              </w:rPr>
            </w:pPr>
          </w:p>
        </w:tc>
        <w:tc>
          <w:tcPr>
            <w:tcW w:w="46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11"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8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32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gridSpan w:val="2"/>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gridSpan w:val="2"/>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exact"/>
          <w:jc w:val="center"/>
        </w:trPr>
        <w:tc>
          <w:tcPr>
            <w:tcW w:w="759"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lang w:eastAsia="zh-CN"/>
              </w:rPr>
            </w:pPr>
            <w:r>
              <w:rPr>
                <w:rFonts w:hint="eastAsia" w:ascii="楷体" w:hAnsi="楷体" w:eastAsia="楷体" w:cs="楷体"/>
                <w:kern w:val="0"/>
                <w:sz w:val="20"/>
                <w:szCs w:val="20"/>
                <w:lang w:eastAsia="zh-CN"/>
              </w:rPr>
              <w:t>一次性项目</w:t>
            </w:r>
          </w:p>
        </w:tc>
        <w:tc>
          <w:tcPr>
            <w:tcW w:w="1545"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lang w:val="en-US" w:eastAsia="zh-CN"/>
              </w:rPr>
            </w:pPr>
            <w:r>
              <w:rPr>
                <w:rFonts w:hint="eastAsia" w:ascii="楷体" w:hAnsi="楷体" w:eastAsia="楷体" w:cs="楷体"/>
                <w:kern w:val="0"/>
                <w:sz w:val="20"/>
                <w:szCs w:val="20"/>
                <w:lang w:eastAsia="zh-CN"/>
              </w:rPr>
              <w:t>通榆县司法局</w:t>
            </w:r>
            <w:r>
              <w:rPr>
                <w:rFonts w:hint="eastAsia" w:ascii="楷体" w:hAnsi="楷体" w:eastAsia="楷体" w:cs="楷体"/>
                <w:kern w:val="0"/>
                <w:sz w:val="20"/>
                <w:szCs w:val="20"/>
                <w:lang w:val="en-US" w:eastAsia="zh-CN"/>
              </w:rPr>
              <w:t>2024年驻村工作队生活补贴</w:t>
            </w:r>
          </w:p>
        </w:tc>
        <w:tc>
          <w:tcPr>
            <w:tcW w:w="1215"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r>
              <w:rPr>
                <w:rFonts w:hint="eastAsia" w:ascii="楷体" w:hAnsi="楷体" w:eastAsia="楷体" w:cs="楷体"/>
                <w:kern w:val="0"/>
                <w:sz w:val="20"/>
                <w:szCs w:val="20"/>
                <w:lang w:eastAsia="zh-CN"/>
              </w:rPr>
              <w:t>通榆县司法局</w:t>
            </w:r>
            <w:r>
              <w:rPr>
                <w:rFonts w:hint="eastAsia" w:ascii="楷体" w:hAnsi="楷体" w:eastAsia="楷体" w:cs="楷体"/>
                <w:kern w:val="0"/>
                <w:sz w:val="20"/>
                <w:szCs w:val="20"/>
                <w:lang w:val="en-US" w:eastAsia="zh-CN"/>
              </w:rPr>
              <w:t>2024年驻村工作队生活补贴</w:t>
            </w:r>
          </w:p>
        </w:tc>
        <w:tc>
          <w:tcPr>
            <w:tcW w:w="690"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lang w:eastAsia="zh-CN"/>
              </w:rPr>
            </w:pPr>
            <w:r>
              <w:rPr>
                <w:rFonts w:hint="eastAsia" w:ascii="楷体" w:hAnsi="楷体" w:eastAsia="楷体" w:cs="楷体"/>
                <w:kern w:val="0"/>
                <w:sz w:val="20"/>
                <w:szCs w:val="20"/>
                <w:lang w:eastAsia="zh-CN"/>
              </w:rPr>
              <w:t>通榆县司法局</w:t>
            </w:r>
          </w:p>
        </w:tc>
        <w:tc>
          <w:tcPr>
            <w:tcW w:w="735"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lang w:val="en-US" w:eastAsia="zh-CN"/>
              </w:rPr>
            </w:pPr>
            <w:r>
              <w:rPr>
                <w:rFonts w:hint="eastAsia" w:ascii="楷体" w:hAnsi="楷体" w:eastAsia="楷体" w:cs="楷体"/>
                <w:kern w:val="0"/>
                <w:sz w:val="20"/>
                <w:szCs w:val="20"/>
                <w:lang w:val="en-US" w:eastAsia="zh-CN"/>
              </w:rPr>
              <w:t>14.4</w:t>
            </w:r>
          </w:p>
        </w:tc>
        <w:tc>
          <w:tcPr>
            <w:tcW w:w="464"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lang w:val="en-US" w:eastAsia="zh-CN"/>
              </w:rPr>
            </w:pPr>
            <w:r>
              <w:rPr>
                <w:rFonts w:hint="eastAsia" w:ascii="楷体" w:hAnsi="楷体" w:eastAsia="楷体" w:cs="楷体"/>
                <w:kern w:val="0"/>
                <w:sz w:val="20"/>
                <w:szCs w:val="20"/>
                <w:lang w:val="en-US" w:eastAsia="zh-CN"/>
              </w:rPr>
              <w:t>14.4</w:t>
            </w:r>
          </w:p>
        </w:tc>
        <w:tc>
          <w:tcPr>
            <w:tcW w:w="511"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480"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320"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532"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598" w:type="dxa"/>
            <w:gridSpan w:val="2"/>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443" w:type="dxa"/>
            <w:gridSpan w:val="2"/>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425"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2" w:hRule="exact"/>
          <w:jc w:val="center"/>
        </w:trPr>
        <w:tc>
          <w:tcPr>
            <w:tcW w:w="759"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r>
              <w:rPr>
                <w:rFonts w:hint="eastAsia" w:ascii="楷体" w:hAnsi="楷体" w:eastAsia="楷体" w:cs="楷体"/>
                <w:kern w:val="0"/>
                <w:sz w:val="20"/>
                <w:szCs w:val="20"/>
                <w:lang w:eastAsia="zh-CN"/>
              </w:rPr>
              <w:t>一次性项目</w:t>
            </w:r>
          </w:p>
        </w:tc>
        <w:tc>
          <w:tcPr>
            <w:tcW w:w="1545"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lang w:val="en-US" w:eastAsia="zh-CN"/>
              </w:rPr>
            </w:pPr>
            <w:r>
              <w:rPr>
                <w:rFonts w:hint="eastAsia" w:ascii="楷体" w:hAnsi="楷体" w:eastAsia="楷体" w:cs="楷体"/>
                <w:kern w:val="0"/>
                <w:sz w:val="20"/>
                <w:szCs w:val="20"/>
                <w:lang w:eastAsia="zh-CN"/>
              </w:rPr>
              <w:t>通榆县司法局</w:t>
            </w:r>
            <w:r>
              <w:rPr>
                <w:rFonts w:hint="eastAsia" w:ascii="楷体" w:hAnsi="楷体" w:eastAsia="楷体" w:cs="楷体"/>
                <w:kern w:val="0"/>
                <w:sz w:val="20"/>
                <w:szCs w:val="20"/>
                <w:lang w:val="en-US" w:eastAsia="zh-CN"/>
              </w:rPr>
              <w:t>2024年基层司法所人员工资</w:t>
            </w:r>
          </w:p>
        </w:tc>
        <w:tc>
          <w:tcPr>
            <w:tcW w:w="1215"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r>
              <w:rPr>
                <w:rFonts w:hint="eastAsia" w:ascii="楷体" w:hAnsi="楷体" w:eastAsia="楷体" w:cs="楷体"/>
                <w:kern w:val="0"/>
                <w:sz w:val="20"/>
                <w:szCs w:val="20"/>
                <w:lang w:eastAsia="zh-CN"/>
              </w:rPr>
              <w:t>通榆县司法局</w:t>
            </w:r>
            <w:r>
              <w:rPr>
                <w:rFonts w:hint="eastAsia" w:ascii="楷体" w:hAnsi="楷体" w:eastAsia="楷体" w:cs="楷体"/>
                <w:kern w:val="0"/>
                <w:sz w:val="20"/>
                <w:szCs w:val="20"/>
                <w:lang w:val="en-US" w:eastAsia="zh-CN"/>
              </w:rPr>
              <w:t>2024年基层司法所人员工资</w:t>
            </w:r>
          </w:p>
        </w:tc>
        <w:tc>
          <w:tcPr>
            <w:tcW w:w="690"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lang w:eastAsia="zh-CN"/>
              </w:rPr>
            </w:pPr>
            <w:r>
              <w:rPr>
                <w:rFonts w:hint="eastAsia" w:ascii="楷体" w:hAnsi="楷体" w:eastAsia="楷体" w:cs="楷体"/>
                <w:kern w:val="0"/>
                <w:sz w:val="20"/>
                <w:szCs w:val="20"/>
                <w:lang w:eastAsia="zh-CN"/>
              </w:rPr>
              <w:t>通榆县司法局</w:t>
            </w:r>
          </w:p>
        </w:tc>
        <w:tc>
          <w:tcPr>
            <w:tcW w:w="735"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lang w:val="en-US" w:eastAsia="zh-CN"/>
              </w:rPr>
            </w:pPr>
            <w:r>
              <w:rPr>
                <w:rFonts w:hint="eastAsia" w:ascii="楷体" w:hAnsi="楷体" w:eastAsia="楷体" w:cs="楷体"/>
                <w:kern w:val="0"/>
                <w:sz w:val="20"/>
                <w:szCs w:val="20"/>
                <w:lang w:val="en-US" w:eastAsia="zh-CN"/>
              </w:rPr>
              <w:t>27.744</w:t>
            </w:r>
          </w:p>
        </w:tc>
        <w:tc>
          <w:tcPr>
            <w:tcW w:w="464"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lang w:val="en-US" w:eastAsia="zh-CN"/>
              </w:rPr>
            </w:pPr>
            <w:r>
              <w:rPr>
                <w:rFonts w:hint="eastAsia" w:ascii="楷体" w:hAnsi="楷体" w:eastAsia="楷体" w:cs="楷体"/>
                <w:kern w:val="0"/>
                <w:sz w:val="20"/>
                <w:szCs w:val="20"/>
                <w:lang w:val="en-US" w:eastAsia="zh-CN"/>
              </w:rPr>
              <w:t>27.744</w:t>
            </w:r>
          </w:p>
        </w:tc>
        <w:tc>
          <w:tcPr>
            <w:tcW w:w="511"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480"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320"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532"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598" w:type="dxa"/>
            <w:gridSpan w:val="2"/>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443" w:type="dxa"/>
            <w:gridSpan w:val="2"/>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425"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exact"/>
          <w:jc w:val="center"/>
        </w:trPr>
        <w:tc>
          <w:tcPr>
            <w:tcW w:w="759"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r>
              <w:rPr>
                <w:rFonts w:hint="eastAsia" w:ascii="楷体" w:hAnsi="楷体" w:eastAsia="楷体" w:cs="楷体"/>
                <w:kern w:val="0"/>
                <w:sz w:val="20"/>
                <w:szCs w:val="20"/>
                <w:lang w:eastAsia="zh-CN"/>
              </w:rPr>
              <w:t>一次性项目</w:t>
            </w:r>
          </w:p>
        </w:tc>
        <w:tc>
          <w:tcPr>
            <w:tcW w:w="1545"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both"/>
              <w:rPr>
                <w:rFonts w:hint="eastAsia" w:ascii="楷体" w:hAnsi="楷体" w:eastAsia="楷体" w:cs="楷体"/>
                <w:kern w:val="0"/>
                <w:sz w:val="20"/>
                <w:szCs w:val="20"/>
                <w:lang w:val="en-US" w:eastAsia="zh-CN"/>
              </w:rPr>
            </w:pPr>
            <w:r>
              <w:rPr>
                <w:rFonts w:hint="eastAsia" w:ascii="楷体" w:hAnsi="楷体" w:eastAsia="楷体" w:cs="楷体"/>
                <w:kern w:val="0"/>
                <w:sz w:val="20"/>
                <w:szCs w:val="20"/>
                <w:lang w:val="en-US" w:eastAsia="zh-CN"/>
              </w:rPr>
              <w:t>通榆县司法局2024年辅助岗人员工资</w:t>
            </w:r>
          </w:p>
        </w:tc>
        <w:tc>
          <w:tcPr>
            <w:tcW w:w="1215"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r>
              <w:rPr>
                <w:rFonts w:hint="eastAsia" w:ascii="楷体" w:hAnsi="楷体" w:eastAsia="楷体" w:cs="楷体"/>
                <w:kern w:val="0"/>
                <w:sz w:val="20"/>
                <w:szCs w:val="20"/>
                <w:lang w:val="en-US" w:eastAsia="zh-CN"/>
              </w:rPr>
              <w:t>通榆县司法局2024年辅助岗人员工资</w:t>
            </w:r>
          </w:p>
        </w:tc>
        <w:tc>
          <w:tcPr>
            <w:tcW w:w="690"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lang w:eastAsia="zh-CN"/>
              </w:rPr>
            </w:pPr>
            <w:r>
              <w:rPr>
                <w:rFonts w:hint="eastAsia" w:ascii="楷体" w:hAnsi="楷体" w:eastAsia="楷体" w:cs="楷体"/>
                <w:kern w:val="0"/>
                <w:sz w:val="20"/>
                <w:szCs w:val="20"/>
                <w:lang w:eastAsia="zh-CN"/>
              </w:rPr>
              <w:t>通榆县司法局</w:t>
            </w:r>
          </w:p>
        </w:tc>
        <w:tc>
          <w:tcPr>
            <w:tcW w:w="735"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default" w:ascii="楷体" w:hAnsi="楷体" w:eastAsia="楷体" w:cs="楷体"/>
                <w:kern w:val="0"/>
                <w:sz w:val="20"/>
                <w:szCs w:val="20"/>
                <w:lang w:val="en-US" w:eastAsia="zh-CN"/>
              </w:rPr>
            </w:pPr>
            <w:r>
              <w:rPr>
                <w:rFonts w:hint="eastAsia" w:ascii="楷体" w:hAnsi="楷体" w:eastAsia="楷体" w:cs="楷体"/>
                <w:kern w:val="0"/>
                <w:sz w:val="20"/>
                <w:szCs w:val="20"/>
                <w:lang w:val="en-US" w:eastAsia="zh-CN"/>
              </w:rPr>
              <w:t>3.81</w:t>
            </w:r>
          </w:p>
        </w:tc>
        <w:tc>
          <w:tcPr>
            <w:tcW w:w="464"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default" w:ascii="楷体" w:hAnsi="楷体" w:eastAsia="楷体" w:cs="楷体"/>
                <w:kern w:val="0"/>
                <w:sz w:val="20"/>
                <w:szCs w:val="20"/>
                <w:lang w:val="en-US" w:eastAsia="zh-CN"/>
              </w:rPr>
            </w:pPr>
            <w:r>
              <w:rPr>
                <w:rFonts w:hint="eastAsia" w:ascii="楷体" w:hAnsi="楷体" w:eastAsia="楷体" w:cs="楷体"/>
                <w:kern w:val="0"/>
                <w:sz w:val="20"/>
                <w:szCs w:val="20"/>
                <w:lang w:val="en-US" w:eastAsia="zh-CN"/>
              </w:rPr>
              <w:t>3.81</w:t>
            </w:r>
          </w:p>
        </w:tc>
        <w:tc>
          <w:tcPr>
            <w:tcW w:w="511"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480"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320"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532"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598" w:type="dxa"/>
            <w:gridSpan w:val="2"/>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443" w:type="dxa"/>
            <w:gridSpan w:val="2"/>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425"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1545"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1215"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690"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735"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464"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511"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480"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320"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532"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598" w:type="dxa"/>
            <w:gridSpan w:val="2"/>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443" w:type="dxa"/>
            <w:gridSpan w:val="2"/>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425"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2" w:hRule="exact"/>
          <w:jc w:val="center"/>
        </w:trPr>
        <w:tc>
          <w:tcPr>
            <w:tcW w:w="759" w:type="dxa"/>
            <w:noWrap w:val="0"/>
            <w:vAlign w:val="center"/>
          </w:tcPr>
          <w:p>
            <w:pPr>
              <w:keepNext w:val="0"/>
              <w:keepLines w:val="0"/>
              <w:pageBreakBefore w:val="0"/>
              <w:widowControl w:val="0"/>
              <w:kinsoku/>
              <w:wordWrap/>
              <w:overflowPunct/>
              <w:topLinePunct w:val="0"/>
              <w:autoSpaceDE/>
              <w:autoSpaceDN w:val="0"/>
              <w:bidi w:val="0"/>
              <w:adjustRightInd/>
              <w:snapToGrid/>
              <w:spacing w:line="240" w:lineRule="atLeast"/>
              <w:jc w:val="center"/>
              <w:textAlignment w:val="center"/>
              <w:rPr>
                <w:rFonts w:hint="eastAsia" w:ascii="楷体" w:hAnsi="楷体" w:eastAsia="楷体" w:cs="楷体"/>
                <w:color w:val="000000"/>
                <w:sz w:val="20"/>
                <w:szCs w:val="20"/>
              </w:rPr>
            </w:pPr>
            <w:r>
              <w:rPr>
                <w:rFonts w:hint="eastAsia" w:ascii="楷体" w:hAnsi="楷体" w:eastAsia="楷体" w:cs="楷体"/>
                <w:color w:val="000000"/>
                <w:sz w:val="20"/>
                <w:szCs w:val="20"/>
              </w:rPr>
              <w:t>合计</w:t>
            </w:r>
          </w:p>
        </w:tc>
        <w:tc>
          <w:tcPr>
            <w:tcW w:w="1545" w:type="dxa"/>
            <w:noWrap w:val="0"/>
            <w:vAlign w:val="center"/>
          </w:tcPr>
          <w:p>
            <w:pPr>
              <w:keepNext w:val="0"/>
              <w:keepLines w:val="0"/>
              <w:pageBreakBefore w:val="0"/>
              <w:widowControl w:val="0"/>
              <w:kinsoku/>
              <w:wordWrap/>
              <w:overflowPunct/>
              <w:topLinePunct w:val="0"/>
              <w:autoSpaceDE/>
              <w:autoSpaceDN w:val="0"/>
              <w:bidi w:val="0"/>
              <w:adjustRightInd/>
              <w:snapToGrid/>
              <w:spacing w:line="240" w:lineRule="atLeast"/>
              <w:jc w:val="center"/>
              <w:textAlignment w:val="center"/>
              <w:rPr>
                <w:rFonts w:hint="eastAsia" w:ascii="楷体" w:hAnsi="楷体" w:eastAsia="楷体" w:cs="楷体"/>
                <w:color w:val="000000"/>
                <w:sz w:val="20"/>
                <w:szCs w:val="20"/>
              </w:rPr>
            </w:pPr>
          </w:p>
        </w:tc>
        <w:tc>
          <w:tcPr>
            <w:tcW w:w="1215"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690"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735"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default" w:ascii="楷体" w:hAnsi="楷体" w:eastAsia="楷体" w:cs="楷体"/>
                <w:kern w:val="0"/>
                <w:sz w:val="20"/>
                <w:szCs w:val="20"/>
                <w:lang w:val="en-US" w:eastAsia="zh-CN"/>
              </w:rPr>
            </w:pPr>
            <w:r>
              <w:rPr>
                <w:rFonts w:hint="eastAsia" w:ascii="楷体" w:hAnsi="楷体" w:eastAsia="楷体" w:cs="楷体"/>
                <w:kern w:val="0"/>
                <w:sz w:val="20"/>
                <w:szCs w:val="20"/>
                <w:lang w:val="en-US" w:eastAsia="zh-CN"/>
              </w:rPr>
              <w:t>45.95</w:t>
            </w:r>
          </w:p>
        </w:tc>
        <w:tc>
          <w:tcPr>
            <w:tcW w:w="464"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default" w:ascii="楷体" w:hAnsi="楷体" w:eastAsia="楷体" w:cs="楷体"/>
                <w:kern w:val="0"/>
                <w:sz w:val="20"/>
                <w:szCs w:val="20"/>
                <w:lang w:val="en-US" w:eastAsia="zh-CN"/>
              </w:rPr>
            </w:pPr>
            <w:r>
              <w:rPr>
                <w:rFonts w:hint="eastAsia" w:ascii="楷体" w:hAnsi="楷体" w:eastAsia="楷体" w:cs="楷体"/>
                <w:kern w:val="0"/>
                <w:sz w:val="20"/>
                <w:szCs w:val="20"/>
                <w:lang w:val="en-US" w:eastAsia="zh-CN"/>
              </w:rPr>
              <w:t>45.95</w:t>
            </w:r>
          </w:p>
        </w:tc>
        <w:tc>
          <w:tcPr>
            <w:tcW w:w="511"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480"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320"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532"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598" w:type="dxa"/>
            <w:gridSpan w:val="2"/>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443" w:type="dxa"/>
            <w:gridSpan w:val="2"/>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c>
          <w:tcPr>
            <w:tcW w:w="425" w:type="dxa"/>
            <w:noWrap w:val="0"/>
            <w:vAlign w:val="center"/>
          </w:tcPr>
          <w:p>
            <w:pPr>
              <w:keepNext w:val="0"/>
              <w:keepLines w:val="0"/>
              <w:pageBreakBefore w:val="0"/>
              <w:widowControl w:val="0"/>
              <w:kinsoku/>
              <w:wordWrap/>
              <w:overflowPunct/>
              <w:topLinePunct w:val="0"/>
              <w:autoSpaceDE/>
              <w:bidi w:val="0"/>
              <w:adjustRightInd/>
              <w:snapToGrid/>
              <w:spacing w:line="240" w:lineRule="atLeast"/>
              <w:jc w:val="center"/>
              <w:rPr>
                <w:rFonts w:hint="eastAsia" w:ascii="楷体" w:hAnsi="楷体" w:eastAsia="楷体" w:cs="楷体"/>
                <w:kern w:val="0"/>
                <w:sz w:val="20"/>
                <w:szCs w:val="20"/>
              </w:rPr>
            </w:pPr>
          </w:p>
        </w:tc>
      </w:tr>
    </w:tbl>
    <w:p>
      <w:pPr>
        <w:spacing w:line="700" w:lineRule="exact"/>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楷体" w:hAnsi="楷体" w:eastAsia="楷体" w:cs="楷体"/>
                <w:kern w:val="0"/>
                <w:sz w:val="20"/>
                <w:szCs w:val="20"/>
                <w:lang w:eastAsia="zh-CN"/>
              </w:rPr>
              <w:t>通榆县司法局</w:t>
            </w:r>
            <w:r>
              <w:rPr>
                <w:rFonts w:hint="eastAsia" w:ascii="楷体" w:hAnsi="楷体" w:eastAsia="楷体" w:cs="楷体"/>
                <w:kern w:val="0"/>
                <w:sz w:val="20"/>
                <w:szCs w:val="20"/>
                <w:lang w:val="en-US" w:eastAsia="zh-CN"/>
              </w:rPr>
              <w:t>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14.4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14.4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更好的保障驻村队员的基本生活支出，提高驻村队员的工作积极性，更好的配合乡村振兴建设。</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207"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驻村工作对人数</w:t>
            </w:r>
          </w:p>
        </w:tc>
        <w:tc>
          <w:tcPr>
            <w:tcW w:w="2392" w:type="dxa"/>
            <w:tcBorders>
              <w:top w:val="single" w:color="000000" w:sz="4" w:space="0"/>
              <w:left w:val="single" w:color="000000" w:sz="4" w:space="0"/>
              <w:bottom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=4人</w:t>
            </w:r>
          </w:p>
        </w:tc>
      </w:tr>
      <w:tr>
        <w:tblPrEx>
          <w:tblCellMar>
            <w:top w:w="15" w:type="dxa"/>
            <w:left w:w="15" w:type="dxa"/>
            <w:bottom w:w="15" w:type="dxa"/>
            <w:right w:w="15" w:type="dxa"/>
          </w:tblCellMar>
        </w:tblPrEx>
        <w:trPr>
          <w:trHeight w:val="223"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auto"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驻村工作对出勤总天数</w:t>
            </w:r>
          </w:p>
        </w:tc>
        <w:tc>
          <w:tcPr>
            <w:tcW w:w="2392" w:type="dxa"/>
            <w:tcBorders>
              <w:top w:val="single" w:color="auto"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=840天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补贴资金对驻村工作对生活水平的提高程度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华文细黑" w:cs="宋体"/>
                <w:color w:val="000000"/>
                <w:sz w:val="20"/>
                <w:lang w:val="en-US" w:eastAsia="zh-CN"/>
              </w:rPr>
            </w:pPr>
            <w:r>
              <w:rPr>
                <w:rFonts w:hint="default" w:ascii="Arial" w:hAnsi="Arial" w:eastAsia="华文细黑" w:cs="Arial"/>
                <w:color w:val="000000"/>
                <w:sz w:val="20"/>
              </w:rPr>
              <w:t>≥</w:t>
            </w:r>
            <w:r>
              <w:rPr>
                <w:rFonts w:hint="eastAsia" w:ascii="Arial" w:hAnsi="Arial" w:eastAsia="华文细黑" w:cs="Arial"/>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驻村工作对生活补贴单位成本</w:t>
            </w:r>
            <w:r>
              <w:rPr>
                <w:rFonts w:hint="eastAsia" w:ascii="宋体" w:hAnsi="宋体" w:eastAsia="宋体" w:cs="宋体"/>
                <w:color w:val="000000"/>
                <w:sz w:val="20"/>
                <w:lang w:val="en-US" w:eastAsia="zh-CN"/>
              </w:rPr>
              <w:t xml:space="preserve"> </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驻村干部补贴资金发放及时率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华文细黑" w:cs="宋体"/>
                <w:color w:val="000000"/>
                <w:sz w:val="20"/>
                <w:lang w:val="en-US" w:eastAsia="zh-CN"/>
              </w:rPr>
            </w:pPr>
            <w:r>
              <w:rPr>
                <w:rFonts w:hint="default" w:ascii="Arial" w:hAnsi="Arial" w:eastAsia="华文细黑" w:cs="Arial"/>
                <w:color w:val="000000"/>
                <w:sz w:val="20"/>
              </w:rPr>
              <w:t>≥</w:t>
            </w:r>
            <w:r>
              <w:rPr>
                <w:rFonts w:hint="eastAsia" w:ascii="Arial" w:hAnsi="Arial" w:eastAsia="华文细黑" w:cs="Arial"/>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补助资金对乡村建设的影响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保障驻村队员的生活水平，提高队员工作积极性，保障乡村建设工作的高效率开展</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驻村队员满意度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华文细黑" w:cs="宋体"/>
                <w:color w:val="000000"/>
                <w:sz w:val="20"/>
                <w:lang w:val="en-US" w:eastAsia="zh-CN"/>
              </w:rPr>
            </w:pPr>
            <w:r>
              <w:rPr>
                <w:rFonts w:hint="default" w:ascii="Arial" w:hAnsi="Arial" w:eastAsia="华文细黑" w:cs="Arial"/>
                <w:color w:val="000000"/>
                <w:sz w:val="20"/>
              </w:rPr>
              <w:t>≥</w:t>
            </w:r>
            <w:r>
              <w:rPr>
                <w:rFonts w:hint="eastAsia" w:ascii="Arial" w:hAnsi="Arial" w:eastAsia="华文细黑" w:cs="Arial"/>
                <w:color w:val="000000"/>
                <w:sz w:val="20"/>
                <w:lang w:val="en-US" w:eastAsia="zh-CN"/>
              </w:rPr>
              <w:t>98%</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楷体" w:hAnsi="楷体" w:eastAsia="楷体" w:cs="楷体"/>
                <w:kern w:val="0"/>
                <w:sz w:val="20"/>
                <w:szCs w:val="20"/>
                <w:lang w:eastAsia="zh-CN"/>
              </w:rPr>
              <w:t>通榆县司法局</w:t>
            </w:r>
            <w:r>
              <w:rPr>
                <w:rFonts w:hint="eastAsia" w:ascii="楷体" w:hAnsi="楷体" w:eastAsia="楷体" w:cs="楷体"/>
                <w:kern w:val="0"/>
                <w:sz w:val="20"/>
                <w:szCs w:val="20"/>
                <w:lang w:val="en-US" w:eastAsia="zh-CN"/>
              </w:rPr>
              <w:t>2024年基层司法所人员工资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27.74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27.74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both"/>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通过工资发放，保障基层司法所工作人员的工资待遇，从而加强基层司法工作的力度。</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207"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基层司法所工作人员的数量</w:t>
            </w:r>
          </w:p>
        </w:tc>
        <w:tc>
          <w:tcPr>
            <w:tcW w:w="2392" w:type="dxa"/>
            <w:tcBorders>
              <w:top w:val="single" w:color="000000" w:sz="4" w:space="0"/>
              <w:left w:val="single" w:color="000000" w:sz="4" w:space="0"/>
              <w:bottom w:val="single" w:color="auto"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=35人</w:t>
            </w:r>
          </w:p>
        </w:tc>
      </w:tr>
      <w:tr>
        <w:tblPrEx>
          <w:tblCellMar>
            <w:top w:w="15" w:type="dxa"/>
            <w:left w:w="15" w:type="dxa"/>
            <w:bottom w:w="15" w:type="dxa"/>
            <w:right w:w="15" w:type="dxa"/>
          </w:tblCellMar>
        </w:tblPrEx>
        <w:trPr>
          <w:trHeight w:val="223"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auto"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基层司法所工作人员的出勤月数</w:t>
            </w:r>
          </w:p>
        </w:tc>
        <w:tc>
          <w:tcPr>
            <w:tcW w:w="2392" w:type="dxa"/>
            <w:tcBorders>
              <w:top w:val="single" w:color="auto"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=408月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基层司法所工作人员的工资对工作人员生活水平的提高程度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华文细黑" w:cs="宋体"/>
                <w:color w:val="000000"/>
                <w:sz w:val="20"/>
                <w:lang w:val="en-US" w:eastAsia="zh-CN"/>
              </w:rPr>
            </w:pPr>
            <w:r>
              <w:rPr>
                <w:rFonts w:hint="default" w:ascii="Arial" w:hAnsi="Arial" w:eastAsia="华文细黑" w:cs="Arial"/>
                <w:color w:val="000000"/>
                <w:sz w:val="20"/>
              </w:rPr>
              <w:t>≥</w:t>
            </w:r>
            <w:r>
              <w:rPr>
                <w:rFonts w:hint="eastAsia" w:ascii="Arial" w:hAnsi="Arial" w:eastAsia="华文细黑" w:cs="Arial"/>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基层司法所工作人员的工资标准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=680元/人/月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基层司法所人员工资发放及时率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华文细黑" w:cs="宋体"/>
                <w:color w:val="000000"/>
                <w:sz w:val="20"/>
                <w:lang w:val="en-US" w:eastAsia="zh-CN"/>
              </w:rPr>
            </w:pPr>
            <w:r>
              <w:rPr>
                <w:rFonts w:hint="default" w:ascii="Arial" w:hAnsi="Arial" w:eastAsia="华文细黑" w:cs="Arial"/>
                <w:color w:val="000000"/>
                <w:sz w:val="20"/>
              </w:rPr>
              <w:t>≥</w:t>
            </w:r>
            <w:r>
              <w:rPr>
                <w:rFonts w:hint="eastAsia" w:ascii="Arial" w:hAnsi="Arial" w:eastAsia="华文细黑" w:cs="Arial"/>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基层司法所工作人员工资对司法工作影响程度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华文细黑" w:cs="宋体"/>
                <w:color w:val="000000"/>
                <w:sz w:val="20"/>
                <w:lang w:val="en-US" w:eastAsia="zh-CN"/>
              </w:rPr>
            </w:pPr>
            <w:r>
              <w:rPr>
                <w:rFonts w:hint="default" w:ascii="Arial" w:hAnsi="Arial" w:eastAsia="华文细黑" w:cs="Arial"/>
                <w:color w:val="000000"/>
                <w:sz w:val="20"/>
              </w:rPr>
              <w:t>≥</w:t>
            </w:r>
            <w:r>
              <w:rPr>
                <w:rFonts w:hint="eastAsia" w:ascii="Arial" w:hAnsi="Arial" w:eastAsia="华文细黑" w:cs="Arial"/>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基层司法所工作人员满意度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华文细黑" w:cs="宋体"/>
                <w:color w:val="000000"/>
                <w:sz w:val="20"/>
                <w:lang w:val="en-US" w:eastAsia="zh-CN"/>
              </w:rPr>
            </w:pPr>
            <w:r>
              <w:rPr>
                <w:rFonts w:hint="default" w:ascii="Arial" w:hAnsi="Arial" w:eastAsia="华文细黑" w:cs="Arial"/>
                <w:color w:val="000000"/>
                <w:sz w:val="20"/>
              </w:rPr>
              <w:t>≥</w:t>
            </w:r>
            <w:r>
              <w:rPr>
                <w:rFonts w:hint="eastAsia" w:ascii="Arial" w:hAnsi="Arial" w:eastAsia="华文细黑" w:cs="Arial"/>
                <w:color w:val="000000"/>
                <w:sz w:val="20"/>
                <w:lang w:val="en-US" w:eastAsia="zh-CN"/>
              </w:rPr>
              <w:t>95%</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楷体" w:hAnsi="楷体" w:eastAsia="楷体" w:cs="楷体"/>
                <w:kern w:val="0"/>
                <w:sz w:val="20"/>
                <w:szCs w:val="20"/>
                <w:lang w:val="en-US" w:eastAsia="zh-CN"/>
              </w:rPr>
              <w:t>通榆县司法局2024年辅助岗人员工资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3.81</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3.81</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left"/>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通过本项目的开展，保障辅助岗人员的工资待遇，保障辅助岗的最低基本生活支出。使辅助岗人员更好的开展司法工作。</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207"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辅助岗的人数</w:t>
            </w:r>
          </w:p>
        </w:tc>
        <w:tc>
          <w:tcPr>
            <w:tcW w:w="2392" w:type="dxa"/>
            <w:tcBorders>
              <w:top w:val="single" w:color="000000" w:sz="4" w:space="0"/>
              <w:left w:val="single" w:color="000000" w:sz="4" w:space="0"/>
              <w:bottom w:val="single" w:color="auto"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=1人</w:t>
            </w:r>
          </w:p>
        </w:tc>
      </w:tr>
      <w:tr>
        <w:tblPrEx>
          <w:tblCellMar>
            <w:top w:w="15" w:type="dxa"/>
            <w:left w:w="15" w:type="dxa"/>
            <w:bottom w:w="15" w:type="dxa"/>
            <w:right w:w="15" w:type="dxa"/>
          </w:tblCellMar>
        </w:tblPrEx>
        <w:trPr>
          <w:trHeight w:val="223"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auto"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辅助岗出勤月数</w:t>
            </w:r>
          </w:p>
        </w:tc>
        <w:tc>
          <w:tcPr>
            <w:tcW w:w="2392" w:type="dxa"/>
            <w:tcBorders>
              <w:top w:val="single" w:color="auto"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=12月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辅助岗工资对辅助岗生活水平提高程度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华文细黑" w:cs="宋体"/>
                <w:color w:val="000000"/>
                <w:sz w:val="20"/>
                <w:lang w:val="en-US" w:eastAsia="zh-CN"/>
              </w:rPr>
            </w:pPr>
            <w:r>
              <w:rPr>
                <w:rFonts w:hint="default" w:ascii="Arial" w:hAnsi="Arial" w:eastAsia="华文细黑" w:cs="Arial"/>
                <w:color w:val="000000"/>
                <w:sz w:val="20"/>
              </w:rPr>
              <w:t>≥</w:t>
            </w:r>
            <w:r>
              <w:rPr>
                <w:rFonts w:hint="eastAsia" w:ascii="Arial" w:hAnsi="Arial" w:eastAsia="华文细黑" w:cs="Arial"/>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辅助岗工作成本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=3172.67元/人/月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华文细黑" w:cs="宋体"/>
                <w:color w:val="000000"/>
                <w:sz w:val="20"/>
                <w:lang w:val="en-US" w:eastAsia="zh-CN"/>
              </w:rPr>
            </w:pPr>
            <w:r>
              <w:rPr>
                <w:rFonts w:hint="default" w:ascii="Arial" w:hAnsi="Arial" w:eastAsia="华文细黑" w:cs="Arial"/>
                <w:color w:val="000000"/>
                <w:sz w:val="20"/>
              </w:rPr>
              <w:t>≥</w:t>
            </w:r>
            <w:r>
              <w:rPr>
                <w:rFonts w:hint="eastAsia" w:ascii="Arial" w:hAnsi="Arial" w:eastAsia="华文细黑" w:cs="Arial"/>
                <w:color w:val="000000"/>
                <w:sz w:val="20"/>
                <w:lang w:val="en-US" w:eastAsia="zh-CN"/>
              </w:rPr>
              <w:t>97%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辅助岗工资对机关工作的影响程度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辅助岗工资得到保障，提高辅助岗配合机关工作的效率。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华文细黑" w:cs="宋体"/>
                <w:color w:val="000000"/>
                <w:sz w:val="20"/>
                <w:lang w:val="en-US" w:eastAsia="zh-CN"/>
              </w:rPr>
            </w:pPr>
            <w:r>
              <w:rPr>
                <w:rFonts w:hint="default" w:ascii="Arial" w:hAnsi="Arial" w:eastAsia="华文细黑" w:cs="Arial"/>
                <w:color w:val="000000"/>
                <w:sz w:val="20"/>
              </w:rPr>
              <w:t>≥</w:t>
            </w:r>
            <w:r>
              <w:rPr>
                <w:rFonts w:hint="eastAsia" w:ascii="Arial" w:hAnsi="Arial" w:eastAsia="华文细黑" w:cs="Arial"/>
                <w:color w:val="000000"/>
                <w:sz w:val="20"/>
                <w:lang w:val="en-US" w:eastAsia="zh-CN"/>
              </w:rPr>
              <w:t>98%</w:t>
            </w:r>
          </w:p>
        </w:tc>
      </w:tr>
    </w:tbl>
    <w:p>
      <w:pPr>
        <w:spacing w:line="700" w:lineRule="exact"/>
        <w:ind w:firstLine="640" w:firstLineChars="200"/>
        <w:rPr>
          <w:rFonts w:hint="eastAsia" w:eastAsia="楷体"/>
          <w:kern w:val="0"/>
          <w:szCs w:val="32"/>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u w:val="single"/>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cs="仿宋_GB2312"/>
          <w:szCs w:val="32"/>
          <w:lang w:eastAsia="zh-CN"/>
        </w:rPr>
        <w:t>、</w:t>
      </w:r>
      <w:r>
        <w:rPr>
          <w:rFonts w:hint="eastAsia" w:ascii="仿宋_GB2312" w:hAnsi="仿宋_GB2312" w:eastAsia="仿宋_GB2312" w:cs="仿宋_GB2312"/>
          <w:szCs w:val="32"/>
        </w:rPr>
        <w:t>上年结转结余等；支出包括：</w:t>
      </w:r>
      <w:r>
        <w:rPr>
          <w:rFonts w:hint="eastAsia" w:ascii="仿宋_GB2312" w:hAnsi="仿宋_GB2312" w:cs="仿宋_GB2312"/>
          <w:szCs w:val="32"/>
          <w:lang w:eastAsia="zh-CN"/>
        </w:rPr>
        <w:t>公共安全</w:t>
      </w:r>
      <w:r>
        <w:rPr>
          <w:rFonts w:hint="eastAsia" w:ascii="仿宋_GB2312" w:hAnsi="仿宋_GB2312" w:eastAsia="仿宋_GB2312" w:cs="仿宋_GB2312"/>
          <w:szCs w:val="32"/>
        </w:rPr>
        <w:t>支出、</w:t>
      </w:r>
      <w:r>
        <w:rPr>
          <w:rFonts w:hint="eastAsia" w:ascii="仿宋_GB2312" w:hAnsi="仿宋_GB2312" w:cs="仿宋_GB2312"/>
          <w:szCs w:val="32"/>
          <w:lang w:eastAsia="zh-CN"/>
        </w:rPr>
        <w:t>卫生</w:t>
      </w:r>
      <w:r>
        <w:rPr>
          <w:rFonts w:hint="eastAsia" w:ascii="仿宋_GB2312" w:hAnsi="仿宋_GB2312" w:cs="仿宋_GB2312"/>
          <w:szCs w:val="32"/>
          <w:lang w:val="en-US" w:eastAsia="zh-CN"/>
        </w:rPr>
        <w:t>健康支出</w:t>
      </w:r>
      <w:r>
        <w:rPr>
          <w:rFonts w:hint="eastAsia" w:ascii="仿宋_GB2312" w:hAnsi="仿宋_GB2312" w:eastAsia="仿宋_GB2312" w:cs="仿宋_GB2312"/>
          <w:szCs w:val="32"/>
        </w:rPr>
        <w:t>、社会保障和就业支</w:t>
      </w:r>
      <w:r>
        <w:rPr>
          <w:rFonts w:hint="eastAsia" w:ascii="仿宋_GB2312" w:hAnsi="仿宋_GB2312" w:cs="仿宋_GB2312"/>
          <w:szCs w:val="32"/>
          <w:lang w:eastAsia="zh-CN"/>
        </w:rPr>
        <w:t>、</w:t>
      </w:r>
      <w:r>
        <w:rPr>
          <w:rFonts w:hint="eastAsia" w:ascii="仿宋_GB2312" w:hAnsi="仿宋_GB2312" w:eastAsia="仿宋_GB2312" w:cs="仿宋_GB2312"/>
          <w:szCs w:val="32"/>
        </w:rPr>
        <w:t>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773.95</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773.95</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35.08</w:t>
      </w:r>
      <w:r>
        <w:rPr>
          <w:rFonts w:hint="eastAsia" w:ascii="仿宋_GB2312" w:hAnsi="仿宋_GB2312" w:eastAsia="仿宋_GB2312" w:cs="仿宋_GB2312"/>
          <w:szCs w:val="32"/>
        </w:rPr>
        <w:t>万元，主要原因</w:t>
      </w:r>
      <w:r>
        <w:rPr>
          <w:rFonts w:hint="eastAsia" w:ascii="仿宋_GB2312" w:hAnsi="仿宋_GB2312" w:eastAsia="仿宋_GB2312" w:cs="仿宋_GB2312"/>
          <w:szCs w:val="32"/>
          <w:u w:val="single"/>
        </w:rPr>
        <w:t>是</w:t>
      </w:r>
      <w:r>
        <w:rPr>
          <w:rFonts w:hint="eastAsia" w:ascii="仿宋_GB2312" w:hAnsi="仿宋_GB2312" w:cs="仿宋_GB2312"/>
          <w:szCs w:val="32"/>
          <w:u w:val="single"/>
          <w:lang w:eastAsia="zh-CN"/>
        </w:rPr>
        <w:t>人员职工工资的涨幅及其社保基数的增加</w:t>
      </w:r>
      <w:r>
        <w:rPr>
          <w:rFonts w:hint="eastAsia" w:ascii="仿宋_GB2312" w:hAnsi="仿宋_GB2312" w:eastAsia="仿宋_GB2312" w:cs="仿宋_GB2312"/>
          <w:szCs w:val="32"/>
          <w:u w:val="single"/>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773.95</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773.95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100 </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773.95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 xml:space="preserve"> </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773.95</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728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94.06</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45.95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5.94 </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p>
    <w:p>
      <w:pPr>
        <w:ind w:firstLine="600"/>
        <w:rPr>
          <w:rFonts w:eastAsia="楷体"/>
          <w:szCs w:val="32"/>
        </w:rPr>
      </w:pPr>
    </w:p>
    <w:p>
      <w:pPr>
        <w:ind w:firstLine="600"/>
        <w:rPr>
          <w:rFonts w:eastAsia="楷体"/>
          <w:szCs w:val="32"/>
        </w:rPr>
      </w:pPr>
    </w:p>
    <w:p>
      <w:pPr>
        <w:ind w:firstLine="600"/>
        <w:rPr>
          <w:rFonts w:eastAsia="楷体"/>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773.95</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773.95</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609.57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84.64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29.49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50.25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p>
    <w:p>
      <w:pPr>
        <w:ind w:firstLine="600"/>
        <w:rPr>
          <w:rFonts w:eastAsia="楷体"/>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773.95</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728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94.06</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45.95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5.94</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624.62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85.80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103.38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14.20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default" w:ascii="仿宋_GB2312" w:hAnsi="仿宋_GB2312" w:eastAsia="仿宋_GB2312" w:cs="仿宋_GB2312"/>
          <w:szCs w:val="32"/>
          <w:u w:val="single"/>
          <w:lang w:val="en-US" w:eastAsia="zh-CN"/>
        </w:rPr>
      </w:pPr>
      <w:r>
        <w:rPr>
          <w:rFonts w:hint="eastAsia" w:ascii="仿宋_GB2312" w:hAnsi="仿宋_GB2312" w:cs="仿宋_GB2312"/>
          <w:szCs w:val="32"/>
          <w:lang w:eastAsia="zh-CN"/>
        </w:rPr>
        <w:t>公共安全（类）支出</w:t>
      </w:r>
      <w:r>
        <w:rPr>
          <w:rFonts w:hint="eastAsia" w:ascii="仿宋_GB2312" w:hAnsi="仿宋_GB2312" w:cs="仿宋_GB2312"/>
          <w:szCs w:val="32"/>
          <w:u w:val="single"/>
          <w:lang w:val="en-US" w:eastAsia="zh-CN"/>
        </w:rPr>
        <w:t>609.57</w:t>
      </w:r>
      <w:r>
        <w:rPr>
          <w:rFonts w:hint="eastAsia" w:ascii="仿宋_GB2312" w:hAnsi="仿宋_GB2312" w:cs="仿宋_GB2312"/>
          <w:szCs w:val="32"/>
          <w:lang w:val="en-US" w:eastAsia="zh-CN"/>
        </w:rPr>
        <w:t>万元，占</w:t>
      </w:r>
      <w:r>
        <w:rPr>
          <w:rFonts w:hint="eastAsia" w:ascii="仿宋_GB2312" w:hAnsi="仿宋_GB2312" w:cs="仿宋_GB2312"/>
          <w:szCs w:val="32"/>
          <w:u w:val="single"/>
          <w:lang w:val="en-US" w:eastAsia="zh-CN"/>
        </w:rPr>
        <w:t>78.76</w:t>
      </w:r>
      <w:r>
        <w:rPr>
          <w:rFonts w:hint="eastAsia" w:ascii="仿宋_GB2312" w:hAnsi="仿宋_GB2312" w:cs="仿宋_GB2312"/>
          <w:szCs w:val="32"/>
          <w:lang w:val="en-US" w:eastAsia="zh-CN"/>
        </w:rPr>
        <w:t xml:space="preserve"> %，主要</w:t>
      </w:r>
      <w:r>
        <w:rPr>
          <w:rFonts w:hint="eastAsia" w:ascii="仿宋_GB2312" w:hAnsi="仿宋_GB2312" w:cs="仿宋_GB2312"/>
          <w:szCs w:val="32"/>
          <w:u w:val="single"/>
          <w:lang w:val="en-US" w:eastAsia="zh-CN"/>
        </w:rPr>
        <w:t>用于人员工资的支出和二级项目支出。</w:t>
      </w:r>
    </w:p>
    <w:p>
      <w:pPr>
        <w:spacing w:line="520" w:lineRule="exact"/>
        <w:ind w:firstLine="200"/>
        <w:rPr>
          <w:rFonts w:hint="eastAsia" w:ascii="仿宋_GB2312" w:hAnsi="仿宋_GB2312" w:eastAsia="仿宋_GB2312" w:cs="仿宋_GB2312"/>
          <w:szCs w:val="32"/>
          <w:u w:val="single"/>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84.64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10.94</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%，主要</w:t>
      </w:r>
      <w:r>
        <w:rPr>
          <w:rFonts w:hint="eastAsia" w:ascii="仿宋_GB2312" w:hAnsi="仿宋_GB2312" w:eastAsia="仿宋_GB2312" w:cs="仿宋_GB2312"/>
          <w:szCs w:val="32"/>
          <w:u w:val="single"/>
        </w:rPr>
        <w:t>用于</w:t>
      </w:r>
      <w:r>
        <w:rPr>
          <w:rFonts w:hint="eastAsia" w:ascii="仿宋_GB2312" w:hAnsi="仿宋_GB2312" w:cs="仿宋_GB2312"/>
          <w:szCs w:val="32"/>
          <w:u w:val="single"/>
          <w:lang w:eastAsia="zh-CN"/>
        </w:rPr>
        <w:t>职工养老保险和职业年金的缴纳</w:t>
      </w:r>
      <w:r>
        <w:rPr>
          <w:rFonts w:hint="eastAsia" w:ascii="仿宋_GB2312" w:hAnsi="仿宋_GB2312" w:eastAsia="仿宋_GB2312" w:cs="仿宋_GB2312"/>
          <w:szCs w:val="32"/>
          <w:u w:val="single"/>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w:t>
      </w:r>
    </w:p>
    <w:p>
      <w:pPr>
        <w:spacing w:line="520" w:lineRule="exact"/>
        <w:ind w:firstLine="200"/>
        <w:rPr>
          <w:rFonts w:hint="eastAsia" w:ascii="仿宋_GB2312" w:hAnsi="仿宋_GB2312" w:cs="仿宋_GB2312"/>
          <w:szCs w:val="32"/>
          <w:u w:val="single"/>
          <w:lang w:eastAsia="zh-CN"/>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50.25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6.49</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%，主要</w:t>
      </w:r>
      <w:r>
        <w:rPr>
          <w:rFonts w:hint="eastAsia" w:ascii="仿宋_GB2312" w:hAnsi="仿宋_GB2312" w:eastAsia="仿宋_GB2312" w:cs="仿宋_GB2312"/>
          <w:szCs w:val="32"/>
          <w:u w:val="single"/>
        </w:rPr>
        <w:t>用于</w:t>
      </w:r>
      <w:r>
        <w:rPr>
          <w:rFonts w:hint="eastAsia" w:ascii="仿宋_GB2312" w:hAnsi="仿宋_GB2312" w:cs="仿宋_GB2312"/>
          <w:szCs w:val="32"/>
          <w:u w:val="single"/>
          <w:lang w:eastAsia="zh-CN"/>
        </w:rPr>
        <w:t>职工住房公积金的缴纳。</w:t>
      </w:r>
    </w:p>
    <w:p>
      <w:pPr>
        <w:spacing w:line="520" w:lineRule="exact"/>
        <w:ind w:firstLine="200"/>
        <w:rPr>
          <w:rFonts w:hint="default" w:ascii="仿宋_GB2312" w:hAnsi="仿宋_GB2312" w:cs="仿宋_GB2312"/>
          <w:szCs w:val="32"/>
          <w:u w:val="single"/>
          <w:lang w:val="en-US" w:eastAsia="zh-CN"/>
        </w:rPr>
      </w:pPr>
      <w:r>
        <w:rPr>
          <w:rFonts w:hint="eastAsia" w:ascii="仿宋_GB2312" w:hAnsi="仿宋_GB2312" w:cs="仿宋_GB2312"/>
          <w:szCs w:val="32"/>
          <w:lang w:eastAsia="zh-CN"/>
        </w:rPr>
        <w:t>卫生健康（类）支出</w:t>
      </w:r>
      <w:r>
        <w:rPr>
          <w:rFonts w:hint="eastAsia" w:ascii="仿宋_GB2312" w:hAnsi="仿宋_GB2312" w:cs="仿宋_GB2312"/>
          <w:szCs w:val="32"/>
          <w:u w:val="single"/>
          <w:lang w:val="en-US" w:eastAsia="zh-CN"/>
        </w:rPr>
        <w:t>29.49</w:t>
      </w:r>
      <w:r>
        <w:rPr>
          <w:rFonts w:hint="eastAsia" w:ascii="仿宋_GB2312" w:hAnsi="仿宋_GB2312" w:cs="仿宋_GB2312"/>
          <w:szCs w:val="32"/>
          <w:lang w:val="en-US" w:eastAsia="zh-CN"/>
        </w:rPr>
        <w:t>万元，占</w:t>
      </w:r>
      <w:r>
        <w:rPr>
          <w:rFonts w:hint="eastAsia" w:ascii="仿宋_GB2312" w:hAnsi="仿宋_GB2312" w:cs="仿宋_GB2312"/>
          <w:szCs w:val="32"/>
          <w:u w:val="single"/>
          <w:lang w:val="en-US" w:eastAsia="zh-CN"/>
        </w:rPr>
        <w:t>3.81</w:t>
      </w:r>
      <w:r>
        <w:rPr>
          <w:rFonts w:hint="eastAsia" w:ascii="仿宋_GB2312" w:hAnsi="仿宋_GB2312" w:cs="仿宋_GB2312"/>
          <w:szCs w:val="32"/>
          <w:lang w:val="en-US" w:eastAsia="zh-CN"/>
        </w:rPr>
        <w:t xml:space="preserve"> %，主要</w:t>
      </w:r>
      <w:r>
        <w:rPr>
          <w:rFonts w:hint="eastAsia" w:ascii="仿宋_GB2312" w:hAnsi="仿宋_GB2312" w:cs="仿宋_GB2312"/>
          <w:szCs w:val="32"/>
          <w:u w:val="single"/>
          <w:lang w:val="en-US" w:eastAsia="zh-CN"/>
        </w:rPr>
        <w:t>用于职工医疗保险和工伤保险的缴纳。</w:t>
      </w:r>
    </w:p>
    <w:p>
      <w:pPr>
        <w:spacing w:line="520" w:lineRule="exact"/>
        <w:ind w:firstLine="640" w:firstLineChars="200"/>
        <w:rPr>
          <w:rFonts w:eastAsia="楷体"/>
          <w:szCs w:val="32"/>
        </w:rPr>
      </w:pP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728</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624.62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cs="仿宋_GB2312"/>
          <w:szCs w:val="32"/>
          <w:lang w:eastAsia="zh-CN"/>
        </w:rPr>
        <w:t>医疗保险缴费、</w:t>
      </w:r>
      <w:bookmarkStart w:id="1" w:name="_GoBack"/>
      <w:bookmarkEnd w:id="1"/>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103.38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cs="仿宋_GB2312"/>
          <w:szCs w:val="32"/>
          <w:lang w:eastAsia="zh-CN"/>
        </w:rPr>
        <w:t>咨询费、</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15.4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15.4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u w:val="single"/>
          <w:lang w:val="en-US" w:eastAsia="zh-CN"/>
        </w:rPr>
        <w:t>15.1</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u w:val="single"/>
          <w:lang w:val="en-US" w:eastAsia="zh-CN"/>
        </w:rPr>
        <w:t>0.4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u w:val="single"/>
          <w:lang w:val="en-US" w:eastAsia="zh-CN"/>
        </w:rPr>
        <w:t>0.1</w:t>
      </w:r>
      <w:r>
        <w:rPr>
          <w:rFonts w:hint="eastAsia" w:ascii="仿宋_GB2312" w:hAnsi="仿宋_GB2312" w:eastAsia="仿宋_GB2312" w:cs="仿宋_GB2312"/>
          <w:szCs w:val="32"/>
        </w:rPr>
        <w:t>万元，主要原因</w:t>
      </w:r>
      <w:r>
        <w:rPr>
          <w:rFonts w:hint="eastAsia" w:ascii="仿宋_GB2312" w:hAnsi="仿宋_GB2312" w:eastAsia="仿宋_GB2312" w:cs="仿宋_GB2312"/>
          <w:szCs w:val="32"/>
          <w:u w:val="single"/>
        </w:rPr>
        <w:t>是</w:t>
      </w:r>
      <w:r>
        <w:rPr>
          <w:rFonts w:hint="eastAsia" w:ascii="仿宋_GB2312" w:hAnsi="仿宋_GB2312" w:cs="仿宋_GB2312"/>
          <w:szCs w:val="32"/>
          <w:u w:val="single"/>
          <w:lang w:eastAsia="zh-CN"/>
        </w:rPr>
        <w:t>压缩公务接待费开支</w:t>
      </w:r>
      <w:r>
        <w:rPr>
          <w:rFonts w:hint="eastAsia" w:ascii="仿宋_GB2312" w:hAnsi="仿宋_GB2312" w:eastAsia="仿宋_GB2312" w:cs="仿宋_GB2312"/>
          <w:szCs w:val="32"/>
          <w:u w:val="single"/>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15</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15</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w:t>
      </w:r>
      <w:r>
        <w:rPr>
          <w:rFonts w:hint="eastAsia" w:ascii="仿宋_GB2312" w:hAnsi="仿宋_GB2312" w:cs="仿宋_GB2312"/>
          <w:szCs w:val="32"/>
          <w:lang w:eastAsia="zh-CN"/>
        </w:rPr>
        <w:t>减少</w:t>
      </w:r>
      <w:r>
        <w:rPr>
          <w:rFonts w:hint="eastAsia" w:ascii="仿宋_GB2312" w:hAnsi="仿宋_GB2312" w:cs="仿宋_GB2312"/>
          <w:szCs w:val="32"/>
          <w:u w:val="single"/>
          <w:lang w:val="en-US" w:eastAsia="zh-CN"/>
        </w:rPr>
        <w:t>15</w:t>
      </w:r>
      <w:r>
        <w:rPr>
          <w:rFonts w:hint="eastAsia" w:ascii="仿宋_GB2312" w:hAnsi="仿宋_GB2312" w:eastAsia="仿宋_GB2312" w:cs="仿宋_GB2312"/>
          <w:szCs w:val="32"/>
        </w:rPr>
        <w:t>万元。公务用车运行维护费</w:t>
      </w:r>
      <w:r>
        <w:rPr>
          <w:rFonts w:hint="eastAsia" w:ascii="仿宋_GB2312" w:hAnsi="仿宋_GB2312" w:cs="仿宋_GB2312"/>
          <w:szCs w:val="32"/>
          <w:u w:val="single"/>
          <w:lang w:val="en-US" w:eastAsia="zh-CN"/>
        </w:rPr>
        <w:t>15</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15</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u w:val="single"/>
          <w:lang w:val="en-US" w:eastAsia="zh-CN"/>
        </w:rPr>
        <w:t>15</w:t>
      </w:r>
      <w:r>
        <w:rPr>
          <w:rFonts w:hint="eastAsia" w:ascii="仿宋_GB2312" w:hAnsi="仿宋_GB2312" w:eastAsia="仿宋_GB2312" w:cs="仿宋_GB2312"/>
          <w:szCs w:val="32"/>
        </w:rPr>
        <w:t>万元，主要原因</w:t>
      </w:r>
      <w:r>
        <w:rPr>
          <w:rFonts w:hint="eastAsia" w:ascii="仿宋_GB2312" w:hAnsi="仿宋_GB2312" w:cs="仿宋_GB2312"/>
          <w:szCs w:val="32"/>
          <w:u w:val="single"/>
          <w:lang w:eastAsia="zh-CN"/>
        </w:rPr>
        <w:t>是省级转移支出资金增加此项拨款</w:t>
      </w:r>
      <w:r>
        <w:rPr>
          <w:rFonts w:hint="eastAsia" w:ascii="仿宋_GB2312" w:hAnsi="仿宋_GB2312" w:eastAsia="仿宋_GB2312" w:cs="仿宋_GB2312"/>
          <w:szCs w:val="32"/>
        </w:rPr>
        <w:t>；公务用车购置费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40" w:firstLineChars="200"/>
        <w:rPr>
          <w:rFonts w:eastAsia="楷体"/>
          <w:szCs w:val="32"/>
        </w:rPr>
      </w:pPr>
    </w:p>
    <w:p>
      <w:pPr>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lang w:eastAsia="zh-CN"/>
        </w:rPr>
        <w:t>本单位2024</w:t>
      </w:r>
      <w:r>
        <w:rPr>
          <w:rFonts w:hint="eastAsia" w:ascii="仿宋_GB2312" w:hAnsi="仿宋_GB2312" w:eastAsia="仿宋_GB2312" w:cs="仿宋_GB2312"/>
          <w:szCs w:val="32"/>
        </w:rPr>
        <w:t>年</w:t>
      </w:r>
      <w:r>
        <w:rPr>
          <w:rFonts w:hint="eastAsia" w:ascii="仿宋_GB2312" w:hAnsi="仿宋_GB2312" w:cs="仿宋_GB2312"/>
          <w:szCs w:val="32"/>
          <w:lang w:eastAsia="zh-CN"/>
        </w:rPr>
        <w:t>无</w:t>
      </w:r>
      <w:r>
        <w:rPr>
          <w:rFonts w:hint="eastAsia" w:ascii="仿宋_GB2312" w:hAnsi="仿宋_GB2312" w:eastAsia="仿宋_GB2312" w:cs="仿宋_GB2312"/>
          <w:szCs w:val="32"/>
        </w:rPr>
        <w:t>政府性基金预算支出</w:t>
      </w:r>
      <w:r>
        <w:rPr>
          <w:rFonts w:hint="eastAsia" w:ascii="仿宋_GB2312" w:hAnsi="仿宋_GB2312" w:eastAsia="仿宋_GB2312" w:cs="仿宋_GB2312"/>
          <w:szCs w:val="32"/>
          <w:highlight w:val="none"/>
        </w:rPr>
        <w:t>。</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本单位2024</w:t>
      </w:r>
      <w:r>
        <w:rPr>
          <w:rFonts w:hint="eastAsia" w:ascii="仿宋_GB2312" w:hAnsi="仿宋_GB2312" w:eastAsia="仿宋_GB2312" w:cs="仿宋_GB2312"/>
          <w:szCs w:val="32"/>
          <w:highlight w:val="none"/>
        </w:rPr>
        <w:t>年</w:t>
      </w:r>
      <w:r>
        <w:rPr>
          <w:rFonts w:hint="eastAsia" w:ascii="仿宋_GB2312" w:hAnsi="仿宋_GB2312" w:cs="仿宋_GB2312"/>
          <w:szCs w:val="32"/>
          <w:highlight w:val="none"/>
          <w:lang w:eastAsia="zh-CN"/>
        </w:rPr>
        <w:t>无</w:t>
      </w:r>
      <w:r>
        <w:rPr>
          <w:rFonts w:hint="eastAsia" w:ascii="仿宋_GB2312" w:hAnsi="仿宋_GB2312" w:eastAsia="仿宋_GB2312" w:cs="仿宋_GB2312"/>
          <w:szCs w:val="32"/>
          <w:highlight w:val="none"/>
        </w:rPr>
        <w:t>国有资本经营预算支出。</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1家</w:t>
      </w:r>
      <w:r>
        <w:rPr>
          <w:rFonts w:hint="eastAsia" w:ascii="仿宋_GB2312" w:hAnsi="仿宋_GB2312" w:eastAsia="仿宋_GB2312" w:cs="仿宋_GB2312"/>
          <w:szCs w:val="32"/>
        </w:rPr>
        <w:t>行政单位机关运行经费财政拨款预算</w:t>
      </w:r>
      <w:r>
        <w:rPr>
          <w:rFonts w:hint="eastAsia" w:ascii="仿宋_GB2312" w:hAnsi="仿宋_GB2312" w:cs="仿宋_GB2312"/>
          <w:szCs w:val="32"/>
          <w:u w:val="single"/>
          <w:lang w:val="en-US" w:eastAsia="zh-CN"/>
        </w:rPr>
        <w:t>75.6</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1.8</w:t>
      </w:r>
      <w:r>
        <w:rPr>
          <w:rFonts w:hint="eastAsia" w:ascii="仿宋_GB2312" w:hAnsi="仿宋_GB2312" w:eastAsia="仿宋_GB2312" w:cs="仿宋_GB2312"/>
          <w:szCs w:val="32"/>
        </w:rPr>
        <w:t>万元，增长</w:t>
      </w:r>
      <w:r>
        <w:rPr>
          <w:rFonts w:hint="eastAsia" w:ascii="仿宋_GB2312" w:hAnsi="仿宋_GB2312" w:cs="仿宋_GB2312"/>
          <w:szCs w:val="32"/>
          <w:u w:val="single"/>
          <w:lang w:val="en-US" w:eastAsia="zh-CN"/>
        </w:rPr>
        <w:t>2.44</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%，主要原因是</w:t>
      </w:r>
      <w:r>
        <w:rPr>
          <w:rFonts w:hint="eastAsia" w:ascii="仿宋_GB2312" w:hAnsi="仿宋_GB2312" w:cs="仿宋_GB2312"/>
          <w:szCs w:val="32"/>
          <w:u w:val="single"/>
          <w:lang w:eastAsia="zh-CN"/>
        </w:rPr>
        <w:t>单位增加新录用人员，使机关运行经费增加</w:t>
      </w:r>
      <w:r>
        <w:rPr>
          <w:rFonts w:hint="eastAsia" w:ascii="仿宋_GB2312" w:hAnsi="仿宋_GB2312" w:eastAsia="仿宋_GB2312" w:cs="仿宋_GB2312"/>
          <w:szCs w:val="32"/>
          <w:u w:val="single"/>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cs="仿宋_GB2312"/>
          <w:szCs w:val="32"/>
          <w:lang w:eastAsia="zh-CN"/>
        </w:rPr>
      </w:pPr>
      <w:r>
        <w:rPr>
          <w:rFonts w:hint="eastAsia" w:ascii="仿宋_GB2312" w:hAnsi="仿宋_GB2312" w:cs="仿宋_GB2312"/>
          <w:szCs w:val="32"/>
          <w:lang w:eastAsia="zh-CN"/>
        </w:rPr>
        <w:t>本单位2024</w:t>
      </w:r>
      <w:r>
        <w:rPr>
          <w:rFonts w:hint="eastAsia" w:ascii="仿宋_GB2312" w:hAnsi="仿宋_GB2312" w:eastAsia="仿宋_GB2312" w:cs="仿宋_GB2312"/>
          <w:szCs w:val="32"/>
        </w:rPr>
        <w:t>年</w:t>
      </w:r>
      <w:r>
        <w:rPr>
          <w:rFonts w:hint="eastAsia" w:ascii="仿宋_GB2312" w:hAnsi="仿宋_GB2312" w:cs="仿宋_GB2312"/>
          <w:szCs w:val="32"/>
          <w:lang w:eastAsia="zh-CN"/>
        </w:rPr>
        <w:t>无</w:t>
      </w:r>
      <w:r>
        <w:rPr>
          <w:rFonts w:hint="eastAsia" w:ascii="仿宋_GB2312" w:hAnsi="仿宋_GB2312" w:eastAsia="仿宋_GB2312" w:cs="仿宋_GB2312"/>
          <w:szCs w:val="32"/>
        </w:rPr>
        <w:t>政府采购预算</w:t>
      </w:r>
      <w:r>
        <w:rPr>
          <w:rFonts w:hint="eastAsia" w:ascii="仿宋_GB2312" w:hAnsi="仿宋_GB2312" w:cs="仿宋_GB2312"/>
          <w:szCs w:val="32"/>
          <w:lang w:eastAsia="zh-CN"/>
        </w:rPr>
        <w:t>。</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w:t>
      </w:r>
      <w:r>
        <w:rPr>
          <w:rFonts w:hint="eastAsia" w:ascii="仿宋_GB2312" w:hAnsi="仿宋_GB2312" w:eastAsia="仿宋_GB2312" w:cs="仿宋_GB2312"/>
          <w:szCs w:val="32"/>
          <w:u w:val="single"/>
        </w:rPr>
        <w:t>8</w:t>
      </w:r>
      <w:r>
        <w:rPr>
          <w:rFonts w:hint="eastAsia" w:ascii="仿宋_GB2312" w:hAnsi="仿宋_GB2312" w:eastAsia="仿宋_GB2312" w:cs="仿宋_GB2312"/>
          <w:szCs w:val="32"/>
        </w:rPr>
        <w:t>月底，部门本级和所属各预算单位共有车辆</w:t>
      </w:r>
      <w:r>
        <w:rPr>
          <w:rFonts w:hint="eastAsia" w:ascii="仿宋_GB2312" w:hAnsi="仿宋_GB2312" w:cs="仿宋_GB2312"/>
          <w:szCs w:val="32"/>
          <w:u w:val="single"/>
          <w:lang w:val="en-US" w:eastAsia="zh-CN"/>
        </w:rPr>
        <w:t>21</w:t>
      </w:r>
      <w:r>
        <w:rPr>
          <w:rFonts w:hint="eastAsia" w:ascii="仿宋_GB2312" w:hAnsi="仿宋_GB2312" w:eastAsia="仿宋_GB2312" w:cs="仿宋_GB2312"/>
          <w:szCs w:val="32"/>
        </w:rPr>
        <w:t>辆，土地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u w:val="single"/>
          <w:lang w:val="en-US" w:eastAsia="zh-CN"/>
        </w:rPr>
        <w:t>3431.80</w:t>
      </w:r>
      <w:r>
        <w:rPr>
          <w:rFonts w:hint="eastAsia" w:ascii="仿宋_GB2312" w:hAnsi="仿宋_GB2312" w:eastAsia="仿宋_GB2312" w:cs="仿宋_GB2312"/>
          <w:szCs w:val="32"/>
        </w:rPr>
        <w:t>平方米，单价5</w:t>
      </w:r>
      <w:r>
        <w:rPr>
          <w:rFonts w:hint="eastAsia" w:ascii="仿宋_GB2312" w:hAnsi="仿宋_GB2312" w:eastAsia="仿宋_GB2312" w:cs="仿宋_GB2312"/>
          <w:szCs w:val="32"/>
          <w:u w:val="single"/>
        </w:rPr>
        <w:t>0</w:t>
      </w:r>
      <w:r>
        <w:rPr>
          <w:rFonts w:hint="eastAsia" w:ascii="仿宋_GB2312" w:hAnsi="仿宋_GB2312" w:eastAsia="仿宋_GB2312" w:cs="仿宋_GB2312"/>
          <w:szCs w:val="32"/>
        </w:rPr>
        <w:t>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45.95</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3</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45.95</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3</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u w:val="single"/>
          <w:lang w:val="en-US" w:eastAsia="zh-CN"/>
        </w:rPr>
        <w:t>45.95</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ind w:firstLine="640" w:firstLineChars="200"/>
        <w:rPr>
          <w:rFonts w:eastAsia="楷体"/>
          <w:szCs w:val="32"/>
        </w:rPr>
      </w:pPr>
    </w:p>
    <w:p>
      <w:pPr>
        <w:spacing w:line="540" w:lineRule="exact"/>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mYzhiYjhhMzZiYTZlYjNlNjczMjY4MjM5ZjBmN2QifQ=="/>
    <w:docVar w:name="KSO_WPS_MARK_KEY" w:val="2e3817a0-32c4-46b2-bac6-aa932c74deb5"/>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563CB9"/>
    <w:rsid w:val="02D30888"/>
    <w:rsid w:val="031D7D4B"/>
    <w:rsid w:val="03697EBB"/>
    <w:rsid w:val="04022755"/>
    <w:rsid w:val="0486486A"/>
    <w:rsid w:val="04954460"/>
    <w:rsid w:val="04F026C1"/>
    <w:rsid w:val="050D06DA"/>
    <w:rsid w:val="050F3BA7"/>
    <w:rsid w:val="05513E94"/>
    <w:rsid w:val="056F5A6D"/>
    <w:rsid w:val="059B3770"/>
    <w:rsid w:val="05C75836"/>
    <w:rsid w:val="062D1026"/>
    <w:rsid w:val="063949A0"/>
    <w:rsid w:val="067960C1"/>
    <w:rsid w:val="06BD5BC7"/>
    <w:rsid w:val="07D21289"/>
    <w:rsid w:val="07F544B0"/>
    <w:rsid w:val="08D13141"/>
    <w:rsid w:val="0953716C"/>
    <w:rsid w:val="09A0082A"/>
    <w:rsid w:val="0A334D52"/>
    <w:rsid w:val="0ABA06FE"/>
    <w:rsid w:val="0AE147AE"/>
    <w:rsid w:val="0B5F5ADA"/>
    <w:rsid w:val="0B710869"/>
    <w:rsid w:val="0BF97AA7"/>
    <w:rsid w:val="0C2A5C84"/>
    <w:rsid w:val="0C864B3F"/>
    <w:rsid w:val="0DA001B0"/>
    <w:rsid w:val="0DB6446C"/>
    <w:rsid w:val="0DEB170B"/>
    <w:rsid w:val="0E4C7841"/>
    <w:rsid w:val="0F3E0406"/>
    <w:rsid w:val="0F4B05E5"/>
    <w:rsid w:val="0F8B592F"/>
    <w:rsid w:val="0FA24B48"/>
    <w:rsid w:val="0FD62F63"/>
    <w:rsid w:val="107728C7"/>
    <w:rsid w:val="10AE7F82"/>
    <w:rsid w:val="10C93B35"/>
    <w:rsid w:val="11177619"/>
    <w:rsid w:val="112605C8"/>
    <w:rsid w:val="12DF4A47"/>
    <w:rsid w:val="12E711B7"/>
    <w:rsid w:val="136D62BD"/>
    <w:rsid w:val="13F21722"/>
    <w:rsid w:val="1441443C"/>
    <w:rsid w:val="14C12787"/>
    <w:rsid w:val="15593E10"/>
    <w:rsid w:val="159F7E25"/>
    <w:rsid w:val="15F848D0"/>
    <w:rsid w:val="160E1FA5"/>
    <w:rsid w:val="160F2600"/>
    <w:rsid w:val="17765BCA"/>
    <w:rsid w:val="17A027D8"/>
    <w:rsid w:val="185D0006"/>
    <w:rsid w:val="1A3C31D7"/>
    <w:rsid w:val="1A817DF8"/>
    <w:rsid w:val="1ADC594E"/>
    <w:rsid w:val="1AE73ABA"/>
    <w:rsid w:val="1AEB5252"/>
    <w:rsid w:val="1C852172"/>
    <w:rsid w:val="1CA40C0C"/>
    <w:rsid w:val="1CFF4A32"/>
    <w:rsid w:val="1D6B053E"/>
    <w:rsid w:val="1D833200"/>
    <w:rsid w:val="1DA8115B"/>
    <w:rsid w:val="1DBE20C1"/>
    <w:rsid w:val="1DDE15B2"/>
    <w:rsid w:val="1E2D59A2"/>
    <w:rsid w:val="1E3A3FD0"/>
    <w:rsid w:val="1E943AE4"/>
    <w:rsid w:val="1EB55C07"/>
    <w:rsid w:val="1F351A10"/>
    <w:rsid w:val="1FED47E9"/>
    <w:rsid w:val="206816AC"/>
    <w:rsid w:val="20F51F85"/>
    <w:rsid w:val="216F7324"/>
    <w:rsid w:val="21CD73E2"/>
    <w:rsid w:val="22256E39"/>
    <w:rsid w:val="22A4003E"/>
    <w:rsid w:val="23984063"/>
    <w:rsid w:val="23CE11F0"/>
    <w:rsid w:val="23EC61F6"/>
    <w:rsid w:val="244C543C"/>
    <w:rsid w:val="24624768"/>
    <w:rsid w:val="248F1E11"/>
    <w:rsid w:val="2539376C"/>
    <w:rsid w:val="254C6FAD"/>
    <w:rsid w:val="259B5BC5"/>
    <w:rsid w:val="25C7462E"/>
    <w:rsid w:val="25F62C4E"/>
    <w:rsid w:val="26643D6C"/>
    <w:rsid w:val="26FE109D"/>
    <w:rsid w:val="27073E1E"/>
    <w:rsid w:val="27135897"/>
    <w:rsid w:val="27B04AB3"/>
    <w:rsid w:val="28A63332"/>
    <w:rsid w:val="29C45F24"/>
    <w:rsid w:val="2B7D1C4E"/>
    <w:rsid w:val="2DF8796C"/>
    <w:rsid w:val="2E3B3851"/>
    <w:rsid w:val="2EB22F18"/>
    <w:rsid w:val="2EE12108"/>
    <w:rsid w:val="2EED35E3"/>
    <w:rsid w:val="2F250383"/>
    <w:rsid w:val="2F63610B"/>
    <w:rsid w:val="300965A3"/>
    <w:rsid w:val="30730D6E"/>
    <w:rsid w:val="30B91A70"/>
    <w:rsid w:val="32CF2C5D"/>
    <w:rsid w:val="335402B5"/>
    <w:rsid w:val="339466B2"/>
    <w:rsid w:val="34555AF5"/>
    <w:rsid w:val="35335357"/>
    <w:rsid w:val="35616772"/>
    <w:rsid w:val="35EA1663"/>
    <w:rsid w:val="364C598E"/>
    <w:rsid w:val="36757A4C"/>
    <w:rsid w:val="36CC2B0F"/>
    <w:rsid w:val="371A614D"/>
    <w:rsid w:val="3838492F"/>
    <w:rsid w:val="387258D7"/>
    <w:rsid w:val="3887374F"/>
    <w:rsid w:val="38A26A7B"/>
    <w:rsid w:val="38AF6637"/>
    <w:rsid w:val="39041A07"/>
    <w:rsid w:val="39043B77"/>
    <w:rsid w:val="393F0DCD"/>
    <w:rsid w:val="39670895"/>
    <w:rsid w:val="3A657F9A"/>
    <w:rsid w:val="3A80103E"/>
    <w:rsid w:val="3A9113D4"/>
    <w:rsid w:val="3AC54F32"/>
    <w:rsid w:val="3B144A0A"/>
    <w:rsid w:val="3B1B2A0D"/>
    <w:rsid w:val="3B7C071F"/>
    <w:rsid w:val="3BC92948"/>
    <w:rsid w:val="3BE370D4"/>
    <w:rsid w:val="3C163AAE"/>
    <w:rsid w:val="3C275078"/>
    <w:rsid w:val="3C29381E"/>
    <w:rsid w:val="3C4E493B"/>
    <w:rsid w:val="3C711E1D"/>
    <w:rsid w:val="3C7F463D"/>
    <w:rsid w:val="3CAE3960"/>
    <w:rsid w:val="3D30152B"/>
    <w:rsid w:val="3D365BF6"/>
    <w:rsid w:val="3D8861DE"/>
    <w:rsid w:val="3DF23324"/>
    <w:rsid w:val="3EA14040"/>
    <w:rsid w:val="3EE8108D"/>
    <w:rsid w:val="3F827A5D"/>
    <w:rsid w:val="405745EF"/>
    <w:rsid w:val="40B80EFF"/>
    <w:rsid w:val="41A35364"/>
    <w:rsid w:val="41C31686"/>
    <w:rsid w:val="41FA3369"/>
    <w:rsid w:val="42982B4E"/>
    <w:rsid w:val="432C0099"/>
    <w:rsid w:val="436B1E42"/>
    <w:rsid w:val="43993170"/>
    <w:rsid w:val="44054362"/>
    <w:rsid w:val="449C5E6A"/>
    <w:rsid w:val="456D114B"/>
    <w:rsid w:val="45EB670F"/>
    <w:rsid w:val="46AB7C0D"/>
    <w:rsid w:val="46D44808"/>
    <w:rsid w:val="472E246B"/>
    <w:rsid w:val="47CF49E6"/>
    <w:rsid w:val="4843587B"/>
    <w:rsid w:val="48674ED2"/>
    <w:rsid w:val="487708E6"/>
    <w:rsid w:val="49645F71"/>
    <w:rsid w:val="499F5C68"/>
    <w:rsid w:val="4AF16062"/>
    <w:rsid w:val="4AFE5F72"/>
    <w:rsid w:val="4B646DDD"/>
    <w:rsid w:val="4B7F44F8"/>
    <w:rsid w:val="4BAC24C5"/>
    <w:rsid w:val="4BC12B49"/>
    <w:rsid w:val="4BFA0656"/>
    <w:rsid w:val="4C5567C9"/>
    <w:rsid w:val="4D396A73"/>
    <w:rsid w:val="4D730507"/>
    <w:rsid w:val="4D741DD3"/>
    <w:rsid w:val="4DC93207"/>
    <w:rsid w:val="4E2A22FD"/>
    <w:rsid w:val="4E8D5761"/>
    <w:rsid w:val="4EF54A85"/>
    <w:rsid w:val="4F6F75D9"/>
    <w:rsid w:val="501B3C66"/>
    <w:rsid w:val="504B40C5"/>
    <w:rsid w:val="50987DC2"/>
    <w:rsid w:val="50A4703E"/>
    <w:rsid w:val="50A50BDA"/>
    <w:rsid w:val="5136104F"/>
    <w:rsid w:val="51BB3712"/>
    <w:rsid w:val="51E55C99"/>
    <w:rsid w:val="52071113"/>
    <w:rsid w:val="52447C09"/>
    <w:rsid w:val="525A440D"/>
    <w:rsid w:val="54741940"/>
    <w:rsid w:val="54810E66"/>
    <w:rsid w:val="54C2556E"/>
    <w:rsid w:val="55480EEF"/>
    <w:rsid w:val="56570E30"/>
    <w:rsid w:val="57193F55"/>
    <w:rsid w:val="57AE5C26"/>
    <w:rsid w:val="57DD75A9"/>
    <w:rsid w:val="582232DD"/>
    <w:rsid w:val="58256ABD"/>
    <w:rsid w:val="58F95036"/>
    <w:rsid w:val="59472AC7"/>
    <w:rsid w:val="59BD150F"/>
    <w:rsid w:val="59DD570D"/>
    <w:rsid w:val="59FF5EDC"/>
    <w:rsid w:val="5A084708"/>
    <w:rsid w:val="5AB343F7"/>
    <w:rsid w:val="5ABF50F2"/>
    <w:rsid w:val="5AF76904"/>
    <w:rsid w:val="5B052E7A"/>
    <w:rsid w:val="5B3D7F7E"/>
    <w:rsid w:val="5B7C7777"/>
    <w:rsid w:val="5B9462A0"/>
    <w:rsid w:val="5BEC6771"/>
    <w:rsid w:val="5C931119"/>
    <w:rsid w:val="5CA506B9"/>
    <w:rsid w:val="5CFD5FB2"/>
    <w:rsid w:val="5D2B52D8"/>
    <w:rsid w:val="5D5A7C63"/>
    <w:rsid w:val="5DFE7D19"/>
    <w:rsid w:val="5E256F6F"/>
    <w:rsid w:val="5F6235A9"/>
    <w:rsid w:val="614125C2"/>
    <w:rsid w:val="624C5C52"/>
    <w:rsid w:val="632B09C2"/>
    <w:rsid w:val="63952BB5"/>
    <w:rsid w:val="63DF08E4"/>
    <w:rsid w:val="64127E15"/>
    <w:rsid w:val="64C04AFD"/>
    <w:rsid w:val="661A7B69"/>
    <w:rsid w:val="664909C1"/>
    <w:rsid w:val="66C63EB5"/>
    <w:rsid w:val="672B53CE"/>
    <w:rsid w:val="677772D0"/>
    <w:rsid w:val="679461D3"/>
    <w:rsid w:val="6858287E"/>
    <w:rsid w:val="69157114"/>
    <w:rsid w:val="691A443E"/>
    <w:rsid w:val="69D37769"/>
    <w:rsid w:val="6A2D0E7D"/>
    <w:rsid w:val="6A80735F"/>
    <w:rsid w:val="6ACC5E47"/>
    <w:rsid w:val="6AD43ED1"/>
    <w:rsid w:val="6B11024D"/>
    <w:rsid w:val="6B7D5B36"/>
    <w:rsid w:val="6CF120A8"/>
    <w:rsid w:val="6D836174"/>
    <w:rsid w:val="6F176B74"/>
    <w:rsid w:val="714213DD"/>
    <w:rsid w:val="717F272E"/>
    <w:rsid w:val="72787BF9"/>
    <w:rsid w:val="728027C6"/>
    <w:rsid w:val="729F57FE"/>
    <w:rsid w:val="72D54D7C"/>
    <w:rsid w:val="737664E0"/>
    <w:rsid w:val="73FE7ACC"/>
    <w:rsid w:val="74053F35"/>
    <w:rsid w:val="74556746"/>
    <w:rsid w:val="74565EA3"/>
    <w:rsid w:val="74AB7A24"/>
    <w:rsid w:val="74E37594"/>
    <w:rsid w:val="74F33BDF"/>
    <w:rsid w:val="753233B2"/>
    <w:rsid w:val="763C1D7A"/>
    <w:rsid w:val="76BB79B1"/>
    <w:rsid w:val="76C17E06"/>
    <w:rsid w:val="76CA67BD"/>
    <w:rsid w:val="774E6400"/>
    <w:rsid w:val="775B0046"/>
    <w:rsid w:val="77F443E2"/>
    <w:rsid w:val="784C3D32"/>
    <w:rsid w:val="78796248"/>
    <w:rsid w:val="78C8620E"/>
    <w:rsid w:val="79700BEF"/>
    <w:rsid w:val="79D20267"/>
    <w:rsid w:val="79F85634"/>
    <w:rsid w:val="7A090695"/>
    <w:rsid w:val="7AA329D6"/>
    <w:rsid w:val="7AA85D5B"/>
    <w:rsid w:val="7AE175F4"/>
    <w:rsid w:val="7B417685"/>
    <w:rsid w:val="7B5220F0"/>
    <w:rsid w:val="7BA169C0"/>
    <w:rsid w:val="7BE95D3C"/>
    <w:rsid w:val="7BFC5BDC"/>
    <w:rsid w:val="7CAD595B"/>
    <w:rsid w:val="7CF65D07"/>
    <w:rsid w:val="7D2975D1"/>
    <w:rsid w:val="7DCC0CD6"/>
    <w:rsid w:val="7E0354DB"/>
    <w:rsid w:val="7E5D45FF"/>
    <w:rsid w:val="7F94330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3">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33</Pages>
  <Words>8253</Words>
  <Characters>9498</Characters>
  <Lines>71</Lines>
  <Paragraphs>20</Paragraphs>
  <TotalTime>59</TotalTime>
  <ScaleCrop>false</ScaleCrop>
  <LinksUpToDate>false</LinksUpToDate>
  <CharactersWithSpaces>10079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心窗</cp:lastModifiedBy>
  <cp:lastPrinted>2024-01-28T09:36:00Z</cp:lastPrinted>
  <dcterms:modified xsi:type="dcterms:W3CDTF">2024-01-29T13:50:00Z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commondata">
    <vt:lpwstr>eyJoZGlkIjoiZWM5MjE1YWFmYzZkMzU5ZGRkN2NlNjYxOGIzMjAyOWQifQ==</vt:lpwstr>
  </property>
  <property fmtid="{D5CDD505-2E9C-101B-9397-08002B2CF9AE}" pid="4" name="ICV">
    <vt:lpwstr>D29A92C246E94DE789C8DBF1CBC7FB4E_13</vt:lpwstr>
  </property>
</Properties>
</file>