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0"/>
          <w:szCs w:val="40"/>
        </w:rPr>
      </w:pPr>
      <w:r>
        <w:rPr>
          <w:rFonts w:hint="eastAsia" w:eastAsia="方正小标宋简体"/>
          <w:sz w:val="40"/>
          <w:szCs w:val="40"/>
          <w:u w:val="none"/>
          <w:lang w:eastAsia="zh-CN"/>
        </w:rPr>
        <w:t>通榆县十花道乡综合服务中心</w:t>
      </w:r>
      <w:r>
        <w:rPr>
          <w:rFonts w:hint="eastAsia" w:eastAsia="方正小标宋简体"/>
          <w:sz w:val="40"/>
          <w:szCs w:val="40"/>
          <w:lang w:eastAsia="zh-CN"/>
        </w:rPr>
        <w:t>2024</w:t>
      </w:r>
      <w:r>
        <w:rPr>
          <w:rFonts w:eastAsia="方正小标宋简体"/>
          <w:sz w:val="40"/>
          <w:szCs w:val="40"/>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 w:val="21"/>
          <w:szCs w:val="21"/>
        </w:rPr>
      </w:pPr>
      <w:r>
        <w:rPr>
          <w:rFonts w:hint="eastAsia" w:ascii="仿宋" w:hAnsi="仿宋" w:eastAsia="仿宋"/>
          <w:sz w:val="32"/>
          <w:u w:val="none"/>
          <w:lang w:eastAsia="zh-CN"/>
        </w:rPr>
        <w:t>承担农业（畜牧业）、自然资源、林业（草原）、水利、文化、体育、劳动和社会保障、卫生健康、退役军人保障等服务工作；负责行政审批窗口具体事务性工作；完成党委、政府交办的其他任务。</w:t>
      </w:r>
    </w:p>
    <w:p>
      <w:pPr>
        <w:ind w:firstLine="640" w:firstLineChars="200"/>
      </w:pPr>
      <w:r>
        <w:rPr>
          <w:rFonts w:eastAsia="楷体_GB2312"/>
        </w:rPr>
        <w:t>二、机构设置</w:t>
      </w:r>
    </w:p>
    <w:p>
      <w:pPr>
        <w:ind w:firstLine="640" w:firstLineChars="200"/>
        <w:rPr>
          <w:rFonts w:hint="eastAsia" w:ascii="仿宋" w:hAnsi="仿宋" w:eastAsia="仿宋"/>
          <w:sz w:val="32"/>
        </w:rPr>
      </w:pPr>
      <w:r>
        <w:rPr>
          <w:rFonts w:hint="eastAsia" w:ascii="仿宋_GB2312" w:hAnsi="仿宋_GB2312" w:eastAsia="仿宋_GB2312" w:cs="仿宋_GB2312"/>
        </w:rPr>
        <w:t>根据上述职责，</w:t>
      </w:r>
      <w:r>
        <w:rPr>
          <w:rFonts w:hint="eastAsia" w:ascii="仿宋_GB2312" w:hAnsi="仿宋_GB2312" w:eastAsia="仿宋_GB2312" w:cs="仿宋_GB2312"/>
          <w:u w:val="none"/>
          <w:lang w:eastAsia="zh-CN"/>
        </w:rPr>
        <w:t>通榆县十花道乡</w:t>
      </w:r>
      <w:r>
        <w:rPr>
          <w:rFonts w:hint="eastAsia" w:ascii="仿宋_GB2312" w:hAnsi="仿宋_GB2312" w:cs="仿宋_GB2312"/>
          <w:u w:val="none"/>
          <w:lang w:eastAsia="zh-CN"/>
        </w:rPr>
        <w:t>综合服务中心</w:t>
      </w:r>
      <w:r>
        <w:rPr>
          <w:rFonts w:hint="eastAsia" w:ascii="仿宋_GB2312" w:hAnsi="仿宋_GB2312" w:eastAsia="仿宋_GB2312" w:cs="仿宋_GB2312"/>
          <w:u w:val="none"/>
        </w:rPr>
        <w:t>内设</w:t>
      </w:r>
      <w:r>
        <w:rPr>
          <w:rFonts w:hint="eastAsia" w:ascii="仿宋_GB2312" w:hAnsi="仿宋_GB2312" w:eastAsia="仿宋_GB2312" w:cs="仿宋_GB2312"/>
          <w:u w:val="none"/>
          <w:lang w:val="en-US" w:eastAsia="zh-CN"/>
        </w:rPr>
        <w:t>12</w:t>
      </w:r>
      <w:r>
        <w:rPr>
          <w:rFonts w:hint="eastAsia" w:ascii="仿宋_GB2312" w:hAnsi="仿宋_GB2312" w:eastAsia="仿宋_GB2312" w:cs="仿宋_GB2312"/>
          <w:u w:val="none"/>
        </w:rPr>
        <w:t>个</w:t>
      </w:r>
      <w:r>
        <w:rPr>
          <w:rFonts w:hint="eastAsia" w:ascii="仿宋_GB2312" w:hAnsi="仿宋_GB2312" w:eastAsia="仿宋_GB2312" w:cs="仿宋_GB2312"/>
        </w:rPr>
        <w:t>机构，分别为</w:t>
      </w:r>
      <w:r>
        <w:rPr>
          <w:rFonts w:hint="eastAsia" w:ascii="仿宋" w:hAnsi="仿宋" w:eastAsia="仿宋"/>
          <w:sz w:val="32"/>
          <w:szCs w:val="30"/>
          <w:lang w:eastAsia="zh-CN"/>
        </w:rPr>
        <w:t>农业工作站、畜牧工作站、农村经济管理站、农机推广站、林业工作站、水利工总站、文化工作站、计划生育工作站、国土资源所、人力资源社会保障事务所、广播站和退役军人工作站。</w:t>
      </w:r>
    </w:p>
    <w:p>
      <w:pPr>
        <w:pStyle w:val="51"/>
        <w:ind w:firstLine="640" w:firstLineChars="200"/>
        <w:rPr>
          <w:rFonts w:eastAsia="黑体"/>
          <w:sz w:val="36"/>
          <w:szCs w:val="36"/>
        </w:rPr>
      </w:pPr>
      <w:r>
        <w:rPr>
          <w:rFonts w:hint="eastAsia" w:ascii="仿宋_GB2312" w:hAnsi="仿宋_GB2312" w:eastAsia="仿宋_GB2312" w:cs="仿宋_GB2312"/>
          <w:u w:val="none"/>
          <w:lang w:eastAsia="zh-CN"/>
        </w:rPr>
        <w:t>无下设</w:t>
      </w:r>
      <w:r>
        <w:rPr>
          <w:rFonts w:hint="eastAsia" w:ascii="仿宋_GB2312" w:hAnsi="仿宋_GB2312" w:eastAsia="仿宋_GB2312" w:cs="仿宋_GB2312"/>
          <w:u w:val="none"/>
        </w:rPr>
        <w:t>预算单位。</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431.88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735.99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158.11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42.48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w:t>
            </w:r>
            <w:r>
              <w:rPr>
                <w:rFonts w:hint="eastAsia" w:ascii="仿宋_GB2312"/>
                <w:b w:val="0"/>
                <w:bCs/>
                <w:color w:val="000000"/>
                <w:kern w:val="0"/>
                <w:sz w:val="20"/>
                <w:lang w:eastAsia="zh-CN"/>
              </w:rPr>
              <w:t>卫生健康</w:t>
            </w:r>
            <w:r>
              <w:rPr>
                <w:rFonts w:hint="eastAsia" w:ascii="仿宋_GB2312"/>
                <w:b w:val="0"/>
                <w:bCs/>
                <w:color w:val="00000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735.99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735.99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735.99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89"/>
        <w:gridCol w:w="690"/>
        <w:gridCol w:w="660"/>
        <w:gridCol w:w="709"/>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61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69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697"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6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69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7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2473" w:hRule="atLeast"/>
          <w:jc w:val="center"/>
        </w:trPr>
        <w:tc>
          <w:tcPr>
            <w:tcW w:w="617"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通榆县十花道乡综合服务中心</w:t>
            </w:r>
          </w:p>
        </w:tc>
        <w:tc>
          <w:tcPr>
            <w:tcW w:w="69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735.99</w:t>
            </w:r>
          </w:p>
        </w:tc>
        <w:tc>
          <w:tcPr>
            <w:tcW w:w="66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735.99</w:t>
            </w:r>
          </w:p>
        </w:tc>
        <w:tc>
          <w:tcPr>
            <w:tcW w:w="70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735.99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61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61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61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61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61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61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61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61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6"/>
                <w:szCs w:val="16"/>
                <w:shd w:val="clear" w:color="auto" w:fill="FFFFFF"/>
                <w:lang w:val="en-US" w:eastAsia="zh-CN"/>
              </w:rPr>
            </w:pPr>
            <w:r>
              <w:rPr>
                <w:rFonts w:hint="eastAsia"/>
                <w:color w:val="000000"/>
                <w:sz w:val="16"/>
                <w:szCs w:val="16"/>
                <w:shd w:val="clear" w:color="auto" w:fill="FFFFFF"/>
                <w:lang w:val="en-US" w:eastAsia="zh-CN"/>
              </w:rPr>
              <w:t>735.99</w:t>
            </w: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6"/>
                <w:szCs w:val="16"/>
                <w:shd w:val="clear" w:color="auto" w:fill="FFFFFF"/>
                <w:lang w:val="en-US" w:eastAsia="zh-CN"/>
              </w:rPr>
            </w:pPr>
            <w:r>
              <w:rPr>
                <w:rFonts w:hint="eastAsia"/>
                <w:color w:val="000000"/>
                <w:sz w:val="16"/>
                <w:szCs w:val="16"/>
                <w:shd w:val="clear" w:color="auto" w:fill="FFFFFF"/>
                <w:lang w:val="en-US" w:eastAsia="zh-CN"/>
              </w:rPr>
              <w:t>735.99</w:t>
            </w:r>
          </w:p>
        </w:tc>
        <w:tc>
          <w:tcPr>
            <w:tcW w:w="7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16"/>
                <w:szCs w:val="16"/>
                <w:shd w:val="clear" w:color="auto" w:fill="FFFFFF"/>
                <w:lang w:val="en-US" w:eastAsia="zh-CN"/>
              </w:rPr>
            </w:pPr>
            <w:r>
              <w:rPr>
                <w:rFonts w:hint="eastAsia"/>
                <w:color w:val="000000"/>
                <w:sz w:val="16"/>
                <w:szCs w:val="16"/>
                <w:shd w:val="clear" w:color="auto" w:fill="FFFFFF"/>
                <w:lang w:val="en-US" w:eastAsia="zh-CN"/>
              </w:rPr>
              <w:t>735.99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ascii="Times New Roman" w:hAnsi="Times New Roman" w:eastAsia="华文细黑" w:cs="Times New Roman"/>
                      <w:color w:val="000000"/>
                      <w:kern w:val="0"/>
                      <w:sz w:val="20"/>
                      <w:lang w:val="en-US" w:eastAsia="zh-CN" w:bidi="ar-SA"/>
                    </w:rPr>
                  </w:pPr>
                  <w:r>
                    <w:rPr>
                      <w:rFonts w:eastAsia="宋体"/>
                      <w:color w:val="000000"/>
                      <w:kern w:val="0"/>
                      <w:sz w:val="20"/>
                    </w:rPr>
                    <w:t xml:space="preserve">   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431.88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431.88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431.88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二、</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rPr>
                  </w:pPr>
                  <w:r>
                    <w:rPr>
                      <w:rFonts w:hint="eastAsia" w:eastAsia="宋体"/>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w:t>
                  </w:r>
                  <w:r>
                    <w:rPr>
                      <w:rFonts w:hint="eastAsia" w:eastAsia="宋体"/>
                      <w:color w:val="000000"/>
                      <w:kern w:val="0"/>
                      <w:sz w:val="20"/>
                    </w:rPr>
                    <w:t>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eastAsia="zh-CN"/>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四、农林水支出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158.11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158.11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158.11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8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735.99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577.88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158.11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44"/>
              <w:gridCol w:w="807"/>
              <w:gridCol w:w="688"/>
              <w:gridCol w:w="1721"/>
              <w:gridCol w:w="789"/>
              <w:gridCol w:w="819"/>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4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0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78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56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4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8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735.99</w:t>
                  </w: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735.99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431.88</w:t>
                  </w:r>
                  <w:r>
                    <w:rPr>
                      <w:rFonts w:eastAsia="宋体"/>
                      <w:kern w:val="0"/>
                      <w:sz w:val="20"/>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431.88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735.99</w:t>
                  </w: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735.99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78.4</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78.4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eastAsia="zh-CN"/>
                    </w:rPr>
                    <w:t>卫生健康</w:t>
                  </w:r>
                  <w:r>
                    <w:rPr>
                      <w:rFonts w:hint="eastAsia" w:ascii="宋体" w:hAnsi="宋体" w:eastAsia="宋体" w:cs="宋体"/>
                      <w:b w:val="0"/>
                      <w:bCs/>
                      <w:kern w:val="0"/>
                      <w:sz w:val="20"/>
                    </w:rPr>
                    <w:t>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25.12</w:t>
                  </w:r>
                  <w:r>
                    <w:rPr>
                      <w:rFonts w:eastAsia="宋体"/>
                      <w:kern w:val="0"/>
                      <w:sz w:val="20"/>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25.12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w:t>
                  </w:r>
                  <w:r>
                    <w:rPr>
                      <w:rFonts w:hint="eastAsia" w:ascii="宋体" w:hAnsi="宋体" w:eastAsia="宋体" w:cs="宋体"/>
                      <w:b w:val="0"/>
                      <w:bCs/>
                      <w:kern w:val="0"/>
                      <w:sz w:val="20"/>
                      <w:lang w:eastAsia="zh-CN"/>
                    </w:rPr>
                    <w:t>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158.11</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158.11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42.48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42.48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735.99</w:t>
                  </w: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735.99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735.99</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kern w:val="0"/>
                      <w:sz w:val="20"/>
                    </w:rPr>
                    <w:t>结转下年</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8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黑体"/>
                      <w:kern w:val="0"/>
                      <w:sz w:val="20"/>
                      <w:lang w:val="en-US" w:eastAsia="zh-CN"/>
                    </w:rPr>
                    <w:t>735.99</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黑体"/>
                      <w:kern w:val="0"/>
                      <w:sz w:val="20"/>
                      <w:lang w:val="en-US" w:eastAsia="zh-CN"/>
                    </w:rPr>
                  </w:pPr>
                  <w:r>
                    <w:rPr>
                      <w:rFonts w:hint="eastAsia" w:eastAsia="黑体"/>
                      <w:kern w:val="0"/>
                      <w:sz w:val="20"/>
                      <w:lang w:val="en-US" w:eastAsia="zh-CN"/>
                    </w:rPr>
                    <w:t>735.99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78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735.99</w:t>
                  </w:r>
                </w:p>
              </w:tc>
              <w:tc>
                <w:tcPr>
                  <w:tcW w:w="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735.99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ascii="Times New Roman" w:hAnsi="Times New Roman" w:eastAsia="华文细黑" w:cs="Times New Roman"/>
                      <w:color w:val="000000"/>
                      <w:kern w:val="0"/>
                      <w:sz w:val="20"/>
                      <w:lang w:val="en-US" w:eastAsia="zh-CN" w:bidi="ar-SA"/>
                    </w:rPr>
                  </w:pPr>
                  <w:r>
                    <w:rPr>
                      <w:rFonts w:eastAsia="宋体"/>
                      <w:color w:val="000000"/>
                      <w:kern w:val="0"/>
                      <w:sz w:val="20"/>
                    </w:rPr>
                    <w:t xml:space="preserve">   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389.64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389.64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389.64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二、</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w:t>
                  </w:r>
                  <w:r>
                    <w:rPr>
                      <w:rFonts w:hint="eastAsia" w:eastAsia="宋体"/>
                      <w:color w:val="000000"/>
                      <w:kern w:val="0"/>
                      <w:sz w:val="20"/>
                    </w:rPr>
                    <w:t>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158.11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735.99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577.88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158.11</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531.52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531.52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187.37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187.37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39.62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41.13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112.51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112.51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kern w:val="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42.48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42.48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fldChar w:fldCharType="begin"/>
            </w:r>
            <w:r>
              <w:rPr>
                <w:rFonts w:eastAsia="宋体"/>
                <w:kern w:val="0"/>
                <w:sz w:val="20"/>
              </w:rPr>
              <w:instrText xml:space="preserve"> = sum(B16:B22) \* MERGEFORMAT </w:instrText>
            </w:r>
            <w:r>
              <w:rPr>
                <w:rFonts w:eastAsia="宋体"/>
                <w:kern w:val="0"/>
                <w:sz w:val="20"/>
              </w:rPr>
              <w:fldChar w:fldCharType="separate"/>
            </w:r>
            <w:r>
              <w:rPr>
                <w:rFonts w:eastAsia="宋体"/>
                <w:kern w:val="0"/>
                <w:sz w:val="20"/>
              </w:rPr>
              <w:t>42.24</w:t>
            </w:r>
            <w:r>
              <w:rPr>
                <w:rFonts w:eastAsia="宋体"/>
                <w:kern w:val="0"/>
                <w:sz w:val="20"/>
              </w:rPr>
              <w:fldChar w:fldCharType="end"/>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eastAsia="宋体"/>
                <w:kern w:val="0"/>
                <w:sz w:val="20"/>
              </w:rPr>
              <w:fldChar w:fldCharType="begin"/>
            </w:r>
            <w:r>
              <w:rPr>
                <w:rFonts w:eastAsia="宋体"/>
                <w:kern w:val="0"/>
                <w:sz w:val="20"/>
              </w:rPr>
              <w:instrText xml:space="preserve"> = sum(B16:B22) \* MERGEFORMAT </w:instrText>
            </w:r>
            <w:r>
              <w:rPr>
                <w:rFonts w:eastAsia="宋体"/>
                <w:kern w:val="0"/>
                <w:sz w:val="20"/>
              </w:rPr>
              <w:fldChar w:fldCharType="separate"/>
            </w:r>
            <w:r>
              <w:rPr>
                <w:rFonts w:eastAsia="宋体"/>
                <w:kern w:val="0"/>
                <w:sz w:val="20"/>
              </w:rPr>
              <w:t>42.24</w:t>
            </w:r>
            <w:r>
              <w:rPr>
                <w:rFonts w:eastAsia="宋体"/>
                <w:kern w:val="0"/>
                <w:sz w:val="20"/>
              </w:rPr>
              <w:fldChar w:fldCharType="end"/>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13.74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13.74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kern w:val="0"/>
                <w:sz w:val="20"/>
                <w:lang w:eastAsia="zh-CN"/>
              </w:rPr>
              <w:t>印刷</w:t>
            </w:r>
            <w:r>
              <w:rPr>
                <w:rFonts w:hint="eastAsia" w:eastAsia="宋体"/>
                <w:color w:val="000000"/>
                <w:kern w:val="0"/>
                <w:sz w:val="20"/>
              </w:rPr>
              <w:t>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w:t>
            </w:r>
            <w:r>
              <w:rPr>
                <w:rFonts w:hint="eastAsia" w:eastAsia="宋体"/>
                <w:color w:val="000000"/>
                <w:kern w:val="0"/>
                <w:sz w:val="20"/>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fldChar w:fldCharType="begin"/>
            </w:r>
            <w:r>
              <w:rPr>
                <w:rFonts w:eastAsia="宋体"/>
                <w:kern w:val="0"/>
                <w:sz w:val="20"/>
              </w:rPr>
              <w:instrText xml:space="preserve"> = sum(B24:B25) \* MERGEFORMAT </w:instrText>
            </w:r>
            <w:r>
              <w:rPr>
                <w:rFonts w:eastAsia="宋体"/>
                <w:kern w:val="0"/>
                <w:sz w:val="20"/>
              </w:rPr>
              <w:fldChar w:fldCharType="separate"/>
            </w:r>
            <w:r>
              <w:rPr>
                <w:rFonts w:eastAsia="宋体"/>
                <w:kern w:val="0"/>
                <w:sz w:val="20"/>
              </w:rPr>
              <w:t>4.12</w:t>
            </w:r>
            <w:r>
              <w:rPr>
                <w:rFonts w:eastAsia="宋体"/>
                <w:kern w:val="0"/>
                <w:sz w:val="20"/>
              </w:rPr>
              <w:fldChar w:fldCharType="end"/>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eastAsia="宋体"/>
                <w:kern w:val="0"/>
                <w:sz w:val="20"/>
              </w:rPr>
              <w:fldChar w:fldCharType="begin"/>
            </w:r>
            <w:r>
              <w:rPr>
                <w:rFonts w:eastAsia="宋体"/>
                <w:kern w:val="0"/>
                <w:sz w:val="20"/>
              </w:rPr>
              <w:instrText xml:space="preserve"> = sum(B24:B25) \* MERGEFORMAT </w:instrText>
            </w:r>
            <w:r>
              <w:rPr>
                <w:rFonts w:eastAsia="宋体"/>
                <w:kern w:val="0"/>
                <w:sz w:val="20"/>
              </w:rPr>
              <w:fldChar w:fldCharType="separate"/>
            </w:r>
            <w:r>
              <w:rPr>
                <w:rFonts w:eastAsia="宋体"/>
                <w:kern w:val="0"/>
                <w:sz w:val="20"/>
              </w:rPr>
              <w:t>4.12</w:t>
            </w:r>
            <w:r>
              <w:rPr>
                <w:rFonts w:eastAsia="宋体"/>
                <w:kern w:val="0"/>
                <w:sz w:val="20"/>
              </w:rPr>
              <w:fldChar w:fldCharType="end"/>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577.88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2"/>
                <w:lang w:val="en-US" w:eastAsia="zh-CN"/>
              </w:rPr>
            </w:pPr>
            <w:r>
              <w:rPr>
                <w:rFonts w:hint="eastAsia" w:eastAsia="宋体"/>
                <w:kern w:val="0"/>
                <w:sz w:val="20"/>
                <w:szCs w:val="22"/>
                <w:lang w:val="en-US" w:eastAsia="zh-CN"/>
              </w:rPr>
              <w:t>535.64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2"/>
                <w:lang w:val="en-US" w:eastAsia="zh-CN"/>
              </w:rPr>
            </w:pPr>
            <w:r>
              <w:rPr>
                <w:rFonts w:hint="eastAsia" w:eastAsia="宋体"/>
                <w:kern w:val="0"/>
                <w:sz w:val="20"/>
                <w:szCs w:val="22"/>
                <w:lang w:val="en-US" w:eastAsia="zh-CN"/>
              </w:rPr>
              <w:t>42.24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44</w:t>
            </w:r>
            <w:r>
              <w:rPr>
                <w:rFonts w:eastAsia="宋体"/>
                <w:color w:val="000000"/>
                <w:kern w:val="0"/>
                <w:sz w:val="28"/>
                <w:szCs w:val="28"/>
                <w:u w:val="single"/>
              </w:rPr>
              <w:t xml:space="preserve"> </w:t>
            </w:r>
            <w:r>
              <w:rPr>
                <w:color w:val="000000"/>
                <w:kern w:val="0"/>
                <w:sz w:val="28"/>
                <w:szCs w:val="28"/>
              </w:rPr>
              <w:t>人，离退休人员</w:t>
            </w:r>
            <w:r>
              <w:rPr>
                <w:rFonts w:hint="eastAsia" w:eastAsia="宋体"/>
                <w:color w:val="000000"/>
                <w:kern w:val="0"/>
                <w:sz w:val="28"/>
                <w:szCs w:val="28"/>
                <w:u w:val="single"/>
                <w:lang w:val="en-US" w:eastAsia="zh-CN"/>
              </w:rPr>
              <w:t>11</w:t>
            </w:r>
            <w:bookmarkStart w:id="0" w:name="_GoBack"/>
            <w:bookmarkEnd w:id="0"/>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hint="eastAsia" w:ascii="楷体" w:hAnsi="楷体" w:eastAsia="楷体" w:cs="楷体"/>
          <w:kern w:val="0"/>
          <w:sz w:val="24"/>
          <w:szCs w:val="24"/>
        </w:rPr>
      </w:pPr>
      <w:r>
        <w:rPr>
          <w:rFonts w:eastAsia="楷体_GB2312"/>
          <w:kern w:val="0"/>
          <w:szCs w:val="32"/>
        </w:rPr>
        <w:t xml:space="preserve"> </w:t>
      </w:r>
      <w:r>
        <w:rPr>
          <w:rFonts w:hint="eastAsia" w:ascii="楷体" w:hAnsi="楷体" w:eastAsia="楷体" w:cs="楷体"/>
          <w:kern w:val="0"/>
          <w:sz w:val="24"/>
          <w:szCs w:val="24"/>
        </w:rPr>
        <w:t>注：功能科目列至项级。没有政府性基金预算拨款的，公开空表，不得删除。</w:t>
      </w:r>
    </w:p>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567" w:tblpY="2519"/>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tbl>
      <w:tblPr>
        <w:tblStyle w:val="9"/>
        <w:tblpPr w:leftFromText="180" w:rightFromText="180" w:vertAnchor="text" w:horzAnchor="page" w:tblpX="1978" w:tblpY="122"/>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1081"/>
        <w:gridCol w:w="1133"/>
        <w:gridCol w:w="871"/>
        <w:gridCol w:w="802"/>
        <w:gridCol w:w="802"/>
        <w:gridCol w:w="444"/>
        <w:gridCol w:w="515"/>
        <w:gridCol w:w="555"/>
        <w:gridCol w:w="521"/>
        <w:gridCol w:w="601"/>
        <w:gridCol w:w="428"/>
        <w:gridCol w:w="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5000" w:type="pct"/>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425"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04"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33"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87"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48" w:type="pct"/>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84" w:type="pct"/>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16" w:type="pct"/>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425" w:type="pct"/>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1237" w:type="pct"/>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487" w:type="pct"/>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48" w:type="pct"/>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984" w:type="pct"/>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937" w:type="pct"/>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239" w:type="pct"/>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239" w:type="pct"/>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trPr>
        <w:tc>
          <w:tcPr>
            <w:tcW w:w="425" w:type="pct"/>
            <w:vMerge w:val="continue"/>
            <w:noWrap w:val="0"/>
            <w:vAlign w:val="center"/>
          </w:tcPr>
          <w:p>
            <w:pPr>
              <w:autoSpaceDN w:val="0"/>
              <w:jc w:val="center"/>
              <w:textAlignment w:val="center"/>
              <w:rPr>
                <w:rFonts w:ascii="Calibri" w:hAnsi="Calibri" w:eastAsia="华文细黑"/>
                <w:color w:val="000000"/>
                <w:sz w:val="20"/>
                <w:szCs w:val="22"/>
              </w:rPr>
            </w:pPr>
          </w:p>
        </w:tc>
        <w:tc>
          <w:tcPr>
            <w:tcW w:w="604" w:type="pc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633" w:type="pc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487" w:type="pct"/>
            <w:vMerge w:val="continue"/>
            <w:noWrap w:val="0"/>
            <w:vAlign w:val="center"/>
          </w:tcPr>
          <w:p>
            <w:pPr>
              <w:autoSpaceDN w:val="0"/>
              <w:jc w:val="center"/>
              <w:textAlignment w:val="center"/>
              <w:rPr>
                <w:rFonts w:ascii="Calibri" w:hAnsi="Calibri" w:eastAsia="华文细黑"/>
                <w:color w:val="000000"/>
                <w:sz w:val="20"/>
                <w:szCs w:val="22"/>
              </w:rPr>
            </w:pPr>
          </w:p>
        </w:tc>
        <w:tc>
          <w:tcPr>
            <w:tcW w:w="448" w:type="pct"/>
            <w:vMerge w:val="continue"/>
            <w:noWrap w:val="0"/>
            <w:vAlign w:val="center"/>
          </w:tcPr>
          <w:p>
            <w:pPr>
              <w:autoSpaceDN w:val="0"/>
              <w:jc w:val="center"/>
              <w:textAlignment w:val="center"/>
              <w:rPr>
                <w:rFonts w:ascii="Calibri" w:hAnsi="Calibri" w:eastAsia="华文细黑"/>
                <w:color w:val="000000"/>
                <w:sz w:val="20"/>
                <w:szCs w:val="22"/>
              </w:rPr>
            </w:pPr>
          </w:p>
        </w:tc>
        <w:tc>
          <w:tcPr>
            <w:tcW w:w="448" w:type="pc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248" w:type="pc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87" w:type="pc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310" w:type="pc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91" w:type="pc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35" w:type="pc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39" w:type="pct"/>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239" w:type="pct"/>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exact"/>
        </w:trPr>
        <w:tc>
          <w:tcPr>
            <w:tcW w:w="425" w:type="pct"/>
            <w:noWrap w:val="0"/>
            <w:vAlign w:val="center"/>
          </w:tcPr>
          <w:p>
            <w:pPr>
              <w:spacing w:line="240" w:lineRule="auto"/>
              <w:jc w:val="both"/>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专项业务支出</w:t>
            </w:r>
          </w:p>
        </w:tc>
        <w:tc>
          <w:tcPr>
            <w:tcW w:w="604" w:type="pct"/>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十花道乡202</w:t>
            </w:r>
            <w:r>
              <w:rPr>
                <w:rFonts w:hint="eastAsia" w:ascii="Calibri" w:hAnsi="Calibri" w:eastAsia="楷体"/>
                <w:kern w:val="0"/>
                <w:sz w:val="21"/>
                <w:szCs w:val="21"/>
                <w:lang w:val="en-US" w:eastAsia="zh-CN"/>
              </w:rPr>
              <w:t>4</w:t>
            </w:r>
            <w:r>
              <w:rPr>
                <w:rFonts w:hint="eastAsia" w:ascii="Calibri" w:hAnsi="Calibri" w:eastAsia="楷体"/>
                <w:kern w:val="0"/>
                <w:sz w:val="21"/>
                <w:szCs w:val="21"/>
              </w:rPr>
              <w:t>年村级组织运转经费</w:t>
            </w:r>
          </w:p>
        </w:tc>
        <w:tc>
          <w:tcPr>
            <w:tcW w:w="633" w:type="pct"/>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十花道乡202</w:t>
            </w:r>
            <w:r>
              <w:rPr>
                <w:rFonts w:hint="eastAsia" w:ascii="Calibri" w:hAnsi="Calibri" w:eastAsia="楷体"/>
                <w:kern w:val="0"/>
                <w:sz w:val="21"/>
                <w:szCs w:val="21"/>
                <w:lang w:val="en-US" w:eastAsia="zh-CN"/>
              </w:rPr>
              <w:t>4</w:t>
            </w:r>
            <w:r>
              <w:rPr>
                <w:rFonts w:hint="eastAsia" w:ascii="Calibri" w:hAnsi="Calibri" w:eastAsia="楷体"/>
                <w:kern w:val="0"/>
                <w:sz w:val="21"/>
                <w:szCs w:val="21"/>
              </w:rPr>
              <w:t>年村级组织运转经费</w:t>
            </w:r>
          </w:p>
        </w:tc>
        <w:tc>
          <w:tcPr>
            <w:tcW w:w="487" w:type="pct"/>
            <w:noWrap w:val="0"/>
            <w:vAlign w:val="center"/>
          </w:tcPr>
          <w:p>
            <w:pPr>
              <w:spacing w:line="240" w:lineRule="auto"/>
              <w:jc w:val="center"/>
              <w:rPr>
                <w:rFonts w:hint="eastAsia" w:ascii="Calibri" w:hAnsi="Calibri" w:eastAsia="楷体"/>
                <w:kern w:val="0"/>
                <w:sz w:val="21"/>
                <w:szCs w:val="21"/>
                <w:lang w:eastAsia="zh-CN"/>
              </w:rPr>
            </w:pPr>
            <w:r>
              <w:rPr>
                <w:rFonts w:hint="eastAsia" w:ascii="Calibri" w:hAnsi="Calibri" w:eastAsia="楷体"/>
                <w:kern w:val="0"/>
                <w:sz w:val="21"/>
                <w:szCs w:val="21"/>
                <w:lang w:eastAsia="zh-CN"/>
              </w:rPr>
              <w:t>通榆县十花道乡综合服务中心</w:t>
            </w:r>
          </w:p>
        </w:tc>
        <w:tc>
          <w:tcPr>
            <w:tcW w:w="448" w:type="pct"/>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158.11</w:t>
            </w:r>
          </w:p>
        </w:tc>
        <w:tc>
          <w:tcPr>
            <w:tcW w:w="448" w:type="pct"/>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158.11</w:t>
            </w:r>
          </w:p>
        </w:tc>
        <w:tc>
          <w:tcPr>
            <w:tcW w:w="248" w:type="pct"/>
            <w:noWrap w:val="0"/>
            <w:vAlign w:val="center"/>
          </w:tcPr>
          <w:p>
            <w:pPr>
              <w:spacing w:line="700" w:lineRule="exact"/>
              <w:jc w:val="center"/>
              <w:rPr>
                <w:rFonts w:ascii="Calibri" w:hAnsi="Calibri" w:eastAsia="楷体"/>
                <w:kern w:val="0"/>
                <w:sz w:val="21"/>
                <w:szCs w:val="21"/>
              </w:rPr>
            </w:pPr>
          </w:p>
        </w:tc>
        <w:tc>
          <w:tcPr>
            <w:tcW w:w="287" w:type="pct"/>
            <w:noWrap w:val="0"/>
            <w:vAlign w:val="center"/>
          </w:tcPr>
          <w:p>
            <w:pPr>
              <w:spacing w:line="700" w:lineRule="exact"/>
              <w:jc w:val="center"/>
              <w:rPr>
                <w:rFonts w:ascii="Calibri" w:hAnsi="Calibri" w:eastAsia="楷体"/>
                <w:kern w:val="0"/>
                <w:sz w:val="21"/>
                <w:szCs w:val="21"/>
              </w:rPr>
            </w:pPr>
          </w:p>
        </w:tc>
        <w:tc>
          <w:tcPr>
            <w:tcW w:w="310" w:type="pct"/>
            <w:noWrap w:val="0"/>
            <w:vAlign w:val="center"/>
          </w:tcPr>
          <w:p>
            <w:pPr>
              <w:spacing w:line="700" w:lineRule="exact"/>
              <w:jc w:val="center"/>
              <w:rPr>
                <w:rFonts w:ascii="Calibri" w:hAnsi="Calibri" w:eastAsia="楷体"/>
                <w:kern w:val="0"/>
                <w:sz w:val="21"/>
                <w:szCs w:val="21"/>
              </w:rPr>
            </w:pPr>
          </w:p>
        </w:tc>
        <w:tc>
          <w:tcPr>
            <w:tcW w:w="291" w:type="pct"/>
            <w:noWrap w:val="0"/>
            <w:vAlign w:val="center"/>
          </w:tcPr>
          <w:p>
            <w:pPr>
              <w:spacing w:line="700" w:lineRule="exact"/>
              <w:jc w:val="center"/>
              <w:rPr>
                <w:rFonts w:ascii="Calibri" w:hAnsi="Calibri" w:eastAsia="楷体"/>
                <w:kern w:val="0"/>
                <w:sz w:val="21"/>
                <w:szCs w:val="21"/>
              </w:rPr>
            </w:pPr>
          </w:p>
        </w:tc>
        <w:tc>
          <w:tcPr>
            <w:tcW w:w="335" w:type="pct"/>
            <w:noWrap w:val="0"/>
            <w:vAlign w:val="center"/>
          </w:tcPr>
          <w:p>
            <w:pPr>
              <w:spacing w:line="700" w:lineRule="exact"/>
              <w:jc w:val="center"/>
              <w:rPr>
                <w:rFonts w:ascii="Calibri" w:hAnsi="Calibri" w:eastAsia="楷体"/>
                <w:kern w:val="0"/>
                <w:sz w:val="21"/>
                <w:szCs w:val="21"/>
              </w:rPr>
            </w:pPr>
          </w:p>
        </w:tc>
        <w:tc>
          <w:tcPr>
            <w:tcW w:w="239" w:type="pct"/>
            <w:noWrap w:val="0"/>
            <w:vAlign w:val="center"/>
          </w:tcPr>
          <w:p>
            <w:pPr>
              <w:spacing w:line="700" w:lineRule="exact"/>
              <w:jc w:val="center"/>
              <w:rPr>
                <w:rFonts w:ascii="Calibri" w:hAnsi="Calibri" w:eastAsia="楷体"/>
                <w:kern w:val="0"/>
                <w:sz w:val="21"/>
                <w:szCs w:val="21"/>
              </w:rPr>
            </w:pPr>
          </w:p>
        </w:tc>
        <w:tc>
          <w:tcPr>
            <w:tcW w:w="239" w:type="pct"/>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425" w:type="pct"/>
            <w:noWrap w:val="0"/>
            <w:vAlign w:val="center"/>
          </w:tcPr>
          <w:p>
            <w:pPr>
              <w:spacing w:line="700" w:lineRule="exact"/>
              <w:jc w:val="center"/>
              <w:rPr>
                <w:rFonts w:ascii="Calibri" w:hAnsi="Calibri" w:eastAsia="楷体"/>
                <w:kern w:val="0"/>
                <w:szCs w:val="32"/>
              </w:rPr>
            </w:pPr>
          </w:p>
        </w:tc>
        <w:tc>
          <w:tcPr>
            <w:tcW w:w="604" w:type="pct"/>
            <w:noWrap w:val="0"/>
            <w:vAlign w:val="center"/>
          </w:tcPr>
          <w:p>
            <w:pPr>
              <w:spacing w:line="700" w:lineRule="exact"/>
              <w:jc w:val="center"/>
              <w:rPr>
                <w:rFonts w:ascii="Calibri" w:hAnsi="Calibri" w:eastAsia="楷体"/>
                <w:kern w:val="0"/>
                <w:szCs w:val="32"/>
              </w:rPr>
            </w:pPr>
          </w:p>
        </w:tc>
        <w:tc>
          <w:tcPr>
            <w:tcW w:w="633" w:type="pct"/>
            <w:noWrap w:val="0"/>
            <w:vAlign w:val="center"/>
          </w:tcPr>
          <w:p>
            <w:pPr>
              <w:spacing w:line="700" w:lineRule="exact"/>
              <w:jc w:val="center"/>
              <w:rPr>
                <w:rFonts w:ascii="Calibri" w:hAnsi="Calibri" w:eastAsia="楷体"/>
                <w:kern w:val="0"/>
                <w:szCs w:val="32"/>
              </w:rPr>
            </w:pPr>
          </w:p>
        </w:tc>
        <w:tc>
          <w:tcPr>
            <w:tcW w:w="487" w:type="pct"/>
            <w:noWrap w:val="0"/>
            <w:vAlign w:val="center"/>
          </w:tcPr>
          <w:p>
            <w:pPr>
              <w:spacing w:line="700" w:lineRule="exact"/>
              <w:jc w:val="center"/>
              <w:rPr>
                <w:rFonts w:ascii="Calibri" w:hAnsi="Calibri" w:eastAsia="楷体"/>
                <w:kern w:val="0"/>
                <w:szCs w:val="32"/>
              </w:rPr>
            </w:pPr>
          </w:p>
        </w:tc>
        <w:tc>
          <w:tcPr>
            <w:tcW w:w="448" w:type="pct"/>
            <w:noWrap w:val="0"/>
            <w:vAlign w:val="center"/>
          </w:tcPr>
          <w:p>
            <w:pPr>
              <w:spacing w:line="700" w:lineRule="exact"/>
              <w:jc w:val="center"/>
              <w:rPr>
                <w:rFonts w:ascii="Calibri" w:hAnsi="Calibri" w:eastAsia="楷体"/>
                <w:kern w:val="0"/>
                <w:szCs w:val="32"/>
              </w:rPr>
            </w:pPr>
          </w:p>
        </w:tc>
        <w:tc>
          <w:tcPr>
            <w:tcW w:w="448" w:type="pct"/>
            <w:noWrap w:val="0"/>
            <w:vAlign w:val="center"/>
          </w:tcPr>
          <w:p>
            <w:pPr>
              <w:spacing w:line="700" w:lineRule="exact"/>
              <w:jc w:val="center"/>
              <w:rPr>
                <w:rFonts w:ascii="Calibri" w:hAnsi="Calibri" w:eastAsia="楷体"/>
                <w:kern w:val="0"/>
                <w:szCs w:val="32"/>
              </w:rPr>
            </w:pPr>
          </w:p>
        </w:tc>
        <w:tc>
          <w:tcPr>
            <w:tcW w:w="248" w:type="pct"/>
            <w:noWrap w:val="0"/>
            <w:vAlign w:val="center"/>
          </w:tcPr>
          <w:p>
            <w:pPr>
              <w:spacing w:line="700" w:lineRule="exact"/>
              <w:jc w:val="center"/>
              <w:rPr>
                <w:rFonts w:ascii="Calibri" w:hAnsi="Calibri" w:eastAsia="楷体"/>
                <w:kern w:val="0"/>
                <w:szCs w:val="32"/>
              </w:rPr>
            </w:pPr>
          </w:p>
        </w:tc>
        <w:tc>
          <w:tcPr>
            <w:tcW w:w="287" w:type="pct"/>
            <w:noWrap w:val="0"/>
            <w:vAlign w:val="center"/>
          </w:tcPr>
          <w:p>
            <w:pPr>
              <w:spacing w:line="700" w:lineRule="exact"/>
              <w:jc w:val="center"/>
              <w:rPr>
                <w:rFonts w:ascii="Calibri" w:hAnsi="Calibri" w:eastAsia="楷体"/>
                <w:kern w:val="0"/>
                <w:szCs w:val="32"/>
              </w:rPr>
            </w:pPr>
          </w:p>
        </w:tc>
        <w:tc>
          <w:tcPr>
            <w:tcW w:w="310" w:type="pct"/>
            <w:noWrap w:val="0"/>
            <w:vAlign w:val="center"/>
          </w:tcPr>
          <w:p>
            <w:pPr>
              <w:spacing w:line="700" w:lineRule="exact"/>
              <w:jc w:val="center"/>
              <w:rPr>
                <w:rFonts w:ascii="Calibri" w:hAnsi="Calibri" w:eastAsia="楷体"/>
                <w:kern w:val="0"/>
                <w:szCs w:val="32"/>
              </w:rPr>
            </w:pPr>
          </w:p>
        </w:tc>
        <w:tc>
          <w:tcPr>
            <w:tcW w:w="291" w:type="pct"/>
            <w:noWrap w:val="0"/>
            <w:vAlign w:val="center"/>
          </w:tcPr>
          <w:p>
            <w:pPr>
              <w:spacing w:line="700" w:lineRule="exact"/>
              <w:jc w:val="center"/>
              <w:rPr>
                <w:rFonts w:ascii="Calibri" w:hAnsi="Calibri" w:eastAsia="楷体"/>
                <w:kern w:val="0"/>
                <w:szCs w:val="32"/>
              </w:rPr>
            </w:pPr>
          </w:p>
        </w:tc>
        <w:tc>
          <w:tcPr>
            <w:tcW w:w="335" w:type="pct"/>
            <w:noWrap w:val="0"/>
            <w:vAlign w:val="center"/>
          </w:tcPr>
          <w:p>
            <w:pPr>
              <w:spacing w:line="700" w:lineRule="exact"/>
              <w:jc w:val="center"/>
              <w:rPr>
                <w:rFonts w:ascii="Calibri" w:hAnsi="Calibri" w:eastAsia="楷体"/>
                <w:kern w:val="0"/>
                <w:szCs w:val="32"/>
              </w:rPr>
            </w:pPr>
          </w:p>
        </w:tc>
        <w:tc>
          <w:tcPr>
            <w:tcW w:w="239" w:type="pct"/>
            <w:noWrap w:val="0"/>
            <w:vAlign w:val="center"/>
          </w:tcPr>
          <w:p>
            <w:pPr>
              <w:spacing w:line="700" w:lineRule="exact"/>
              <w:jc w:val="center"/>
              <w:rPr>
                <w:rFonts w:ascii="Calibri" w:hAnsi="Calibri" w:eastAsia="楷体"/>
                <w:kern w:val="0"/>
                <w:szCs w:val="32"/>
              </w:rPr>
            </w:pPr>
          </w:p>
        </w:tc>
        <w:tc>
          <w:tcPr>
            <w:tcW w:w="239" w:type="pct"/>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425" w:type="pct"/>
            <w:noWrap w:val="0"/>
            <w:vAlign w:val="center"/>
          </w:tcPr>
          <w:p>
            <w:pPr>
              <w:spacing w:line="700" w:lineRule="exact"/>
              <w:jc w:val="center"/>
              <w:rPr>
                <w:rFonts w:ascii="Calibri" w:hAnsi="Calibri" w:eastAsia="楷体"/>
                <w:kern w:val="0"/>
                <w:szCs w:val="32"/>
              </w:rPr>
            </w:pPr>
          </w:p>
        </w:tc>
        <w:tc>
          <w:tcPr>
            <w:tcW w:w="604" w:type="pct"/>
            <w:noWrap w:val="0"/>
            <w:vAlign w:val="center"/>
          </w:tcPr>
          <w:p>
            <w:pPr>
              <w:spacing w:line="700" w:lineRule="exact"/>
              <w:jc w:val="center"/>
              <w:rPr>
                <w:rFonts w:ascii="Calibri" w:hAnsi="Calibri" w:eastAsia="楷体"/>
                <w:kern w:val="0"/>
                <w:szCs w:val="32"/>
              </w:rPr>
            </w:pPr>
          </w:p>
        </w:tc>
        <w:tc>
          <w:tcPr>
            <w:tcW w:w="633" w:type="pct"/>
            <w:noWrap w:val="0"/>
            <w:vAlign w:val="center"/>
          </w:tcPr>
          <w:p>
            <w:pPr>
              <w:spacing w:line="700" w:lineRule="exact"/>
              <w:jc w:val="center"/>
              <w:rPr>
                <w:rFonts w:ascii="Calibri" w:hAnsi="Calibri" w:eastAsia="楷体"/>
                <w:kern w:val="0"/>
                <w:szCs w:val="32"/>
              </w:rPr>
            </w:pPr>
          </w:p>
        </w:tc>
        <w:tc>
          <w:tcPr>
            <w:tcW w:w="487" w:type="pct"/>
            <w:noWrap w:val="0"/>
            <w:vAlign w:val="center"/>
          </w:tcPr>
          <w:p>
            <w:pPr>
              <w:spacing w:line="700" w:lineRule="exact"/>
              <w:jc w:val="center"/>
              <w:rPr>
                <w:rFonts w:ascii="Calibri" w:hAnsi="Calibri" w:eastAsia="楷体"/>
                <w:kern w:val="0"/>
                <w:szCs w:val="32"/>
              </w:rPr>
            </w:pPr>
          </w:p>
        </w:tc>
        <w:tc>
          <w:tcPr>
            <w:tcW w:w="448" w:type="pct"/>
            <w:noWrap w:val="0"/>
            <w:vAlign w:val="center"/>
          </w:tcPr>
          <w:p>
            <w:pPr>
              <w:spacing w:line="700" w:lineRule="exact"/>
              <w:jc w:val="center"/>
              <w:rPr>
                <w:rFonts w:ascii="Calibri" w:hAnsi="Calibri" w:eastAsia="楷体"/>
                <w:kern w:val="0"/>
                <w:szCs w:val="32"/>
              </w:rPr>
            </w:pPr>
          </w:p>
        </w:tc>
        <w:tc>
          <w:tcPr>
            <w:tcW w:w="448" w:type="pct"/>
            <w:noWrap w:val="0"/>
            <w:vAlign w:val="center"/>
          </w:tcPr>
          <w:p>
            <w:pPr>
              <w:spacing w:line="700" w:lineRule="exact"/>
              <w:jc w:val="center"/>
              <w:rPr>
                <w:rFonts w:ascii="Calibri" w:hAnsi="Calibri" w:eastAsia="楷体"/>
                <w:kern w:val="0"/>
                <w:szCs w:val="32"/>
              </w:rPr>
            </w:pPr>
          </w:p>
        </w:tc>
        <w:tc>
          <w:tcPr>
            <w:tcW w:w="248" w:type="pct"/>
            <w:noWrap w:val="0"/>
            <w:vAlign w:val="center"/>
          </w:tcPr>
          <w:p>
            <w:pPr>
              <w:spacing w:line="700" w:lineRule="exact"/>
              <w:jc w:val="center"/>
              <w:rPr>
                <w:rFonts w:ascii="Calibri" w:hAnsi="Calibri" w:eastAsia="楷体"/>
                <w:kern w:val="0"/>
                <w:szCs w:val="32"/>
              </w:rPr>
            </w:pPr>
          </w:p>
        </w:tc>
        <w:tc>
          <w:tcPr>
            <w:tcW w:w="287" w:type="pct"/>
            <w:noWrap w:val="0"/>
            <w:vAlign w:val="center"/>
          </w:tcPr>
          <w:p>
            <w:pPr>
              <w:spacing w:line="700" w:lineRule="exact"/>
              <w:jc w:val="center"/>
              <w:rPr>
                <w:rFonts w:ascii="Calibri" w:hAnsi="Calibri" w:eastAsia="楷体"/>
                <w:kern w:val="0"/>
                <w:szCs w:val="32"/>
              </w:rPr>
            </w:pPr>
          </w:p>
        </w:tc>
        <w:tc>
          <w:tcPr>
            <w:tcW w:w="310" w:type="pct"/>
            <w:noWrap w:val="0"/>
            <w:vAlign w:val="center"/>
          </w:tcPr>
          <w:p>
            <w:pPr>
              <w:spacing w:line="700" w:lineRule="exact"/>
              <w:jc w:val="center"/>
              <w:rPr>
                <w:rFonts w:ascii="Calibri" w:hAnsi="Calibri" w:eastAsia="楷体"/>
                <w:kern w:val="0"/>
                <w:szCs w:val="32"/>
              </w:rPr>
            </w:pPr>
          </w:p>
        </w:tc>
        <w:tc>
          <w:tcPr>
            <w:tcW w:w="291" w:type="pct"/>
            <w:noWrap w:val="0"/>
            <w:vAlign w:val="center"/>
          </w:tcPr>
          <w:p>
            <w:pPr>
              <w:spacing w:line="700" w:lineRule="exact"/>
              <w:jc w:val="center"/>
              <w:rPr>
                <w:rFonts w:ascii="Calibri" w:hAnsi="Calibri" w:eastAsia="楷体"/>
                <w:kern w:val="0"/>
                <w:szCs w:val="32"/>
              </w:rPr>
            </w:pPr>
          </w:p>
        </w:tc>
        <w:tc>
          <w:tcPr>
            <w:tcW w:w="335" w:type="pct"/>
            <w:noWrap w:val="0"/>
            <w:vAlign w:val="center"/>
          </w:tcPr>
          <w:p>
            <w:pPr>
              <w:spacing w:line="700" w:lineRule="exact"/>
              <w:jc w:val="center"/>
              <w:rPr>
                <w:rFonts w:ascii="Calibri" w:hAnsi="Calibri" w:eastAsia="楷体"/>
                <w:kern w:val="0"/>
                <w:szCs w:val="32"/>
              </w:rPr>
            </w:pPr>
          </w:p>
        </w:tc>
        <w:tc>
          <w:tcPr>
            <w:tcW w:w="239" w:type="pct"/>
            <w:noWrap w:val="0"/>
            <w:vAlign w:val="center"/>
          </w:tcPr>
          <w:p>
            <w:pPr>
              <w:spacing w:line="700" w:lineRule="exact"/>
              <w:jc w:val="center"/>
              <w:rPr>
                <w:rFonts w:ascii="Calibri" w:hAnsi="Calibri" w:eastAsia="楷体"/>
                <w:kern w:val="0"/>
                <w:szCs w:val="32"/>
              </w:rPr>
            </w:pPr>
          </w:p>
        </w:tc>
        <w:tc>
          <w:tcPr>
            <w:tcW w:w="239" w:type="pct"/>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425" w:type="pct"/>
            <w:noWrap w:val="0"/>
            <w:vAlign w:val="center"/>
          </w:tcPr>
          <w:p>
            <w:pPr>
              <w:spacing w:line="700" w:lineRule="exact"/>
              <w:jc w:val="center"/>
              <w:rPr>
                <w:rFonts w:ascii="Calibri" w:hAnsi="Calibri" w:eastAsia="楷体"/>
                <w:kern w:val="0"/>
                <w:szCs w:val="32"/>
              </w:rPr>
            </w:pPr>
          </w:p>
        </w:tc>
        <w:tc>
          <w:tcPr>
            <w:tcW w:w="604" w:type="pct"/>
            <w:noWrap w:val="0"/>
            <w:vAlign w:val="center"/>
          </w:tcPr>
          <w:p>
            <w:pPr>
              <w:spacing w:line="700" w:lineRule="exact"/>
              <w:jc w:val="center"/>
              <w:rPr>
                <w:rFonts w:ascii="Calibri" w:hAnsi="Calibri" w:eastAsia="楷体"/>
                <w:kern w:val="0"/>
                <w:szCs w:val="32"/>
              </w:rPr>
            </w:pPr>
          </w:p>
        </w:tc>
        <w:tc>
          <w:tcPr>
            <w:tcW w:w="633" w:type="pct"/>
            <w:noWrap w:val="0"/>
            <w:vAlign w:val="center"/>
          </w:tcPr>
          <w:p>
            <w:pPr>
              <w:spacing w:line="700" w:lineRule="exact"/>
              <w:jc w:val="center"/>
              <w:rPr>
                <w:rFonts w:ascii="Calibri" w:hAnsi="Calibri" w:eastAsia="楷体"/>
                <w:kern w:val="0"/>
                <w:szCs w:val="32"/>
              </w:rPr>
            </w:pPr>
          </w:p>
        </w:tc>
        <w:tc>
          <w:tcPr>
            <w:tcW w:w="487" w:type="pct"/>
            <w:noWrap w:val="0"/>
            <w:vAlign w:val="center"/>
          </w:tcPr>
          <w:p>
            <w:pPr>
              <w:spacing w:line="700" w:lineRule="exact"/>
              <w:jc w:val="center"/>
              <w:rPr>
                <w:rFonts w:ascii="Calibri" w:hAnsi="Calibri" w:eastAsia="楷体"/>
                <w:kern w:val="0"/>
                <w:szCs w:val="32"/>
              </w:rPr>
            </w:pPr>
          </w:p>
        </w:tc>
        <w:tc>
          <w:tcPr>
            <w:tcW w:w="448" w:type="pct"/>
            <w:noWrap w:val="0"/>
            <w:vAlign w:val="center"/>
          </w:tcPr>
          <w:p>
            <w:pPr>
              <w:spacing w:line="700" w:lineRule="exact"/>
              <w:jc w:val="center"/>
              <w:rPr>
                <w:rFonts w:ascii="Calibri" w:hAnsi="Calibri" w:eastAsia="楷体"/>
                <w:kern w:val="0"/>
                <w:szCs w:val="32"/>
              </w:rPr>
            </w:pPr>
          </w:p>
        </w:tc>
        <w:tc>
          <w:tcPr>
            <w:tcW w:w="448" w:type="pct"/>
            <w:noWrap w:val="0"/>
            <w:vAlign w:val="center"/>
          </w:tcPr>
          <w:p>
            <w:pPr>
              <w:spacing w:line="700" w:lineRule="exact"/>
              <w:jc w:val="center"/>
              <w:rPr>
                <w:rFonts w:ascii="Calibri" w:hAnsi="Calibri" w:eastAsia="楷体"/>
                <w:kern w:val="0"/>
                <w:szCs w:val="32"/>
              </w:rPr>
            </w:pPr>
          </w:p>
        </w:tc>
        <w:tc>
          <w:tcPr>
            <w:tcW w:w="248" w:type="pct"/>
            <w:noWrap w:val="0"/>
            <w:vAlign w:val="center"/>
          </w:tcPr>
          <w:p>
            <w:pPr>
              <w:spacing w:line="700" w:lineRule="exact"/>
              <w:jc w:val="center"/>
              <w:rPr>
                <w:rFonts w:ascii="Calibri" w:hAnsi="Calibri" w:eastAsia="楷体"/>
                <w:kern w:val="0"/>
                <w:szCs w:val="32"/>
              </w:rPr>
            </w:pPr>
          </w:p>
        </w:tc>
        <w:tc>
          <w:tcPr>
            <w:tcW w:w="287" w:type="pct"/>
            <w:noWrap w:val="0"/>
            <w:vAlign w:val="center"/>
          </w:tcPr>
          <w:p>
            <w:pPr>
              <w:spacing w:line="700" w:lineRule="exact"/>
              <w:jc w:val="center"/>
              <w:rPr>
                <w:rFonts w:ascii="Calibri" w:hAnsi="Calibri" w:eastAsia="楷体"/>
                <w:kern w:val="0"/>
                <w:szCs w:val="32"/>
              </w:rPr>
            </w:pPr>
          </w:p>
        </w:tc>
        <w:tc>
          <w:tcPr>
            <w:tcW w:w="310" w:type="pct"/>
            <w:noWrap w:val="0"/>
            <w:vAlign w:val="center"/>
          </w:tcPr>
          <w:p>
            <w:pPr>
              <w:spacing w:line="700" w:lineRule="exact"/>
              <w:jc w:val="center"/>
              <w:rPr>
                <w:rFonts w:ascii="Calibri" w:hAnsi="Calibri" w:eastAsia="楷体"/>
                <w:kern w:val="0"/>
                <w:szCs w:val="32"/>
              </w:rPr>
            </w:pPr>
          </w:p>
        </w:tc>
        <w:tc>
          <w:tcPr>
            <w:tcW w:w="291" w:type="pct"/>
            <w:noWrap w:val="0"/>
            <w:vAlign w:val="center"/>
          </w:tcPr>
          <w:p>
            <w:pPr>
              <w:spacing w:line="700" w:lineRule="exact"/>
              <w:jc w:val="center"/>
              <w:rPr>
                <w:rFonts w:ascii="Calibri" w:hAnsi="Calibri" w:eastAsia="楷体"/>
                <w:kern w:val="0"/>
                <w:szCs w:val="32"/>
              </w:rPr>
            </w:pPr>
          </w:p>
        </w:tc>
        <w:tc>
          <w:tcPr>
            <w:tcW w:w="335" w:type="pct"/>
            <w:noWrap w:val="0"/>
            <w:vAlign w:val="center"/>
          </w:tcPr>
          <w:p>
            <w:pPr>
              <w:spacing w:line="700" w:lineRule="exact"/>
              <w:jc w:val="center"/>
              <w:rPr>
                <w:rFonts w:ascii="Calibri" w:hAnsi="Calibri" w:eastAsia="楷体"/>
                <w:kern w:val="0"/>
                <w:szCs w:val="32"/>
              </w:rPr>
            </w:pPr>
          </w:p>
        </w:tc>
        <w:tc>
          <w:tcPr>
            <w:tcW w:w="239" w:type="pct"/>
            <w:noWrap w:val="0"/>
            <w:vAlign w:val="center"/>
          </w:tcPr>
          <w:p>
            <w:pPr>
              <w:spacing w:line="700" w:lineRule="exact"/>
              <w:jc w:val="center"/>
              <w:rPr>
                <w:rFonts w:ascii="Calibri" w:hAnsi="Calibri" w:eastAsia="楷体"/>
                <w:kern w:val="0"/>
                <w:szCs w:val="32"/>
              </w:rPr>
            </w:pPr>
          </w:p>
        </w:tc>
        <w:tc>
          <w:tcPr>
            <w:tcW w:w="239" w:type="pct"/>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exact"/>
        </w:trPr>
        <w:tc>
          <w:tcPr>
            <w:tcW w:w="425" w:type="pc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604" w:type="pct"/>
            <w:noWrap w:val="0"/>
            <w:vAlign w:val="center"/>
          </w:tcPr>
          <w:p>
            <w:pPr>
              <w:autoSpaceDN w:val="0"/>
              <w:jc w:val="center"/>
              <w:textAlignment w:val="center"/>
              <w:rPr>
                <w:rFonts w:ascii="Calibri" w:hAnsi="Calibri" w:eastAsia="华文细黑"/>
                <w:color w:val="000000"/>
                <w:sz w:val="20"/>
                <w:szCs w:val="22"/>
              </w:rPr>
            </w:pPr>
          </w:p>
        </w:tc>
        <w:tc>
          <w:tcPr>
            <w:tcW w:w="633" w:type="pct"/>
            <w:noWrap w:val="0"/>
            <w:vAlign w:val="center"/>
          </w:tcPr>
          <w:p>
            <w:pPr>
              <w:spacing w:line="700" w:lineRule="exact"/>
              <w:jc w:val="center"/>
              <w:rPr>
                <w:rFonts w:ascii="Calibri" w:hAnsi="Calibri" w:eastAsia="楷体"/>
                <w:kern w:val="0"/>
                <w:szCs w:val="32"/>
              </w:rPr>
            </w:pPr>
          </w:p>
        </w:tc>
        <w:tc>
          <w:tcPr>
            <w:tcW w:w="487" w:type="pct"/>
            <w:noWrap w:val="0"/>
            <w:vAlign w:val="center"/>
          </w:tcPr>
          <w:p>
            <w:pPr>
              <w:spacing w:line="700" w:lineRule="exact"/>
              <w:jc w:val="center"/>
              <w:rPr>
                <w:rFonts w:ascii="Calibri" w:hAnsi="Calibri" w:eastAsia="楷体"/>
                <w:kern w:val="0"/>
                <w:szCs w:val="32"/>
              </w:rPr>
            </w:pPr>
          </w:p>
        </w:tc>
        <w:tc>
          <w:tcPr>
            <w:tcW w:w="448" w:type="pct"/>
            <w:noWrap w:val="0"/>
            <w:vAlign w:val="center"/>
          </w:tcPr>
          <w:p>
            <w:pPr>
              <w:spacing w:line="240" w:lineRule="auto"/>
              <w:jc w:val="both"/>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158.11</w:t>
            </w:r>
          </w:p>
        </w:tc>
        <w:tc>
          <w:tcPr>
            <w:tcW w:w="448" w:type="pct"/>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1"/>
                <w:szCs w:val="21"/>
                <w:lang w:val="en-US" w:eastAsia="zh-CN"/>
              </w:rPr>
              <w:t>158.11</w:t>
            </w:r>
          </w:p>
        </w:tc>
        <w:tc>
          <w:tcPr>
            <w:tcW w:w="248" w:type="pct"/>
            <w:noWrap w:val="0"/>
            <w:vAlign w:val="center"/>
          </w:tcPr>
          <w:p>
            <w:pPr>
              <w:spacing w:line="700" w:lineRule="exact"/>
              <w:jc w:val="center"/>
              <w:rPr>
                <w:rFonts w:ascii="Calibri" w:hAnsi="Calibri" w:eastAsia="楷体"/>
                <w:kern w:val="0"/>
                <w:szCs w:val="32"/>
              </w:rPr>
            </w:pPr>
          </w:p>
        </w:tc>
        <w:tc>
          <w:tcPr>
            <w:tcW w:w="287" w:type="pct"/>
            <w:noWrap w:val="0"/>
            <w:vAlign w:val="center"/>
          </w:tcPr>
          <w:p>
            <w:pPr>
              <w:spacing w:line="700" w:lineRule="exact"/>
              <w:jc w:val="center"/>
              <w:rPr>
                <w:rFonts w:ascii="Calibri" w:hAnsi="Calibri" w:eastAsia="楷体"/>
                <w:kern w:val="0"/>
                <w:szCs w:val="32"/>
              </w:rPr>
            </w:pPr>
          </w:p>
        </w:tc>
        <w:tc>
          <w:tcPr>
            <w:tcW w:w="310" w:type="pct"/>
            <w:noWrap w:val="0"/>
            <w:vAlign w:val="center"/>
          </w:tcPr>
          <w:p>
            <w:pPr>
              <w:spacing w:line="700" w:lineRule="exact"/>
              <w:jc w:val="center"/>
              <w:rPr>
                <w:rFonts w:ascii="Calibri" w:hAnsi="Calibri" w:eastAsia="楷体"/>
                <w:kern w:val="0"/>
                <w:szCs w:val="32"/>
              </w:rPr>
            </w:pPr>
          </w:p>
        </w:tc>
        <w:tc>
          <w:tcPr>
            <w:tcW w:w="291" w:type="pct"/>
            <w:noWrap w:val="0"/>
            <w:vAlign w:val="center"/>
          </w:tcPr>
          <w:p>
            <w:pPr>
              <w:spacing w:line="700" w:lineRule="exact"/>
              <w:jc w:val="center"/>
              <w:rPr>
                <w:rFonts w:ascii="Calibri" w:hAnsi="Calibri" w:eastAsia="楷体"/>
                <w:kern w:val="0"/>
                <w:szCs w:val="32"/>
              </w:rPr>
            </w:pPr>
          </w:p>
        </w:tc>
        <w:tc>
          <w:tcPr>
            <w:tcW w:w="335" w:type="pct"/>
            <w:noWrap w:val="0"/>
            <w:vAlign w:val="center"/>
          </w:tcPr>
          <w:p>
            <w:pPr>
              <w:spacing w:line="700" w:lineRule="exact"/>
              <w:jc w:val="center"/>
              <w:rPr>
                <w:rFonts w:ascii="Calibri" w:hAnsi="Calibri" w:eastAsia="楷体"/>
                <w:kern w:val="0"/>
                <w:szCs w:val="32"/>
              </w:rPr>
            </w:pPr>
          </w:p>
        </w:tc>
        <w:tc>
          <w:tcPr>
            <w:tcW w:w="239" w:type="pct"/>
            <w:noWrap w:val="0"/>
            <w:vAlign w:val="center"/>
          </w:tcPr>
          <w:p>
            <w:pPr>
              <w:spacing w:line="700" w:lineRule="exact"/>
              <w:jc w:val="center"/>
              <w:rPr>
                <w:rFonts w:ascii="Calibri" w:hAnsi="Calibri" w:eastAsia="楷体"/>
                <w:kern w:val="0"/>
                <w:szCs w:val="32"/>
              </w:rPr>
            </w:pPr>
          </w:p>
        </w:tc>
        <w:tc>
          <w:tcPr>
            <w:tcW w:w="239" w:type="pct"/>
            <w:noWrap w:val="0"/>
            <w:vAlign w:val="center"/>
          </w:tcPr>
          <w:p>
            <w:pPr>
              <w:spacing w:line="700" w:lineRule="exact"/>
              <w:jc w:val="center"/>
              <w:rPr>
                <w:rFonts w:ascii="Calibri" w:hAnsi="Calibri" w:eastAsia="楷体"/>
                <w:kern w:val="0"/>
                <w:szCs w:val="32"/>
              </w:rPr>
            </w:pPr>
          </w:p>
        </w:tc>
      </w:tr>
    </w:tbl>
    <w:p>
      <w:pPr>
        <w:bidi w:val="0"/>
        <w:jc w:val="left"/>
        <w:rPr>
          <w:rFonts w:ascii="Times New Roman" w:hAnsi="Times New Roman" w:eastAsia="仿宋_GB2312" w:cs="Times New Roman"/>
          <w:kern w:val="2"/>
          <w:sz w:val="32"/>
          <w:lang w:val="en-US" w:eastAsia="zh-CN" w:bidi="ar-SA"/>
        </w:rPr>
      </w:pPr>
    </w:p>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700" w:tblpY="398"/>
        <w:tblOverlap w:val="never"/>
        <w:tblW w:w="5000" w:type="pct"/>
        <w:tblInd w:w="0" w:type="dxa"/>
        <w:tblLayout w:type="autofit"/>
        <w:tblCellMar>
          <w:top w:w="15" w:type="dxa"/>
          <w:left w:w="15" w:type="dxa"/>
          <w:bottom w:w="15" w:type="dxa"/>
          <w:right w:w="15" w:type="dxa"/>
        </w:tblCellMar>
      </w:tblPr>
      <w:tblGrid>
        <w:gridCol w:w="1025"/>
        <w:gridCol w:w="1099"/>
        <w:gridCol w:w="2013"/>
        <w:gridCol w:w="2271"/>
        <w:gridCol w:w="2353"/>
      </w:tblGrid>
      <w:tr>
        <w:tblPrEx>
          <w:tblCellMar>
            <w:top w:w="15" w:type="dxa"/>
            <w:left w:w="15" w:type="dxa"/>
            <w:bottom w:w="15" w:type="dxa"/>
            <w:right w:w="15" w:type="dxa"/>
          </w:tblCellMar>
        </w:tblPrEx>
        <w:trPr>
          <w:trHeight w:val="564" w:hRule="atLeast"/>
        </w:trPr>
        <w:tc>
          <w:tcPr>
            <w:tcW w:w="5000" w:type="pct"/>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40" w:hRule="atLeast"/>
        </w:trPr>
        <w:tc>
          <w:tcPr>
            <w:tcW w:w="2361" w:type="pct"/>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2638" w:type="pct"/>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十花道乡202</w:t>
            </w:r>
            <w:r>
              <w:rPr>
                <w:rFonts w:hint="eastAsia" w:ascii="宋体" w:hAnsi="宋体" w:eastAsia="宋体" w:cs="宋体"/>
                <w:color w:val="000000"/>
                <w:sz w:val="20"/>
                <w:lang w:val="en-US" w:eastAsia="zh-CN"/>
              </w:rPr>
              <w:t>4</w:t>
            </w:r>
            <w:r>
              <w:rPr>
                <w:rFonts w:hint="eastAsia" w:ascii="宋体" w:hAnsi="宋体" w:eastAsia="宋体" w:cs="宋体"/>
                <w:color w:val="000000"/>
                <w:sz w:val="20"/>
              </w:rPr>
              <w:t>年村级组织运转经费</w:t>
            </w:r>
          </w:p>
        </w:tc>
      </w:tr>
      <w:tr>
        <w:tblPrEx>
          <w:tblCellMar>
            <w:top w:w="15" w:type="dxa"/>
            <w:left w:w="15" w:type="dxa"/>
            <w:bottom w:w="15" w:type="dxa"/>
            <w:right w:w="15" w:type="dxa"/>
          </w:tblCellMar>
        </w:tblPrEx>
        <w:trPr>
          <w:trHeight w:val="340" w:hRule="atLeast"/>
        </w:trPr>
        <w:tc>
          <w:tcPr>
            <w:tcW w:w="2361" w:type="pct"/>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2638" w:type="pct"/>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40" w:hRule="atLeast"/>
        </w:trPr>
        <w:tc>
          <w:tcPr>
            <w:tcW w:w="585" w:type="pct"/>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1775" w:type="pct"/>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2638" w:type="pct"/>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158.11</w:t>
            </w: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75" w:type="pct"/>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2638" w:type="pct"/>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158.11</w:t>
            </w: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75" w:type="pct"/>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2638" w:type="pct"/>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34"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4414" w:type="pct"/>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完善十花道乡村级组织运转经费保障机制，促进农村基层组织建设，激发村干部干事创业热情，拨付10个行政村村级组织运转经费。</w:t>
            </w:r>
          </w:p>
        </w:tc>
      </w:tr>
      <w:tr>
        <w:tblPrEx>
          <w:tblCellMar>
            <w:top w:w="15" w:type="dxa"/>
            <w:left w:w="15" w:type="dxa"/>
            <w:bottom w:w="15" w:type="dxa"/>
            <w:right w:w="15" w:type="dxa"/>
          </w:tblCellMar>
        </w:tblPrEx>
        <w:trPr>
          <w:trHeight w:val="340" w:hRule="atLeast"/>
        </w:trPr>
        <w:tc>
          <w:tcPr>
            <w:tcW w:w="585" w:type="pct"/>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1148"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627" w:type="pct"/>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1148"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经费拨付行政村数</w:t>
            </w: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=10个</w:t>
            </w: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627"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148"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经费拨付程序规范性</w:t>
            </w: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627"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148"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村均运转经费数</w:t>
            </w: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15.811元/村</w:t>
            </w: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627"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148" w:type="pc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经费拨付及时率</w:t>
            </w: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627" w:type="pct"/>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1148"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627"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148"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村干部干事创业热情</w:t>
            </w: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不断提高</w:t>
            </w: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627"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148"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40"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627"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148"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51" w:hRule="atLeast"/>
        </w:trPr>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627" w:type="pct"/>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148"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1296"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服务群众满意度</w:t>
            </w:r>
          </w:p>
        </w:tc>
        <w:tc>
          <w:tcPr>
            <w:tcW w:w="1342" w:type="pc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735.99</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431.88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78.4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25.12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158.11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42.48</w:t>
      </w:r>
      <w:r>
        <w:rPr>
          <w:rFonts w:hint="eastAsia" w:ascii="仿宋_GB2312" w:hAnsi="仿宋_GB2312" w:eastAsia="仿宋_GB2312" w:cs="仿宋_GB2312"/>
          <w:szCs w:val="32"/>
        </w:rPr>
        <w:t>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735.99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735.99</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56.64</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单位人员增加</w:t>
      </w:r>
      <w:r>
        <w:rPr>
          <w:rFonts w:hint="eastAsia" w:ascii="仿宋_GB2312" w:hAnsi="仿宋_GB2312" w:eastAsia="仿宋_GB2312" w:cs="仿宋_GB2312"/>
          <w:szCs w:val="32"/>
        </w:rPr>
        <w:t>。</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735.99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735.99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735.99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735.99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577.88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78.52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158.11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21.48</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735.99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735.99</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431.88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78.4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25.12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158.11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42.48</w:t>
      </w:r>
      <w:r>
        <w:rPr>
          <w:rFonts w:hint="eastAsia" w:ascii="仿宋_GB2312" w:hAnsi="仿宋_GB2312" w:eastAsia="仿宋_GB2312" w:cs="仿宋_GB2312"/>
          <w:szCs w:val="32"/>
        </w:rPr>
        <w:t>万元。</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735.99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577.88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78.52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158.11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21.48</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535.64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92.69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42.24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7.31</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431.88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58.68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单位各项人员工资福利支出及日常办公开销</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78.4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10.65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单位职工基本养老保险及职业年金缴费支出</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25.12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3.41</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单位职工医疗保险支出</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158.11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21.48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对村民委员会及村党支部的补助，保障运转</w:t>
      </w:r>
      <w:r>
        <w:rPr>
          <w:rFonts w:hint="eastAsia" w:ascii="仿宋_GB2312" w:hAnsi="仿宋_GB2312" w:eastAsia="仿宋_GB2312" w:cs="仿宋_GB2312"/>
          <w:szCs w:val="32"/>
        </w:rPr>
        <w:t>。</w:t>
      </w:r>
    </w:p>
    <w:p>
      <w:pPr>
        <w:spacing w:line="520" w:lineRule="exact"/>
        <w:ind w:firstLine="640" w:firstLineChars="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42.48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5.77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单位职工住房公积金缴费支出</w:t>
      </w:r>
      <w:r>
        <w:rPr>
          <w:rFonts w:hint="eastAsia" w:ascii="仿宋_GB2312" w:hAnsi="仿宋_GB2312" w:eastAsia="仿宋_GB2312" w:cs="仿宋_GB2312"/>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577.88</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535.64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42.24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cs="仿宋_GB2312"/>
          <w:kern w:val="0"/>
          <w:szCs w:val="32"/>
          <w:lang w:eastAsia="zh-CN"/>
        </w:rPr>
        <w:t>租赁</w:t>
      </w:r>
      <w:r>
        <w:rPr>
          <w:rFonts w:hint="eastAsia" w:ascii="仿宋_GB2312" w:hAnsi="仿宋_GB2312" w:eastAsia="仿宋_GB2312" w:cs="仿宋_GB2312"/>
          <w:kern w:val="0"/>
          <w:szCs w:val="32"/>
        </w:rPr>
        <w:t>费</w:t>
      </w:r>
      <w:r>
        <w:rPr>
          <w:rFonts w:hint="eastAsia" w:ascii="仿宋_GB2312" w:hAnsi="仿宋_GB2312" w:eastAsia="仿宋_GB2312" w:cs="仿宋_GB2312"/>
          <w:szCs w:val="32"/>
        </w:rPr>
        <w:t>、</w:t>
      </w:r>
      <w:r>
        <w:rPr>
          <w:rFonts w:hint="eastAsia" w:ascii="仿宋_GB2312" w:hAnsi="仿宋_GB2312" w:cs="仿宋_GB2312"/>
          <w:kern w:val="0"/>
          <w:szCs w:val="32"/>
          <w:lang w:eastAsia="zh-CN"/>
        </w:rPr>
        <w:t>劳务</w:t>
      </w:r>
      <w:r>
        <w:rPr>
          <w:rFonts w:hint="eastAsia" w:ascii="仿宋_GB2312" w:hAnsi="仿宋_GB2312" w:eastAsia="仿宋_GB2312" w:cs="仿宋_GB2312"/>
          <w:kern w:val="0"/>
          <w:szCs w:val="32"/>
        </w:rPr>
        <w:t>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eastAsia="zh-CN"/>
        </w:rPr>
        <w:t>，本部门无一般公共预算财政拨款“三公”经费预算。</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eastAsia="楷体"/>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eastAsia="zh-CN"/>
        </w:rPr>
        <w:t>，本部门无政府性基金预算拨款。</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eastAsia="楷体"/>
          <w:szCs w:val="32"/>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w:t>
      </w:r>
      <w:r>
        <w:rPr>
          <w:rFonts w:hint="eastAsia" w:ascii="仿宋_GB2312" w:hAnsi="仿宋_GB2312" w:cs="仿宋_GB2312"/>
          <w:szCs w:val="32"/>
          <w:highlight w:val="none"/>
          <w:lang w:eastAsia="zh-CN"/>
        </w:rPr>
        <w:t>，本部门无国有资本经营预算拨款。</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本单位为事业单位，无机关运行经费。</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（二）政府采购情况</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w:t>
      </w:r>
      <w:r>
        <w:rPr>
          <w:rFonts w:hint="eastAsia" w:ascii="仿宋_GB2312" w:hAnsi="仿宋_GB2312" w:cs="仿宋_GB2312"/>
          <w:szCs w:val="32"/>
          <w:highlight w:val="none"/>
          <w:lang w:eastAsia="zh-CN"/>
        </w:rPr>
        <w:t>本部门无</w:t>
      </w:r>
      <w:r>
        <w:rPr>
          <w:rFonts w:hint="eastAsia" w:ascii="仿宋_GB2312" w:hAnsi="仿宋_GB2312" w:eastAsia="仿宋_GB2312" w:cs="仿宋_GB2312"/>
          <w:szCs w:val="32"/>
          <w:highlight w:val="none"/>
        </w:rPr>
        <w:t>政府采购预算。</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w:t>
      </w:r>
      <w:r>
        <w:rPr>
          <w:rFonts w:hint="eastAsia" w:ascii="仿宋_GB2312" w:hAnsi="仿宋_GB2312" w:cs="仿宋_GB2312"/>
          <w:szCs w:val="32"/>
          <w:lang w:eastAsia="zh-CN"/>
        </w:rPr>
        <w:t>本</w:t>
      </w:r>
      <w:r>
        <w:rPr>
          <w:rFonts w:hint="eastAsia" w:ascii="仿宋_GB2312" w:hAnsi="仿宋_GB2312" w:eastAsia="仿宋_GB2312" w:cs="仿宋_GB2312"/>
          <w:szCs w:val="32"/>
        </w:rPr>
        <w:t>单位</w:t>
      </w:r>
      <w:r>
        <w:rPr>
          <w:rFonts w:hint="eastAsia" w:ascii="仿宋_GB2312" w:hAnsi="仿宋_GB2312" w:cs="仿宋_GB2312"/>
          <w:szCs w:val="32"/>
          <w:lang w:eastAsia="zh-CN"/>
        </w:rPr>
        <w:t>无</w:t>
      </w:r>
      <w:r>
        <w:rPr>
          <w:rFonts w:hint="eastAsia" w:ascii="仿宋_GB2312" w:hAnsi="仿宋_GB2312" w:eastAsia="仿宋_GB2312" w:cs="仿宋_GB2312"/>
          <w:szCs w:val="32"/>
        </w:rPr>
        <w:t>车辆</w:t>
      </w:r>
      <w:r>
        <w:rPr>
          <w:rFonts w:hint="eastAsia" w:ascii="仿宋_GB2312" w:hAnsi="仿宋_GB2312" w:cs="仿宋_GB2312"/>
          <w:szCs w:val="32"/>
          <w:lang w:eastAsia="zh-CN"/>
        </w:rPr>
        <w:t>、</w:t>
      </w:r>
      <w:r>
        <w:rPr>
          <w:rFonts w:hint="eastAsia" w:ascii="仿宋_GB2312" w:hAnsi="仿宋_GB2312" w:eastAsia="仿宋_GB2312" w:cs="仿宋_GB2312"/>
          <w:szCs w:val="32"/>
        </w:rPr>
        <w:t>土地</w:t>
      </w:r>
      <w:r>
        <w:rPr>
          <w:rFonts w:hint="eastAsia" w:ascii="仿宋_GB2312" w:hAnsi="仿宋_GB2312" w:cs="仿宋_GB2312"/>
          <w:szCs w:val="32"/>
          <w:lang w:eastAsia="zh-CN"/>
        </w:rPr>
        <w:t>、</w:t>
      </w:r>
      <w:r>
        <w:rPr>
          <w:rFonts w:hint="eastAsia" w:ascii="仿宋_GB2312" w:hAnsi="仿宋_GB2312" w:eastAsia="仿宋_GB2312" w:cs="仿宋_GB2312"/>
          <w:szCs w:val="32"/>
        </w:rPr>
        <w:t>房屋</w:t>
      </w:r>
      <w:r>
        <w:rPr>
          <w:rFonts w:hint="eastAsia" w:ascii="仿宋_GB2312" w:hAnsi="仿宋_GB2312" w:cs="仿宋_GB2312"/>
          <w:szCs w:val="32"/>
          <w:lang w:eastAsia="zh-CN"/>
        </w:rPr>
        <w:t>、</w:t>
      </w:r>
      <w:r>
        <w:rPr>
          <w:rFonts w:hint="eastAsia" w:ascii="仿宋_GB2312" w:hAnsi="仿宋_GB2312" w:eastAsia="仿宋_GB2312" w:cs="仿宋_GB2312"/>
          <w:szCs w:val="32"/>
        </w:rPr>
        <w:t>单价50万元及以上的通用设备</w:t>
      </w:r>
      <w:r>
        <w:rPr>
          <w:rFonts w:hint="eastAsia" w:ascii="仿宋_GB2312" w:hAnsi="仿宋_GB2312" w:cs="仿宋_GB2312"/>
          <w:szCs w:val="32"/>
          <w:lang w:eastAsia="zh-CN"/>
        </w:rPr>
        <w:t>、</w:t>
      </w:r>
      <w:r>
        <w:rPr>
          <w:rFonts w:hint="eastAsia" w:ascii="仿宋_GB2312" w:hAnsi="仿宋_GB2312" w:eastAsia="仿宋_GB2312" w:cs="仿宋_GB2312"/>
          <w:szCs w:val="32"/>
        </w:rPr>
        <w:t>单价100万元及以上的专用设备。</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w:t>
      </w:r>
      <w:r>
        <w:rPr>
          <w:rFonts w:hint="eastAsia" w:ascii="仿宋_GB2312" w:hAnsi="仿宋_GB2312" w:cs="仿宋_GB2312"/>
          <w:szCs w:val="32"/>
          <w:lang w:eastAsia="zh-CN"/>
        </w:rPr>
        <w:t>本单位无</w:t>
      </w:r>
      <w:r>
        <w:rPr>
          <w:rFonts w:hint="eastAsia" w:ascii="仿宋_GB2312" w:hAnsi="仿宋_GB2312" w:eastAsia="仿宋_GB2312" w:cs="仿宋_GB2312"/>
          <w:szCs w:val="32"/>
        </w:rPr>
        <w:t>部门预算安排购置车辆</w:t>
      </w:r>
      <w:r>
        <w:rPr>
          <w:rFonts w:hint="eastAsia" w:ascii="仿宋_GB2312" w:hAnsi="仿宋_GB2312" w:cs="仿宋_GB2312"/>
          <w:szCs w:val="32"/>
          <w:lang w:eastAsia="zh-CN"/>
        </w:rPr>
        <w:t>、</w:t>
      </w:r>
      <w:r>
        <w:rPr>
          <w:rFonts w:hint="eastAsia" w:ascii="仿宋_GB2312" w:hAnsi="仿宋_GB2312" w:eastAsia="仿宋_GB2312" w:cs="仿宋_GB2312"/>
          <w:szCs w:val="32"/>
        </w:rPr>
        <w:t>土地</w:t>
      </w:r>
      <w:r>
        <w:rPr>
          <w:rFonts w:hint="eastAsia" w:ascii="仿宋_GB2312" w:hAnsi="仿宋_GB2312" w:cs="仿宋_GB2312"/>
          <w:szCs w:val="32"/>
          <w:lang w:eastAsia="zh-CN"/>
        </w:rPr>
        <w:t>、</w:t>
      </w:r>
      <w:r>
        <w:rPr>
          <w:rFonts w:hint="eastAsia" w:ascii="仿宋_GB2312" w:hAnsi="仿宋_GB2312" w:eastAsia="仿宋_GB2312" w:cs="仿宋_GB2312"/>
          <w:szCs w:val="32"/>
        </w:rPr>
        <w:t>房屋，</w:t>
      </w:r>
      <w:r>
        <w:rPr>
          <w:rFonts w:hint="eastAsia" w:ascii="仿宋_GB2312" w:hAnsi="仿宋_GB2312" w:cs="仿宋_GB2312"/>
          <w:szCs w:val="32"/>
          <w:lang w:eastAsia="zh-CN"/>
        </w:rPr>
        <w:t>无</w:t>
      </w:r>
      <w:r>
        <w:rPr>
          <w:rFonts w:hint="eastAsia" w:ascii="仿宋_GB2312" w:hAnsi="仿宋_GB2312" w:eastAsia="仿宋_GB2312" w:cs="仿宋_GB2312"/>
          <w:szCs w:val="32"/>
        </w:rPr>
        <w:t>计划新增单价50万元及以上的通用设备</w:t>
      </w:r>
      <w:r>
        <w:rPr>
          <w:rFonts w:hint="eastAsia" w:ascii="仿宋_GB2312" w:hAnsi="仿宋_GB2312" w:cs="仿宋_GB2312"/>
          <w:szCs w:val="32"/>
          <w:lang w:eastAsia="zh-CN"/>
        </w:rPr>
        <w:t>、</w:t>
      </w:r>
      <w:r>
        <w:rPr>
          <w:rFonts w:hint="eastAsia" w:ascii="仿宋_GB2312" w:hAnsi="仿宋_GB2312" w:eastAsia="仿宋_GB2312" w:cs="仿宋_GB2312"/>
          <w:szCs w:val="32"/>
        </w:rPr>
        <w:t>单价100万元及以上的专用设备。</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158.11</w:t>
      </w:r>
      <w:r>
        <w:rPr>
          <w:rFonts w:hint="eastAsia" w:ascii="仿宋_GB2312" w:hAnsi="仿宋_GB2312" w:eastAsia="仿宋_GB2312" w:cs="仿宋_GB2312"/>
          <w:szCs w:val="32"/>
          <w:highlight w:val="none"/>
        </w:rPr>
        <w:t>万元，其中：二级项目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158.11</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158.11</w:t>
      </w:r>
      <w:r>
        <w:rPr>
          <w:rFonts w:hint="eastAsia" w:ascii="仿宋_GB2312" w:hAnsi="仿宋_GB2312" w:eastAsia="仿宋_GB2312" w:cs="仿宋_GB2312"/>
        </w:rPr>
        <w:t>万元。</w:t>
      </w:r>
    </w:p>
    <w:p>
      <w:pPr>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552D41-A7D5-46AD-8E69-6D9EE16C54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907E64F-6C59-4E4C-9CC8-E5C8C1C5095D}"/>
  </w:font>
  <w:font w:name="仿宋_GB2312">
    <w:altName w:val="仿宋"/>
    <w:panose1 w:val="02010609030101010101"/>
    <w:charset w:val="86"/>
    <w:family w:val="modern"/>
    <w:pitch w:val="default"/>
    <w:sig w:usb0="00000000" w:usb1="00000000" w:usb2="00000000" w:usb3="00000000" w:csb0="00040000" w:csb1="00000000"/>
    <w:embedRegular r:id="rId3" w:fontKey="{E5B25FF5-98A1-4EED-85D7-466BA5629BDA}"/>
  </w:font>
  <w:font w:name="华文细黑">
    <w:panose1 w:val="02010600040101010101"/>
    <w:charset w:val="86"/>
    <w:family w:val="auto"/>
    <w:pitch w:val="default"/>
    <w:sig w:usb0="00000287" w:usb1="080F0000" w:usb2="00000000" w:usb3="00000000" w:csb0="0004009F" w:csb1="DFD70000"/>
    <w:embedRegular r:id="rId4" w:fontKey="{940705F3-E040-4FAA-B27D-CD5D9BECA4E7}"/>
  </w:font>
  <w:font w:name="方正小标宋简体">
    <w:panose1 w:val="02000000000000000000"/>
    <w:charset w:val="86"/>
    <w:family w:val="auto"/>
    <w:pitch w:val="default"/>
    <w:sig w:usb0="00000001" w:usb1="08000000" w:usb2="00000000" w:usb3="00000000" w:csb0="00040000" w:csb1="00000000"/>
    <w:embedRegular r:id="rId5" w:fontKey="{FBE10616-EE2F-478A-B1BC-E0240899A848}"/>
  </w:font>
  <w:font w:name="楷体_GB2312">
    <w:altName w:val="楷体"/>
    <w:panose1 w:val="02010609030101010101"/>
    <w:charset w:val="86"/>
    <w:family w:val="modern"/>
    <w:pitch w:val="default"/>
    <w:sig w:usb0="00000000" w:usb1="00000000" w:usb2="00000000" w:usb3="00000000" w:csb0="00040000" w:csb1="00000000"/>
    <w:embedRegular r:id="rId6" w:fontKey="{CE95FCFE-ADEC-41AD-B924-4AA457E3AE2A}"/>
  </w:font>
  <w:font w:name="仿宋">
    <w:panose1 w:val="02010609060101010101"/>
    <w:charset w:val="86"/>
    <w:family w:val="auto"/>
    <w:pitch w:val="default"/>
    <w:sig w:usb0="800002BF" w:usb1="38CF7CFA" w:usb2="00000016" w:usb3="00000000" w:csb0="00040001" w:csb1="00000000"/>
    <w:embedRegular r:id="rId7" w:fontKey="{502CD7DC-F371-4544-A5C8-DB9A56075B8B}"/>
  </w:font>
  <w:font w:name="楷体">
    <w:panose1 w:val="02010609060101010101"/>
    <w:charset w:val="86"/>
    <w:family w:val="auto"/>
    <w:pitch w:val="default"/>
    <w:sig w:usb0="800002BF" w:usb1="38CF7CFA" w:usb2="00000016" w:usb3="00000000" w:csb0="00040001" w:csb1="00000000"/>
    <w:embedRegular r:id="rId8" w:fontKey="{0A755356-3A50-46BE-A1C5-A936985E3F7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166D42"/>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7D64E9"/>
    <w:rsid w:val="12E711B7"/>
    <w:rsid w:val="136D62BD"/>
    <w:rsid w:val="13F21722"/>
    <w:rsid w:val="1441443C"/>
    <w:rsid w:val="14C12787"/>
    <w:rsid w:val="15593E10"/>
    <w:rsid w:val="159F7E25"/>
    <w:rsid w:val="15F848D0"/>
    <w:rsid w:val="160E1FA5"/>
    <w:rsid w:val="160F2600"/>
    <w:rsid w:val="17765BCA"/>
    <w:rsid w:val="17A027D8"/>
    <w:rsid w:val="19446847"/>
    <w:rsid w:val="1A817DF8"/>
    <w:rsid w:val="1ADC594E"/>
    <w:rsid w:val="1AEB5252"/>
    <w:rsid w:val="1C852172"/>
    <w:rsid w:val="1CA40C0C"/>
    <w:rsid w:val="1CFF4A32"/>
    <w:rsid w:val="1D833200"/>
    <w:rsid w:val="1E2D59A2"/>
    <w:rsid w:val="1E3A3FD0"/>
    <w:rsid w:val="1EB55C07"/>
    <w:rsid w:val="1F351A10"/>
    <w:rsid w:val="1FED47E9"/>
    <w:rsid w:val="201D7C8D"/>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BB0570"/>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9716C0C"/>
    <w:rsid w:val="399E2E13"/>
    <w:rsid w:val="3A657F9A"/>
    <w:rsid w:val="3A9113D4"/>
    <w:rsid w:val="3AC54F32"/>
    <w:rsid w:val="3B144A0A"/>
    <w:rsid w:val="3B1B2A0D"/>
    <w:rsid w:val="3B7C071F"/>
    <w:rsid w:val="3BC92948"/>
    <w:rsid w:val="3BE370D4"/>
    <w:rsid w:val="3C29381E"/>
    <w:rsid w:val="3C711E1D"/>
    <w:rsid w:val="3C7F463D"/>
    <w:rsid w:val="3CAE3960"/>
    <w:rsid w:val="3D365BF6"/>
    <w:rsid w:val="3DF23324"/>
    <w:rsid w:val="3E167E65"/>
    <w:rsid w:val="3EA14040"/>
    <w:rsid w:val="3EE8108D"/>
    <w:rsid w:val="405745EF"/>
    <w:rsid w:val="40B80EFF"/>
    <w:rsid w:val="41A35364"/>
    <w:rsid w:val="41C31686"/>
    <w:rsid w:val="42982B4E"/>
    <w:rsid w:val="43207E73"/>
    <w:rsid w:val="436B1E42"/>
    <w:rsid w:val="43993170"/>
    <w:rsid w:val="44054362"/>
    <w:rsid w:val="449C5E6A"/>
    <w:rsid w:val="456D114B"/>
    <w:rsid w:val="45EB670F"/>
    <w:rsid w:val="46AB7C0D"/>
    <w:rsid w:val="46D44808"/>
    <w:rsid w:val="47CF49E6"/>
    <w:rsid w:val="4843587B"/>
    <w:rsid w:val="48674ED2"/>
    <w:rsid w:val="487708E6"/>
    <w:rsid w:val="49645F71"/>
    <w:rsid w:val="499F5C68"/>
    <w:rsid w:val="4A637192"/>
    <w:rsid w:val="4ACE64FF"/>
    <w:rsid w:val="4AF16062"/>
    <w:rsid w:val="4B646DDD"/>
    <w:rsid w:val="4B7F44F8"/>
    <w:rsid w:val="4BAC24C5"/>
    <w:rsid w:val="4BFA0656"/>
    <w:rsid w:val="4C5567C9"/>
    <w:rsid w:val="4D730507"/>
    <w:rsid w:val="4D741DD3"/>
    <w:rsid w:val="4DC93207"/>
    <w:rsid w:val="4E2A22FD"/>
    <w:rsid w:val="4E3467A5"/>
    <w:rsid w:val="4E8D5761"/>
    <w:rsid w:val="4EF54A85"/>
    <w:rsid w:val="4F0A4038"/>
    <w:rsid w:val="4F3632B6"/>
    <w:rsid w:val="4F6F75D9"/>
    <w:rsid w:val="501B3C66"/>
    <w:rsid w:val="504B40C5"/>
    <w:rsid w:val="50987DC2"/>
    <w:rsid w:val="50A4703E"/>
    <w:rsid w:val="5136104F"/>
    <w:rsid w:val="51E55C99"/>
    <w:rsid w:val="52071113"/>
    <w:rsid w:val="52447C09"/>
    <w:rsid w:val="525A440D"/>
    <w:rsid w:val="52CF54A4"/>
    <w:rsid w:val="53F92153"/>
    <w:rsid w:val="54741940"/>
    <w:rsid w:val="54810E66"/>
    <w:rsid w:val="54C2556E"/>
    <w:rsid w:val="55480EEF"/>
    <w:rsid w:val="56570E30"/>
    <w:rsid w:val="57554A3A"/>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9C761E3"/>
    <w:rsid w:val="6A80735F"/>
    <w:rsid w:val="6ACC5E47"/>
    <w:rsid w:val="6AD43ED1"/>
    <w:rsid w:val="6B11024D"/>
    <w:rsid w:val="6B7D5B36"/>
    <w:rsid w:val="6C4561FB"/>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BB4463"/>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3</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2024-01-26T04:34:00Z</cp:lastPrinted>
  <dcterms:modified xsi:type="dcterms:W3CDTF">2024-01-26T12:57:39Z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