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none"/>
          <w:lang w:eastAsia="zh-CN"/>
        </w:rPr>
        <w:t>通榆县十花道乡人民政府</w:t>
      </w:r>
      <w:r>
        <w:rPr>
          <w:rFonts w:hint="eastAsia" w:eastAsia="方正小标宋简体"/>
          <w:sz w:val="44"/>
          <w:szCs w:val="44"/>
          <w:lang w:eastAsia="zh-CN"/>
        </w:rPr>
        <w:t>2024</w:t>
      </w:r>
      <w:r>
        <w:rPr>
          <w:rFonts w:eastAsia="方正小标宋简体"/>
          <w:sz w:val="44"/>
          <w:szCs w:val="44"/>
        </w:rPr>
        <w:t>年部门预算</w:t>
      </w:r>
    </w:p>
    <w:p>
      <w:pPr>
        <w:jc w:val="center"/>
        <w:rPr>
          <w:rFonts w:hint="eastAsia" w:eastAsia="方正小标宋简体"/>
          <w:sz w:val="44"/>
          <w:szCs w:val="44"/>
          <w:lang w:eastAsia="zh-CN"/>
        </w:rPr>
      </w:pPr>
      <w:r>
        <w:rPr>
          <w:rFonts w:hint="eastAsia" w:eastAsia="方正小标宋简体"/>
          <w:sz w:val="44"/>
          <w:szCs w:val="44"/>
          <w:lang w:eastAsia="zh-CN"/>
        </w:rPr>
        <w:t>（本级）</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一）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深入推进反腐败斗争，加强基层意识形态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二）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实施乡村振兴战略各项政策，规范“三资”管理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三）组织公共服务。推进政府职能由“管理型”向“服务型”转变，积极推进基本公共服务均等化。推动优质公共服务资源向村延伸。创新公共服务供给方式，加快建立政府主导、社会参与、公办民办并举的公共服务供给模式，加大政府购买服务力度。组织实施与群众生活密切相关的各项公共服务，落实人力社保、民政、教育、文化、体育、卫生健康等各领域相关政策。</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(四)实施综合管理。负责对辖区内城镇管理、人口管理、</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等方面职能。负责对辖区内物业管理的监督指导，对辖区内住宅小区开展综合管理。</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五）动员社会参与。坚持以基层党建引领基层治理，动员指导辖区内各类单位、社会组织和村等社会力量参与社会治理，引导辖区单位履行社会责任，整合辖区内各种社会力量为乡、村发展服务。做实做强由党建引领的基层共治基本单元，构建党组织统一领导、各类组织积极协同、广大群众广泛参与的基层治理体系。</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六)领导基层自治。发挥村党组织在基层群众自治组织建设中的领导核心作用，完善党领导下的基层社会治理体系，推进社会主义基层协商民主建设，做好组织群众、宣传群众、凝聚群众、服务群众工作，发挥村（居)民在基层社会治理中的主体作用，提高基层自治整体水平。</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七)维护安全稳定。落实安全稳定工作部署。负责辖区平安建设、综合治理、安全生产管理等有关工作，处理群众来信来访，有效化解各类矛盾纠纷等。坚持重心下移、力量下沉、保障下倾，实现辖区安全监管执法和综合治理网格化、一体化，提高公共安全体系精细化水平。</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八）深化“放管服”改革和“最多跑一次”改革。依托乡便民服务平台，推进审批服务事项向便民服务中心集中，保障便民服务中心的审批服务事项到位、权限到位。推进乡便民服务平台标准化建设，加快实现政务服务马上办、网上办、就近办、一次办，提升政务服务质量。</w:t>
      </w:r>
    </w:p>
    <w:p>
      <w:pPr>
        <w:ind w:firstLine="64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Cs w:val="32"/>
        </w:rPr>
        <w:t>（九）完成法律、法规、规章规定的其他事项和县委、县政府交办的其他任务。</w:t>
      </w: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u w:val="none"/>
          <w:lang w:eastAsia="zh-CN"/>
        </w:rPr>
      </w:pPr>
      <w:r>
        <w:rPr>
          <w:rFonts w:hint="eastAsia" w:ascii="仿宋_GB2312" w:hAnsi="仿宋_GB2312" w:eastAsia="仿宋_GB2312" w:cs="仿宋_GB2312"/>
        </w:rPr>
        <w:t>根据上述职责，</w:t>
      </w:r>
      <w:r>
        <w:rPr>
          <w:rFonts w:hint="eastAsia" w:ascii="仿宋_GB2312" w:hAnsi="仿宋_GB2312" w:eastAsia="仿宋_GB2312" w:cs="仿宋_GB2312"/>
          <w:u w:val="none"/>
          <w:lang w:eastAsia="zh-CN"/>
        </w:rPr>
        <w:t>通榆县十花道乡人民政府</w:t>
      </w:r>
      <w:r>
        <w:rPr>
          <w:rFonts w:hint="eastAsia" w:ascii="仿宋_GB2312" w:hAnsi="仿宋_GB2312" w:eastAsia="仿宋_GB2312" w:cs="仿宋_GB2312"/>
          <w:u w:val="none"/>
        </w:rPr>
        <w:t>内设</w:t>
      </w:r>
      <w:r>
        <w:rPr>
          <w:rFonts w:hint="eastAsia" w:ascii="仿宋_GB2312" w:hAnsi="仿宋_GB2312" w:eastAsia="仿宋_GB2312" w:cs="仿宋_GB2312"/>
          <w:u w:val="none"/>
          <w:lang w:val="en-US" w:eastAsia="zh-CN"/>
        </w:rPr>
        <w:t>8</w:t>
      </w:r>
      <w:r>
        <w:rPr>
          <w:rFonts w:hint="eastAsia" w:ascii="仿宋_GB2312" w:hAnsi="仿宋_GB2312" w:eastAsia="仿宋_GB2312" w:cs="仿宋_GB2312"/>
          <w:u w:val="none"/>
        </w:rPr>
        <w:t>个</w:t>
      </w:r>
      <w:r>
        <w:rPr>
          <w:rFonts w:hint="eastAsia" w:ascii="仿宋_GB2312" w:hAnsi="仿宋_GB2312" w:eastAsia="仿宋_GB2312" w:cs="仿宋_GB2312"/>
        </w:rPr>
        <w:t>机构，</w:t>
      </w:r>
      <w:r>
        <w:rPr>
          <w:rFonts w:hint="eastAsia" w:ascii="仿宋_GB2312" w:hAnsi="仿宋_GB2312" w:eastAsia="仿宋_GB2312" w:cs="仿宋_GB2312"/>
          <w:u w:val="none"/>
          <w:lang w:eastAsia="zh-CN"/>
        </w:rPr>
        <w:t>分别为综合办公室、党建工作办公室、平安建设办公室(应急管理办公室)、社会事务办公室(退役军人事务办公室)、农业农村办公室、综合行政执法办公室、财政经济办公室、扶贫工作办公室。</w:t>
      </w:r>
    </w:p>
    <w:p>
      <w:pPr>
        <w:pStyle w:val="51"/>
        <w:ind w:firstLine="640" w:firstLineChars="200"/>
        <w:rPr>
          <w:rFonts w:eastAsia="楷体"/>
        </w:rPr>
      </w:pPr>
      <w:r>
        <w:rPr>
          <w:rFonts w:hint="eastAsia" w:ascii="仿宋_GB2312" w:hAnsi="仿宋_GB2312" w:eastAsia="仿宋_GB2312" w:cs="仿宋_GB2312"/>
          <w:u w:val="none"/>
        </w:rPr>
        <w:t>下设</w:t>
      </w:r>
      <w:r>
        <w:rPr>
          <w:rFonts w:hint="eastAsia" w:ascii="仿宋_GB2312" w:hAnsi="仿宋_GB2312" w:eastAsia="仿宋_GB2312" w:cs="仿宋_GB2312"/>
          <w:u w:val="none"/>
          <w:lang w:val="en-US" w:eastAsia="zh-CN"/>
        </w:rPr>
        <w:t>2</w:t>
      </w:r>
      <w:r>
        <w:rPr>
          <w:rFonts w:hint="eastAsia" w:ascii="仿宋_GB2312" w:hAnsi="仿宋_GB2312" w:eastAsia="仿宋_GB2312" w:cs="仿宋_GB2312"/>
          <w:u w:val="none"/>
        </w:rPr>
        <w:t>家预算单位，分别为</w:t>
      </w:r>
      <w:r>
        <w:rPr>
          <w:rFonts w:hint="eastAsia" w:ascii="仿宋_GB2312" w:hAnsi="仿宋_GB2312" w:eastAsia="仿宋_GB2312" w:cs="仿宋_GB2312"/>
          <w:lang w:eastAsia="zh-CN"/>
        </w:rPr>
        <w:t>通榆县十花道乡人民政府和通榆县十花道乡综合服务中心</w:t>
      </w:r>
      <w:r>
        <w:rPr>
          <w:rFonts w:hint="eastAsia" w:ascii="仿宋_GB2312" w:hAnsi="仿宋_GB2312" w:eastAsia="仿宋_GB2312" w:cs="仿宋_GB2312"/>
          <w:u w:val="none"/>
        </w:rPr>
        <w:t>。</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454.06</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454.06</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373.69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373.69</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454.06</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454.06</w:t>
            </w:r>
          </w:p>
        </w:tc>
        <w:tc>
          <w:tcPr>
            <w:tcW w:w="1200" w:type="dxa"/>
            <w:tcBorders>
              <w:top w:val="nil"/>
              <w:left w:val="single" w:color="auto" w:sz="4" w:space="0"/>
              <w:bottom w:val="single" w:color="auto" w:sz="4" w:space="0"/>
              <w:right w:val="nil"/>
            </w:tcBorders>
            <w:noWrap w:val="0"/>
            <w:vAlign w:val="center"/>
          </w:tcPr>
          <w:p>
            <w:pPr>
              <w:jc w:val="center"/>
              <w:rPr>
                <w:rFonts w:hint="default" w:eastAsia="宋体"/>
                <w:kern w:val="0"/>
                <w:sz w:val="20"/>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41.73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41.73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24.04</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24.04</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仿宋_GB2312"/>
                <w:b w:val="0"/>
                <w:bCs/>
                <w:color w:val="000000"/>
                <w:kern w:val="0"/>
                <w:sz w:val="20"/>
                <w:lang w:eastAsia="zh-CN"/>
              </w:rPr>
            </w:pPr>
            <w:r>
              <w:rPr>
                <w:rFonts w:hint="eastAsia" w:ascii="仿宋_GB2312"/>
                <w:b w:val="0"/>
                <w:bCs/>
                <w:color w:val="000000"/>
                <w:kern w:val="0"/>
                <w:sz w:val="20"/>
              </w:rPr>
              <w:t>十、</w:t>
            </w:r>
            <w:r>
              <w:rPr>
                <w:rFonts w:hint="eastAsia" w:ascii="仿宋_GB2312"/>
                <w:b w:val="0"/>
                <w:bCs/>
                <w:color w:val="000000"/>
                <w:kern w:val="0"/>
                <w:sz w:val="20"/>
                <w:lang w:eastAsia="zh-CN"/>
              </w:rPr>
              <w:t>卫生健康支出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14.6</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14.6</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454.06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454.06</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454.06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454.06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454.06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454.06</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454.06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454.06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249"/>
        <w:gridCol w:w="705"/>
        <w:gridCol w:w="675"/>
        <w:gridCol w:w="690"/>
        <w:gridCol w:w="405"/>
        <w:gridCol w:w="35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67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705"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622"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6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705"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6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5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677" w:type="dxa"/>
            <w:gridSpan w:val="2"/>
            <w:tcBorders>
              <w:left w:val="single" w:color="000000" w:sz="4" w:space="0"/>
              <w:right w:val="single" w:color="000000" w:sz="4" w:space="0"/>
            </w:tcBorders>
            <w:noWrap w:val="0"/>
            <w:vAlign w:val="center"/>
          </w:tcPr>
          <w:p>
            <w:pPr>
              <w:widowControl/>
              <w:jc w:val="left"/>
              <w:rPr>
                <w:rFonts w:hint="eastAsia" w:eastAsia="宋体"/>
                <w:color w:val="000000"/>
                <w:sz w:val="18"/>
                <w:szCs w:val="18"/>
                <w:lang w:eastAsia="zh-CN"/>
              </w:rPr>
            </w:pPr>
            <w:r>
              <w:rPr>
                <w:rFonts w:hint="eastAsia" w:eastAsia="宋体"/>
                <w:color w:val="000000"/>
                <w:sz w:val="18"/>
                <w:szCs w:val="18"/>
                <w:lang w:eastAsia="zh-CN"/>
              </w:rPr>
              <w:t>通榆县十花道乡人民政府</w:t>
            </w:r>
          </w:p>
        </w:tc>
        <w:tc>
          <w:tcPr>
            <w:tcW w:w="70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454.06</w:t>
            </w:r>
          </w:p>
        </w:tc>
        <w:tc>
          <w:tcPr>
            <w:tcW w:w="67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454.06</w:t>
            </w:r>
          </w:p>
        </w:tc>
        <w:tc>
          <w:tcPr>
            <w:tcW w:w="69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454.06</w:t>
            </w:r>
          </w:p>
        </w:tc>
        <w:tc>
          <w:tcPr>
            <w:tcW w:w="405"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35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6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6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6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6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6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6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677"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5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677"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7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16"/>
                <w:szCs w:val="16"/>
                <w:shd w:val="clear" w:color="auto" w:fill="FFFFFF"/>
                <w:lang w:val="en-US" w:eastAsia="zh-CN"/>
              </w:rPr>
            </w:pPr>
            <w:r>
              <w:rPr>
                <w:rFonts w:hint="eastAsia"/>
                <w:color w:val="000000"/>
                <w:sz w:val="16"/>
                <w:szCs w:val="16"/>
                <w:shd w:val="clear" w:color="auto" w:fill="FFFFFF"/>
                <w:lang w:val="en-US" w:eastAsia="zh-CN"/>
              </w:rPr>
              <w:t>454.06</w:t>
            </w: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16"/>
                <w:szCs w:val="16"/>
                <w:shd w:val="clear" w:color="auto" w:fill="FFFFFF"/>
                <w:lang w:val="en-US" w:eastAsia="zh-CN"/>
              </w:rPr>
            </w:pPr>
            <w:r>
              <w:rPr>
                <w:rFonts w:hint="eastAsia"/>
                <w:color w:val="000000"/>
                <w:sz w:val="16"/>
                <w:szCs w:val="16"/>
                <w:shd w:val="clear" w:color="auto" w:fill="FFFFFF"/>
                <w:lang w:val="en-US" w:eastAsia="zh-CN"/>
              </w:rPr>
              <w:t>454.06</w:t>
            </w:r>
          </w:p>
        </w:tc>
        <w:tc>
          <w:tcPr>
            <w:tcW w:w="6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16"/>
                <w:szCs w:val="16"/>
                <w:shd w:val="clear" w:color="auto" w:fill="FFFFFF"/>
                <w:lang w:val="en-US" w:eastAsia="zh-CN"/>
              </w:rPr>
            </w:pPr>
            <w:r>
              <w:rPr>
                <w:rFonts w:hint="eastAsia"/>
                <w:color w:val="000000"/>
                <w:sz w:val="16"/>
                <w:szCs w:val="16"/>
                <w:shd w:val="clear" w:color="auto" w:fill="FFFFFF"/>
                <w:lang w:val="en-US" w:eastAsia="zh-CN"/>
              </w:rPr>
              <w:t>454.06</w:t>
            </w:r>
          </w:p>
        </w:tc>
        <w:tc>
          <w:tcPr>
            <w:tcW w:w="40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5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autofit"/>
        <w:tblCellMar>
          <w:top w:w="0" w:type="dxa"/>
          <w:left w:w="108" w:type="dxa"/>
          <w:bottom w:w="0" w:type="dxa"/>
          <w:right w:w="108" w:type="dxa"/>
        </w:tblCellMar>
      </w:tblPr>
      <w:tblGrid>
        <w:gridCol w:w="8947"/>
      </w:tblGrid>
      <w:tr>
        <w:tblPrEx>
          <w:tblCellMar>
            <w:top w:w="0" w:type="dxa"/>
            <w:left w:w="108" w:type="dxa"/>
            <w:bottom w:w="0" w:type="dxa"/>
            <w:right w:w="108" w:type="dxa"/>
          </w:tblCellMar>
        </w:tblPrEx>
        <w:trPr>
          <w:trHeight w:val="7685" w:hRule="atLeast"/>
          <w:jc w:val="center"/>
        </w:trPr>
        <w:tc>
          <w:tcPr>
            <w:tcW w:w="12020"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pPr w:leftFromText="180" w:rightFromText="180" w:vertAnchor="text" w:horzAnchor="page" w:tblpX="83" w:tblpY="362"/>
              <w:tblOverlap w:val="never"/>
              <w:tblW w:w="4998" w:type="pct"/>
              <w:tblInd w:w="0" w:type="dxa"/>
              <w:tblLayout w:type="autofit"/>
              <w:tblCellMar>
                <w:top w:w="15" w:type="dxa"/>
                <w:left w:w="15" w:type="dxa"/>
                <w:bottom w:w="15" w:type="dxa"/>
                <w:right w:w="15" w:type="dxa"/>
              </w:tblCellMar>
            </w:tblPr>
            <w:tblGrid>
              <w:gridCol w:w="2677"/>
              <w:gridCol w:w="1048"/>
              <w:gridCol w:w="953"/>
              <w:gridCol w:w="906"/>
              <w:gridCol w:w="953"/>
              <w:gridCol w:w="891"/>
              <w:gridCol w:w="26"/>
              <w:gridCol w:w="1274"/>
            </w:tblGrid>
            <w:tr>
              <w:tblPrEx>
                <w:tblCellMar>
                  <w:top w:w="15" w:type="dxa"/>
                  <w:left w:w="15" w:type="dxa"/>
                  <w:bottom w:w="15" w:type="dxa"/>
                  <w:right w:w="15" w:type="dxa"/>
                </w:tblCellMar>
              </w:tblPrEx>
              <w:trPr>
                <w:trHeight w:val="422" w:hRule="atLeast"/>
              </w:trPr>
              <w:tc>
                <w:tcPr>
                  <w:tcW w:w="3198" w:type="pct"/>
                  <w:gridSpan w:val="4"/>
                  <w:tcBorders>
                    <w:bottom w:val="single" w:color="000000" w:sz="4" w:space="0"/>
                  </w:tcBorders>
                  <w:noWrap w:val="0"/>
                  <w:vAlign w:val="center"/>
                </w:tcPr>
                <w:p>
                  <w:pPr>
                    <w:widowControl/>
                    <w:jc w:val="left"/>
                    <w:rPr>
                      <w:rFonts w:eastAsia="华文细黑"/>
                      <w:color w:val="000000"/>
                      <w:kern w:val="0"/>
                      <w:sz w:val="20"/>
                    </w:rPr>
                  </w:pPr>
                </w:p>
              </w:tc>
              <w:tc>
                <w:tcPr>
                  <w:tcW w:w="546" w:type="pct"/>
                  <w:tcBorders>
                    <w:bottom w:val="single" w:color="000000" w:sz="4" w:space="0"/>
                  </w:tcBorders>
                  <w:noWrap w:val="0"/>
                  <w:vAlign w:val="center"/>
                </w:tcPr>
                <w:p>
                  <w:pPr>
                    <w:widowControl/>
                    <w:jc w:val="right"/>
                    <w:rPr>
                      <w:rFonts w:eastAsia="华文细黑"/>
                      <w:color w:val="000000"/>
                      <w:kern w:val="0"/>
                      <w:sz w:val="20"/>
                    </w:rPr>
                  </w:pPr>
                </w:p>
              </w:tc>
              <w:tc>
                <w:tcPr>
                  <w:tcW w:w="525" w:type="pct"/>
                  <w:gridSpan w:val="2"/>
                  <w:tcBorders>
                    <w:bottom w:val="single" w:color="000000" w:sz="4" w:space="0"/>
                  </w:tcBorders>
                  <w:noWrap w:val="0"/>
                  <w:vAlign w:val="center"/>
                </w:tcPr>
                <w:p>
                  <w:pPr>
                    <w:widowControl/>
                    <w:jc w:val="right"/>
                    <w:rPr>
                      <w:rFonts w:eastAsia="华文细黑"/>
                      <w:color w:val="000000"/>
                      <w:kern w:val="0"/>
                      <w:sz w:val="20"/>
                    </w:rPr>
                  </w:pPr>
                </w:p>
              </w:tc>
              <w:tc>
                <w:tcPr>
                  <w:tcW w:w="729" w:type="pct"/>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974" w:hRule="atLeast"/>
              </w:trPr>
              <w:tc>
                <w:tcPr>
                  <w:tcW w:w="1533" w:type="pct"/>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600" w:type="pct"/>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546"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546"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510"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744" w:type="pct"/>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40" w:hRule="atLeast"/>
              </w:trPr>
              <w:tc>
                <w:tcPr>
                  <w:tcW w:w="1533" w:type="pct"/>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eastAsia="宋体"/>
                      <w:color w:val="000000"/>
                      <w:kern w:val="0"/>
                      <w:sz w:val="20"/>
                    </w:rPr>
                    <w:t xml:space="preserve">   一、一般公共服务</w:t>
                  </w:r>
                </w:p>
              </w:tc>
              <w:tc>
                <w:tcPr>
                  <w:tcW w:w="60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373.69</w:t>
                  </w: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272.33</w:t>
                  </w:r>
                </w:p>
              </w:tc>
              <w:tc>
                <w:tcPr>
                  <w:tcW w:w="518"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101.36</w:t>
                  </w: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51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551" w:hRule="atLeast"/>
              </w:trPr>
              <w:tc>
                <w:tcPr>
                  <w:tcW w:w="1533" w:type="pct"/>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华文细黑"/>
                      <w:color w:val="000000"/>
                      <w:kern w:val="0"/>
                      <w:sz w:val="20"/>
                    </w:rPr>
                  </w:pPr>
                  <w:r>
                    <w:rPr>
                      <w:rFonts w:hint="eastAsia" w:eastAsia="宋体"/>
                      <w:color w:val="000000"/>
                      <w:kern w:val="0"/>
                      <w:sz w:val="20"/>
                    </w:rPr>
                    <w:t>政府办公厅（室）及相关机构事务</w:t>
                  </w:r>
                </w:p>
              </w:tc>
              <w:tc>
                <w:tcPr>
                  <w:tcW w:w="60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373.69</w:t>
                  </w: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272.33</w:t>
                  </w:r>
                </w:p>
              </w:tc>
              <w:tc>
                <w:tcPr>
                  <w:tcW w:w="518"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101.36</w:t>
                  </w: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1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440" w:hRule="atLeast"/>
              </w:trPr>
              <w:tc>
                <w:tcPr>
                  <w:tcW w:w="1533" w:type="pct"/>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eastAsia="宋体"/>
                      <w:color w:val="000000"/>
                      <w:kern w:val="0"/>
                      <w:sz w:val="20"/>
                    </w:rPr>
                  </w:pPr>
                  <w:r>
                    <w:rPr>
                      <w:rFonts w:eastAsia="宋体"/>
                      <w:color w:val="000000"/>
                      <w:kern w:val="0"/>
                      <w:sz w:val="20"/>
                    </w:rPr>
                    <w:t>行政运行</w:t>
                  </w:r>
                </w:p>
              </w:tc>
              <w:tc>
                <w:tcPr>
                  <w:tcW w:w="60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373.69</w:t>
                  </w: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272.33</w:t>
                  </w:r>
                </w:p>
              </w:tc>
              <w:tc>
                <w:tcPr>
                  <w:tcW w:w="518"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101.36</w:t>
                  </w: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1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84" w:hRule="atLeast"/>
              </w:trPr>
              <w:tc>
                <w:tcPr>
                  <w:tcW w:w="1533" w:type="pct"/>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eastAsia="宋体"/>
                      <w:color w:val="000000"/>
                      <w:kern w:val="0"/>
                      <w:sz w:val="20"/>
                    </w:rPr>
                    <w:t xml:space="preserve">   二、</w:t>
                  </w:r>
                  <w:r>
                    <w:rPr>
                      <w:rFonts w:hint="eastAsia" w:eastAsia="宋体"/>
                      <w:color w:val="000000"/>
                      <w:kern w:val="0"/>
                      <w:sz w:val="20"/>
                      <w:lang w:eastAsia="zh-CN"/>
                    </w:rPr>
                    <w:t>社会保障和就业支出</w:t>
                  </w:r>
                </w:p>
              </w:tc>
              <w:tc>
                <w:tcPr>
                  <w:tcW w:w="60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41.73</w:t>
                  </w: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41.73</w:t>
                  </w:r>
                </w:p>
              </w:tc>
              <w:tc>
                <w:tcPr>
                  <w:tcW w:w="518"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1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440" w:hRule="atLeast"/>
              </w:trPr>
              <w:tc>
                <w:tcPr>
                  <w:tcW w:w="1533" w:type="pct"/>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default" w:eastAsia="宋体"/>
                      <w:color w:val="000000"/>
                      <w:kern w:val="0"/>
                      <w:sz w:val="20"/>
                      <w:lang w:val="en-US" w:eastAsia="zh-CN"/>
                    </w:rPr>
                  </w:pPr>
                  <w:r>
                    <w:rPr>
                      <w:rFonts w:hint="eastAsia" w:eastAsia="宋体"/>
                      <w:color w:val="000000"/>
                      <w:kern w:val="0"/>
                      <w:sz w:val="20"/>
                      <w:lang w:val="en-US" w:eastAsia="zh-CN"/>
                    </w:rPr>
                    <w:t>行政事业单位养老支出</w:t>
                  </w:r>
                </w:p>
              </w:tc>
              <w:tc>
                <w:tcPr>
                  <w:tcW w:w="60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41.73</w:t>
                  </w: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41.73</w:t>
                  </w:r>
                </w:p>
              </w:tc>
              <w:tc>
                <w:tcPr>
                  <w:tcW w:w="518"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1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551" w:hRule="atLeast"/>
              </w:trPr>
              <w:tc>
                <w:tcPr>
                  <w:tcW w:w="1533" w:type="pct"/>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eastAsia="宋体"/>
                      <w:color w:val="000000"/>
                      <w:kern w:val="0"/>
                      <w:sz w:val="20"/>
                    </w:rPr>
                  </w:pPr>
                  <w:r>
                    <w:rPr>
                      <w:rFonts w:hint="eastAsia" w:eastAsia="宋体"/>
                      <w:color w:val="000000"/>
                      <w:kern w:val="0"/>
                      <w:sz w:val="20"/>
                    </w:rPr>
                    <w:t>机关事业单位基本养老保险缴费支出</w:t>
                  </w:r>
                </w:p>
              </w:tc>
              <w:tc>
                <w:tcPr>
                  <w:tcW w:w="60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33.69</w:t>
                  </w: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33.69</w:t>
                  </w:r>
                </w:p>
              </w:tc>
              <w:tc>
                <w:tcPr>
                  <w:tcW w:w="518"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1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551" w:hRule="atLeast"/>
              </w:trPr>
              <w:tc>
                <w:tcPr>
                  <w:tcW w:w="1533" w:type="pct"/>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rPr>
                  </w:pPr>
                  <w:r>
                    <w:rPr>
                      <w:rFonts w:hint="eastAsia" w:eastAsia="宋体"/>
                      <w:color w:val="000000"/>
                      <w:kern w:val="0"/>
                      <w:sz w:val="20"/>
                    </w:rPr>
                    <w:t>机关事业单位职业年金缴费支出</w:t>
                  </w:r>
                </w:p>
              </w:tc>
              <w:tc>
                <w:tcPr>
                  <w:tcW w:w="60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8.04</w:t>
                  </w: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518"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1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440" w:hRule="atLeast"/>
              </w:trPr>
              <w:tc>
                <w:tcPr>
                  <w:tcW w:w="1533" w:type="pct"/>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三、卫生健康支出</w:t>
                  </w:r>
                </w:p>
              </w:tc>
              <w:tc>
                <w:tcPr>
                  <w:tcW w:w="60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14.6</w:t>
                  </w: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14.6</w:t>
                  </w:r>
                </w:p>
              </w:tc>
              <w:tc>
                <w:tcPr>
                  <w:tcW w:w="518"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1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440" w:hRule="atLeast"/>
              </w:trPr>
              <w:tc>
                <w:tcPr>
                  <w:tcW w:w="1533" w:type="pct"/>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宋体"/>
                      <w:color w:val="000000"/>
                      <w:kern w:val="0"/>
                      <w:sz w:val="20"/>
                    </w:rPr>
                  </w:pPr>
                  <w:r>
                    <w:rPr>
                      <w:rFonts w:hint="eastAsia" w:eastAsia="宋体"/>
                      <w:color w:val="000000"/>
                      <w:kern w:val="0"/>
                      <w:sz w:val="20"/>
                    </w:rPr>
                    <w:t>行政事业单位医疗</w:t>
                  </w:r>
                </w:p>
              </w:tc>
              <w:tc>
                <w:tcPr>
                  <w:tcW w:w="60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14.6</w:t>
                  </w: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14.6</w:t>
                  </w:r>
                </w:p>
              </w:tc>
              <w:tc>
                <w:tcPr>
                  <w:tcW w:w="518"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1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440" w:hRule="atLeast"/>
              </w:trPr>
              <w:tc>
                <w:tcPr>
                  <w:tcW w:w="1533" w:type="pct"/>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eastAsia="宋体"/>
                      <w:color w:val="000000"/>
                      <w:kern w:val="0"/>
                      <w:sz w:val="20"/>
                    </w:rPr>
                  </w:pPr>
                  <w:r>
                    <w:rPr>
                      <w:rFonts w:hint="eastAsia" w:eastAsia="宋体"/>
                      <w:color w:val="000000"/>
                      <w:kern w:val="0"/>
                      <w:sz w:val="20"/>
                    </w:rPr>
                    <w:t>行政单位医疗</w:t>
                  </w:r>
                </w:p>
              </w:tc>
              <w:tc>
                <w:tcPr>
                  <w:tcW w:w="60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14.39</w:t>
                  </w: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14.39</w:t>
                  </w:r>
                </w:p>
              </w:tc>
              <w:tc>
                <w:tcPr>
                  <w:tcW w:w="518"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1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440" w:hRule="atLeast"/>
              </w:trPr>
              <w:tc>
                <w:tcPr>
                  <w:tcW w:w="1533" w:type="pct"/>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rPr>
                  </w:pPr>
                  <w:r>
                    <w:rPr>
                      <w:rFonts w:hint="eastAsia" w:eastAsia="宋体"/>
                      <w:color w:val="000000"/>
                      <w:kern w:val="0"/>
                      <w:sz w:val="20"/>
                    </w:rPr>
                    <w:t>其他行政事业单位医疗支出</w:t>
                  </w:r>
                </w:p>
              </w:tc>
              <w:tc>
                <w:tcPr>
                  <w:tcW w:w="60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0.21</w:t>
                  </w: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0.21</w:t>
                  </w:r>
                </w:p>
              </w:tc>
              <w:tc>
                <w:tcPr>
                  <w:tcW w:w="518"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1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440" w:hRule="atLeast"/>
              </w:trPr>
              <w:tc>
                <w:tcPr>
                  <w:tcW w:w="1533" w:type="pct"/>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eastAsia="宋体"/>
                      <w:color w:val="000000"/>
                      <w:kern w:val="0"/>
                      <w:sz w:val="20"/>
                      <w:lang w:eastAsia="zh-CN"/>
                    </w:rPr>
                  </w:pPr>
                  <w:r>
                    <w:rPr>
                      <w:rFonts w:hint="eastAsia" w:eastAsia="宋体"/>
                      <w:color w:val="000000"/>
                      <w:kern w:val="0"/>
                      <w:sz w:val="20"/>
                      <w:lang w:eastAsia="zh-CN"/>
                    </w:rPr>
                    <w:t>四、住房保障支出</w:t>
                  </w:r>
                </w:p>
              </w:tc>
              <w:tc>
                <w:tcPr>
                  <w:tcW w:w="60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24.04</w:t>
                  </w: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24.04</w:t>
                  </w:r>
                </w:p>
              </w:tc>
              <w:tc>
                <w:tcPr>
                  <w:tcW w:w="518"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1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440" w:hRule="atLeast"/>
              </w:trPr>
              <w:tc>
                <w:tcPr>
                  <w:tcW w:w="1533" w:type="pct"/>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eastAsia="宋体"/>
                      <w:color w:val="000000"/>
                      <w:kern w:val="0"/>
                      <w:sz w:val="20"/>
                    </w:rPr>
                  </w:pPr>
                  <w:r>
                    <w:rPr>
                      <w:rFonts w:hint="eastAsia" w:eastAsia="宋体"/>
                      <w:color w:val="000000"/>
                      <w:kern w:val="0"/>
                      <w:sz w:val="20"/>
                    </w:rPr>
                    <w:t>住房改革支出</w:t>
                  </w:r>
                </w:p>
              </w:tc>
              <w:tc>
                <w:tcPr>
                  <w:tcW w:w="60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24.04</w:t>
                  </w: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24.04</w:t>
                  </w:r>
                </w:p>
              </w:tc>
              <w:tc>
                <w:tcPr>
                  <w:tcW w:w="518"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1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440" w:hRule="atLeast"/>
              </w:trPr>
              <w:tc>
                <w:tcPr>
                  <w:tcW w:w="1533" w:type="pct"/>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rPr>
                  </w:pPr>
                  <w:r>
                    <w:rPr>
                      <w:rFonts w:hint="eastAsia" w:eastAsia="宋体"/>
                      <w:color w:val="000000"/>
                      <w:kern w:val="0"/>
                      <w:sz w:val="20"/>
                    </w:rPr>
                    <w:t>住房公积金</w:t>
                  </w:r>
                </w:p>
              </w:tc>
              <w:tc>
                <w:tcPr>
                  <w:tcW w:w="60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24.04</w:t>
                  </w: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24.04</w:t>
                  </w:r>
                </w:p>
              </w:tc>
              <w:tc>
                <w:tcPr>
                  <w:tcW w:w="518"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1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458" w:hRule="atLeast"/>
              </w:trPr>
              <w:tc>
                <w:tcPr>
                  <w:tcW w:w="1533" w:type="pct"/>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60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454.06</w:t>
                  </w: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352.71</w:t>
                  </w:r>
                </w:p>
              </w:tc>
              <w:tc>
                <w:tcPr>
                  <w:tcW w:w="518"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101.36</w:t>
                  </w:r>
                </w:p>
              </w:tc>
              <w:tc>
                <w:tcPr>
                  <w:tcW w:w="546"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510" w:type="pct"/>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both"/>
              <w:rPr>
                <w:rFonts w:eastAsia="方正小标宋简体"/>
                <w:kern w:val="0"/>
                <w:sz w:val="44"/>
                <w:szCs w:val="44"/>
              </w:rPr>
            </w:pP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859"/>
              <w:gridCol w:w="792"/>
              <w:gridCol w:w="688"/>
              <w:gridCol w:w="1721"/>
              <w:gridCol w:w="804"/>
              <w:gridCol w:w="80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5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7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0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54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5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0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454.06</w:t>
                  </w:r>
                  <w:r>
                    <w:rPr>
                      <w:rFonts w:eastAsia="宋体"/>
                      <w:kern w:val="0"/>
                      <w:sz w:val="20"/>
                    </w:rPr>
                    <w:t>　</w:t>
                  </w: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454.06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373.69</w:t>
                  </w: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373.69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454.06</w:t>
                  </w:r>
                  <w:r>
                    <w:rPr>
                      <w:rFonts w:eastAsia="宋体"/>
                      <w:kern w:val="0"/>
                      <w:sz w:val="20"/>
                    </w:rPr>
                    <w:t>　</w:t>
                  </w: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454.06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41.73</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41.73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w:t>
                  </w:r>
                  <w:r>
                    <w:rPr>
                      <w:rFonts w:hint="eastAsia" w:ascii="宋体" w:hAnsi="宋体" w:eastAsia="宋体" w:cs="宋体"/>
                      <w:b w:val="0"/>
                      <w:bCs/>
                      <w:kern w:val="0"/>
                      <w:sz w:val="20"/>
                      <w:lang w:eastAsia="zh-CN"/>
                    </w:rPr>
                    <w:t>卫生健康支出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14.6</w:t>
                  </w: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24.04</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24.04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454.06</w:t>
                  </w:r>
                  <w:r>
                    <w:rPr>
                      <w:rFonts w:eastAsia="宋体"/>
                      <w:kern w:val="0"/>
                      <w:sz w:val="20"/>
                    </w:rPr>
                    <w:t>　</w:t>
                  </w: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454.06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454.06</w:t>
                  </w: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454.06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85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454.06</w:t>
                  </w:r>
                  <w:r>
                    <w:rPr>
                      <w:rFonts w:eastAsia="黑体"/>
                      <w:kern w:val="0"/>
                      <w:sz w:val="20"/>
                    </w:rPr>
                    <w:t>　</w:t>
                  </w: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454.06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454.06</w:t>
                  </w: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454.06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ascii="Times New Roman" w:hAnsi="Times New Roman" w:eastAsia="华文细黑" w:cs="Times New Roman"/>
                      <w:color w:val="000000"/>
                      <w:kern w:val="0"/>
                      <w:sz w:val="20"/>
                      <w:lang w:val="en-US" w:eastAsia="zh-CN" w:bidi="ar-SA"/>
                    </w:rPr>
                  </w:pPr>
                  <w:r>
                    <w:rPr>
                      <w:rFonts w:eastAsia="宋体"/>
                      <w:color w:val="000000"/>
                      <w:kern w:val="0"/>
                      <w:sz w:val="20"/>
                    </w:rPr>
                    <w:t xml:space="preserve">   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373.69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272.33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229.25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43.08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101.36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ascii="Times New Roman" w:hAnsi="Times New Roman" w:eastAsia="华文细黑" w:cs="Times New Roman"/>
                      <w:color w:val="000000"/>
                      <w:kern w:val="0"/>
                      <w:sz w:val="20"/>
                      <w:lang w:val="en-US" w:eastAsia="zh-CN" w:bidi="ar-SA"/>
                    </w:rPr>
                  </w:pPr>
                  <w:r>
                    <w:rPr>
                      <w:rFonts w:hint="eastAsia" w:eastAsia="宋体"/>
                      <w:color w:val="000000"/>
                      <w:kern w:val="0"/>
                      <w:sz w:val="20"/>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373.69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272.33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229.25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43.08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101.36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ascii="Times New Roman" w:hAnsi="Times New Roman" w:eastAsia="宋体" w:cs="Times New Roman"/>
                      <w:color w:val="000000"/>
                      <w:kern w:val="0"/>
                      <w:sz w:val="20"/>
                      <w:lang w:val="en-US" w:eastAsia="zh-CN" w:bidi="ar-SA"/>
                    </w:rPr>
                  </w:pPr>
                  <w:r>
                    <w:rPr>
                      <w:rFonts w:eastAsia="宋体"/>
                      <w:color w:val="000000"/>
                      <w:kern w:val="0"/>
                      <w:sz w:val="20"/>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373.69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272.33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229.25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43.08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101.36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eastAsia="宋体"/>
                      <w:color w:val="000000"/>
                      <w:kern w:val="0"/>
                      <w:sz w:val="20"/>
                    </w:rPr>
                    <w:t xml:space="preserve">   二、</w:t>
                  </w:r>
                  <w:r>
                    <w:rPr>
                      <w:rFonts w:hint="eastAsia" w:eastAsia="宋体"/>
                      <w:color w:val="000000"/>
                      <w:kern w:val="0"/>
                      <w:sz w:val="20"/>
                      <w:lang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454.06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352.71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309.63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43.08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101.36</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303.2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303.2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32"/>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96.25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96.25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32"/>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81.43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81.43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32"/>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42.49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42.49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32"/>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hint="eastAsia" w:eastAsia="宋体"/>
                <w:kern w:val="0"/>
                <w:sz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33.69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33.69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32"/>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hint="eastAsia" w:eastAsia="宋体"/>
                <w:color w:val="000000"/>
                <w:sz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8.04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8.04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32"/>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Times New Roman" w:hAnsi="Times New Roman" w:eastAsia="宋体" w:cs="Times New Roman"/>
                <w:color w:val="000000"/>
                <w:kern w:val="2"/>
                <w:sz w:val="20"/>
                <w:lang w:val="en-US" w:eastAsia="zh-CN" w:bidi="ar-SA"/>
              </w:rPr>
            </w:pPr>
            <w:r>
              <w:rPr>
                <w:rFonts w:hint="eastAsia" w:eastAsia="宋体"/>
                <w:color w:val="00000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14.39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14.39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32"/>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Times New Roman" w:hAnsi="Times New Roman" w:eastAsia="宋体" w:cs="Times New Roman"/>
                <w:color w:val="000000"/>
                <w:kern w:val="2"/>
                <w:sz w:val="20"/>
                <w:lang w:val="en-US" w:eastAsia="zh-CN" w:bidi="ar-SA"/>
              </w:rPr>
            </w:pPr>
            <w:r>
              <w:rPr>
                <w:rFonts w:hint="eastAsia" w:eastAsia="宋体"/>
                <w:color w:val="000000"/>
                <w:sz w:val="20"/>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0.21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0.21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32"/>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2"/>
                <w:sz w:val="20"/>
                <w:lang w:val="en-US" w:eastAsia="zh-CN" w:bidi="ar-SA"/>
              </w:rPr>
            </w:pPr>
            <w:r>
              <w:rPr>
                <w:rFonts w:hint="eastAsia" w:eastAsia="宋体"/>
                <w:color w:val="000000"/>
                <w:sz w:val="20"/>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24.04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24.04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32"/>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2"/>
                <w:sz w:val="20"/>
                <w:lang w:val="en-US" w:eastAsia="zh-CN" w:bidi="ar-SA"/>
              </w:rPr>
            </w:pPr>
            <w:r>
              <w:rPr>
                <w:rFonts w:hint="eastAsia"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2.66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2.66</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32"/>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ascii="Times New Roman" w:hAnsi="Times New Roman" w:eastAsia="宋体" w:cs="Times New Roman"/>
                <w:kern w:val="0"/>
                <w:sz w:val="20"/>
                <w:lang w:val="en-US" w:eastAsia="zh-CN" w:bidi="ar-SA"/>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43.08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32"/>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43.08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szCs w:val="20"/>
                <w:lang w:val="en-US" w:eastAsia="zh-CN"/>
              </w:rPr>
            </w:pPr>
            <w:r>
              <w:rPr>
                <w:rFonts w:hint="eastAsia" w:eastAsia="宋体"/>
                <w:kern w:val="0"/>
                <w:sz w:val="20"/>
                <w:szCs w:val="20"/>
                <w:lang w:val="en-US" w:eastAsia="zh-CN"/>
              </w:rPr>
              <w:t>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32"/>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hint="eastAsia" w:eastAsia="宋体"/>
                <w:color w:val="000000"/>
                <w:kern w:val="0"/>
                <w:sz w:val="20"/>
              </w:rPr>
              <w:t>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32"/>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16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32"/>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2.5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32"/>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租赁费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32"/>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劳务费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32"/>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1.3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szCs w:val="20"/>
                <w:lang w:val="en-US" w:eastAsia="zh-CN"/>
              </w:rPr>
            </w:pPr>
            <w:r>
              <w:rPr>
                <w:rFonts w:hint="eastAsia" w:eastAsia="宋体"/>
                <w:kern w:val="0"/>
                <w:sz w:val="20"/>
                <w:szCs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32"/>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14.28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32"/>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14.28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三、</w:t>
            </w:r>
            <w:r>
              <w:rPr>
                <w:rFonts w:hint="eastAsia" w:eastAsia="宋体"/>
                <w:color w:val="000000"/>
                <w:kern w:val="0"/>
                <w:sz w:val="20"/>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6.43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6.43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32"/>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4.73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4.73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32"/>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rPr>
            </w:pPr>
            <w:r>
              <w:rPr>
                <w:rFonts w:hint="eastAsia" w:eastAsia="宋体"/>
                <w:color w:val="000000"/>
                <w:kern w:val="0"/>
                <w:sz w:val="20"/>
              </w:rPr>
              <w:t>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1.69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1.69</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32"/>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eastAsia="宋体"/>
                <w:color w:val="000000"/>
                <w:kern w:val="0"/>
                <w:sz w:val="20"/>
                <w:lang w:eastAsia="zh-CN"/>
              </w:rPr>
            </w:pPr>
            <w:r>
              <w:rPr>
                <w:rFonts w:hint="eastAsia" w:eastAsia="宋体"/>
                <w:color w:val="000000"/>
                <w:kern w:val="0"/>
                <w:sz w:val="20"/>
                <w:lang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352.71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8"/>
                <w:szCs w:val="18"/>
                <w:lang w:val="en-US" w:eastAsia="zh-CN"/>
              </w:rPr>
            </w:pPr>
            <w:r>
              <w:rPr>
                <w:rFonts w:hint="eastAsia"/>
                <w:sz w:val="22"/>
                <w:szCs w:val="15"/>
                <w:lang w:val="en-US" w:eastAsia="zh-CN"/>
              </w:rPr>
              <w:t>309.63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8"/>
                <w:szCs w:val="18"/>
                <w:lang w:val="en-US" w:eastAsia="zh-CN"/>
              </w:rPr>
            </w:pPr>
            <w:r>
              <w:rPr>
                <w:rFonts w:hint="eastAsia"/>
                <w:sz w:val="22"/>
                <w:szCs w:val="15"/>
                <w:lang w:val="en-US" w:eastAsia="zh-CN"/>
              </w:rPr>
              <w:t>43.08</w:t>
            </w:r>
          </w:p>
        </w:tc>
      </w:tr>
      <w:tr>
        <w:tblPrEx>
          <w:tblCellMar>
            <w:top w:w="0" w:type="dxa"/>
            <w:left w:w="108" w:type="dxa"/>
            <w:bottom w:w="0" w:type="dxa"/>
            <w:right w:w="108" w:type="dxa"/>
          </w:tblCellMar>
        </w:tblPrEx>
        <w:trPr>
          <w:trHeight w:val="600" w:hRule="atLeast"/>
          <w:jc w:val="center"/>
        </w:trPr>
        <w:tc>
          <w:tcPr>
            <w:tcW w:w="0" w:type="auto"/>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p>
        </w:tc>
        <w:tc>
          <w:tcPr>
            <w:tcW w:w="0" w:type="auto"/>
          </w:tcPr>
          <w:p>
            <w:pPr>
              <w:widowControl/>
              <w:jc w:val="right"/>
              <w:rPr>
                <w:rFonts w:eastAsia="宋体"/>
                <w:kern w:val="0"/>
                <w:sz w:val="20"/>
              </w:rPr>
            </w:pPr>
          </w:p>
        </w:tc>
        <w:tc>
          <w:tcPr>
            <w:tcW w:w="0" w:type="auto"/>
          </w:tcPr>
          <w:p>
            <w:pPr>
              <w:widowControl/>
              <w:jc w:val="right"/>
            </w:pPr>
          </w:p>
        </w:tc>
        <w:tc>
          <w:tcPr>
            <w:tcW w:w="0" w:type="auto"/>
          </w:tcPr>
          <w:p>
            <w:pPr>
              <w:widowControl/>
              <w:jc w:val="right"/>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2</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2</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2</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24</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24</w:t>
            </w:r>
            <w:r>
              <w:rPr>
                <w:rFonts w:eastAsia="宋体"/>
                <w:color w:val="000000"/>
                <w:kern w:val="0"/>
                <w:sz w:val="28"/>
                <w:szCs w:val="28"/>
                <w:u w:val="single"/>
              </w:rPr>
              <w:t xml:space="preserve"> </w:t>
            </w:r>
            <w:r>
              <w:rPr>
                <w:color w:val="000000"/>
                <w:kern w:val="0"/>
                <w:sz w:val="28"/>
                <w:szCs w:val="28"/>
              </w:rPr>
              <w:t>人，离退休人员</w:t>
            </w:r>
            <w:r>
              <w:rPr>
                <w:rFonts w:hint="eastAsia" w:eastAsia="宋体"/>
                <w:color w:val="000000"/>
                <w:kern w:val="0"/>
                <w:sz w:val="28"/>
                <w:szCs w:val="28"/>
                <w:u w:val="single"/>
                <w:lang w:val="en-US" w:eastAsia="zh-CN"/>
              </w:rPr>
              <w:t>8</w:t>
            </w:r>
            <w:bookmarkStart w:id="0" w:name="_GoBack"/>
            <w:bookmarkEnd w:id="0"/>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spacing w:line="700" w:lineRule="exact"/>
        <w:ind w:firstLine="640" w:firstLineChars="200"/>
        <w:rPr>
          <w:rFonts w:hint="eastAsia" w:ascii="楷体" w:hAnsi="楷体" w:eastAsia="楷体" w:cs="楷体"/>
          <w:kern w:val="0"/>
          <w:sz w:val="24"/>
          <w:szCs w:val="24"/>
        </w:rPr>
      </w:pPr>
      <w:r>
        <w:rPr>
          <w:rFonts w:hAnsi="楷体" w:eastAsia="楷体"/>
        </w:rPr>
        <w:br w:type="page"/>
      </w:r>
      <w:r>
        <w:rPr>
          <w:rFonts w:hint="eastAsia" w:ascii="楷体" w:hAnsi="楷体" w:eastAsia="楷体" w:cs="楷体"/>
          <w:kern w:val="0"/>
          <w:sz w:val="24"/>
          <w:szCs w:val="24"/>
        </w:rPr>
        <w:t>注：功能科目列至项级。没有政府性基金预算拨款的，公开空表，不得删除。</w:t>
      </w:r>
    </w:p>
    <w:p>
      <w:pPr>
        <w:ind w:firstLine="640" w:firstLineChars="200"/>
        <w:rPr>
          <w:rFonts w:eastAsia="楷体"/>
          <w:kern w:val="0"/>
          <w:szCs w:val="32"/>
        </w:rPr>
      </w:pP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ind w:firstLine="640" w:firstLineChars="200"/>
        <w:rPr>
          <w:rFonts w:eastAsia="楷体"/>
          <w:kern w:val="0"/>
          <w:szCs w:val="32"/>
        </w:rPr>
      </w:pPr>
    </w:p>
    <w:p>
      <w:pPr>
        <w:spacing w:line="700" w:lineRule="exact"/>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注：功能科目列至项级。没有国有资本经营预算拨款的，公开空表，不得删除。</w:t>
      </w:r>
      <w:r>
        <w:rPr>
          <w:rFonts w:eastAsia="楷体_GB2312"/>
          <w:kern w:val="0"/>
          <w:szCs w:val="32"/>
        </w:rPr>
        <w:t xml:space="preserve">   </w:t>
      </w:r>
    </w:p>
    <w:tbl>
      <w:tblPr>
        <w:tblStyle w:val="9"/>
        <w:tblpPr w:leftFromText="180" w:rightFromText="180" w:vertAnchor="page" w:horzAnchor="page" w:tblpX="1418" w:tblpY="2834"/>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eastAsia="楷体"/>
          <w:kern w:val="0"/>
          <w:szCs w:val="32"/>
        </w:rPr>
        <w:br w:type="page"/>
      </w:r>
    </w:p>
    <w:tbl>
      <w:tblPr>
        <w:tblStyle w:val="9"/>
        <w:tblpPr w:leftFromText="180" w:rightFromText="180" w:vertAnchor="text" w:horzAnchor="page" w:tblpX="1843" w:tblpY="285"/>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1269"/>
        <w:gridCol w:w="1271"/>
        <w:gridCol w:w="829"/>
        <w:gridCol w:w="802"/>
        <w:gridCol w:w="774"/>
        <w:gridCol w:w="416"/>
        <w:gridCol w:w="473"/>
        <w:gridCol w:w="516"/>
        <w:gridCol w:w="482"/>
        <w:gridCol w:w="562"/>
        <w:gridCol w:w="417"/>
        <w:gridCol w:w="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5000" w:type="pct"/>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404" w:type="pct"/>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12" w:type="pct"/>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12" w:type="pct"/>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66" w:type="pct"/>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27" w:type="pct"/>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927" w:type="pct"/>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348" w:type="pct"/>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404" w:type="pct"/>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1425" w:type="pct"/>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466" w:type="pct"/>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27" w:type="pct"/>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927" w:type="pct"/>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880" w:type="pct"/>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233" w:type="pct"/>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235" w:type="pct"/>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trPr>
        <w:tc>
          <w:tcPr>
            <w:tcW w:w="404" w:type="pct"/>
            <w:vMerge w:val="continue"/>
            <w:noWrap w:val="0"/>
            <w:vAlign w:val="center"/>
          </w:tcPr>
          <w:p>
            <w:pPr>
              <w:autoSpaceDN w:val="0"/>
              <w:jc w:val="center"/>
              <w:textAlignment w:val="center"/>
              <w:rPr>
                <w:rFonts w:ascii="Calibri" w:hAnsi="Calibri" w:eastAsia="华文细黑"/>
                <w:color w:val="000000"/>
                <w:sz w:val="20"/>
                <w:szCs w:val="22"/>
              </w:rPr>
            </w:pPr>
          </w:p>
        </w:tc>
        <w:tc>
          <w:tcPr>
            <w:tcW w:w="712" w:type="pc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712" w:type="pc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466" w:type="pct"/>
            <w:vMerge w:val="continue"/>
            <w:noWrap w:val="0"/>
            <w:vAlign w:val="center"/>
          </w:tcPr>
          <w:p>
            <w:pPr>
              <w:autoSpaceDN w:val="0"/>
              <w:jc w:val="center"/>
              <w:textAlignment w:val="center"/>
              <w:rPr>
                <w:rFonts w:ascii="Calibri" w:hAnsi="Calibri" w:eastAsia="华文细黑"/>
                <w:color w:val="000000"/>
                <w:sz w:val="20"/>
                <w:szCs w:val="22"/>
              </w:rPr>
            </w:pPr>
          </w:p>
        </w:tc>
        <w:tc>
          <w:tcPr>
            <w:tcW w:w="427" w:type="pct"/>
            <w:vMerge w:val="continue"/>
            <w:noWrap w:val="0"/>
            <w:vAlign w:val="center"/>
          </w:tcPr>
          <w:p>
            <w:pPr>
              <w:autoSpaceDN w:val="0"/>
              <w:jc w:val="center"/>
              <w:textAlignment w:val="center"/>
              <w:rPr>
                <w:rFonts w:ascii="Calibri" w:hAnsi="Calibri" w:eastAsia="华文细黑"/>
                <w:color w:val="000000"/>
                <w:sz w:val="20"/>
                <w:szCs w:val="22"/>
              </w:rPr>
            </w:pPr>
          </w:p>
        </w:tc>
        <w:tc>
          <w:tcPr>
            <w:tcW w:w="428" w:type="pc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232" w:type="pc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267" w:type="pc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291" w:type="pc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272" w:type="pc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16" w:type="pc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233" w:type="pct"/>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235" w:type="pct"/>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9" w:hRule="exact"/>
        </w:trPr>
        <w:tc>
          <w:tcPr>
            <w:tcW w:w="404" w:type="pct"/>
            <w:noWrap w:val="0"/>
            <w:vAlign w:val="center"/>
          </w:tcPr>
          <w:p>
            <w:pPr>
              <w:spacing w:line="240" w:lineRule="auto"/>
              <w:jc w:val="both"/>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专项业务支出</w:t>
            </w:r>
          </w:p>
        </w:tc>
        <w:tc>
          <w:tcPr>
            <w:tcW w:w="712" w:type="pct"/>
            <w:noWrap w:val="0"/>
            <w:vAlign w:val="center"/>
          </w:tcPr>
          <w:p>
            <w:pPr>
              <w:spacing w:line="240" w:lineRule="auto"/>
              <w:jc w:val="center"/>
              <w:rPr>
                <w:rFonts w:ascii="Calibri" w:hAnsi="Calibri" w:eastAsia="楷体"/>
                <w:kern w:val="0"/>
                <w:sz w:val="21"/>
                <w:szCs w:val="21"/>
              </w:rPr>
            </w:pPr>
            <w:r>
              <w:rPr>
                <w:rFonts w:hint="eastAsia" w:ascii="Calibri" w:hAnsi="Calibri" w:eastAsia="楷体"/>
                <w:kern w:val="0"/>
                <w:sz w:val="21"/>
                <w:szCs w:val="21"/>
              </w:rPr>
              <w:t>十花道乡政府2024年大学生村官工资</w:t>
            </w:r>
          </w:p>
        </w:tc>
        <w:tc>
          <w:tcPr>
            <w:tcW w:w="712" w:type="pct"/>
            <w:noWrap w:val="0"/>
            <w:vAlign w:val="center"/>
          </w:tcPr>
          <w:p>
            <w:pPr>
              <w:spacing w:line="240" w:lineRule="auto"/>
              <w:jc w:val="center"/>
              <w:rPr>
                <w:rFonts w:ascii="Calibri" w:hAnsi="Calibri" w:eastAsia="楷体"/>
                <w:kern w:val="0"/>
                <w:sz w:val="21"/>
                <w:szCs w:val="21"/>
              </w:rPr>
            </w:pPr>
            <w:r>
              <w:rPr>
                <w:rFonts w:hint="eastAsia" w:ascii="Calibri" w:hAnsi="Calibri" w:eastAsia="楷体"/>
                <w:kern w:val="0"/>
                <w:sz w:val="21"/>
                <w:szCs w:val="21"/>
              </w:rPr>
              <w:t>十花道乡政府2024年大学生村官工资</w:t>
            </w:r>
          </w:p>
        </w:tc>
        <w:tc>
          <w:tcPr>
            <w:tcW w:w="466" w:type="pct"/>
            <w:noWrap w:val="0"/>
            <w:vAlign w:val="center"/>
          </w:tcPr>
          <w:p>
            <w:pPr>
              <w:spacing w:line="240" w:lineRule="auto"/>
              <w:jc w:val="center"/>
              <w:rPr>
                <w:rFonts w:hint="eastAsia" w:ascii="Calibri" w:hAnsi="Calibri" w:eastAsia="楷体"/>
                <w:kern w:val="0"/>
                <w:sz w:val="21"/>
                <w:szCs w:val="21"/>
                <w:lang w:eastAsia="zh-CN"/>
              </w:rPr>
            </w:pPr>
            <w:r>
              <w:rPr>
                <w:rFonts w:hint="eastAsia" w:ascii="Calibri" w:hAnsi="Calibri" w:eastAsia="楷体"/>
                <w:kern w:val="0"/>
                <w:sz w:val="21"/>
                <w:szCs w:val="21"/>
                <w:lang w:eastAsia="zh-CN"/>
              </w:rPr>
              <w:t>通榆县十花道乡人民政府</w:t>
            </w:r>
          </w:p>
        </w:tc>
        <w:tc>
          <w:tcPr>
            <w:tcW w:w="427" w:type="pct"/>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37.75</w:t>
            </w:r>
          </w:p>
        </w:tc>
        <w:tc>
          <w:tcPr>
            <w:tcW w:w="428" w:type="pct"/>
            <w:noWrap w:val="0"/>
            <w:vAlign w:val="center"/>
          </w:tcPr>
          <w:p>
            <w:pPr>
              <w:spacing w:line="240" w:lineRule="auto"/>
              <w:jc w:val="center"/>
              <w:rPr>
                <w:rFonts w:hint="default" w:ascii="Calibri" w:hAnsi="Calibri" w:eastAsia="楷体" w:cs="Times New Roman"/>
                <w:kern w:val="0"/>
                <w:sz w:val="21"/>
                <w:szCs w:val="21"/>
                <w:lang w:val="en-US" w:eastAsia="zh-CN" w:bidi="ar-SA"/>
              </w:rPr>
            </w:pPr>
            <w:r>
              <w:rPr>
                <w:rFonts w:hint="eastAsia" w:ascii="Calibri" w:hAnsi="Calibri" w:eastAsia="楷体"/>
                <w:kern w:val="0"/>
                <w:sz w:val="21"/>
                <w:szCs w:val="21"/>
                <w:lang w:val="en-US" w:eastAsia="zh-CN"/>
              </w:rPr>
              <w:t>37.75</w:t>
            </w:r>
          </w:p>
        </w:tc>
        <w:tc>
          <w:tcPr>
            <w:tcW w:w="232" w:type="pct"/>
            <w:noWrap w:val="0"/>
            <w:vAlign w:val="center"/>
          </w:tcPr>
          <w:p>
            <w:pPr>
              <w:spacing w:line="240" w:lineRule="auto"/>
              <w:jc w:val="center"/>
              <w:rPr>
                <w:rFonts w:hint="eastAsia" w:ascii="Calibri" w:hAnsi="Calibri" w:eastAsia="楷体"/>
                <w:kern w:val="0"/>
                <w:sz w:val="21"/>
                <w:szCs w:val="21"/>
                <w:lang w:eastAsia="zh-CN"/>
              </w:rPr>
            </w:pPr>
          </w:p>
        </w:tc>
        <w:tc>
          <w:tcPr>
            <w:tcW w:w="267" w:type="pct"/>
            <w:noWrap w:val="0"/>
            <w:vAlign w:val="center"/>
          </w:tcPr>
          <w:p>
            <w:pPr>
              <w:spacing w:line="240" w:lineRule="auto"/>
              <w:jc w:val="center"/>
              <w:rPr>
                <w:rFonts w:hint="eastAsia" w:ascii="Calibri" w:hAnsi="Calibri" w:eastAsia="楷体"/>
                <w:kern w:val="0"/>
                <w:sz w:val="21"/>
                <w:szCs w:val="21"/>
                <w:lang w:eastAsia="zh-CN"/>
              </w:rPr>
            </w:pPr>
          </w:p>
        </w:tc>
        <w:tc>
          <w:tcPr>
            <w:tcW w:w="291" w:type="pct"/>
            <w:noWrap w:val="0"/>
            <w:vAlign w:val="center"/>
          </w:tcPr>
          <w:p>
            <w:pPr>
              <w:spacing w:line="240" w:lineRule="auto"/>
              <w:jc w:val="center"/>
              <w:rPr>
                <w:rFonts w:hint="eastAsia" w:ascii="Calibri" w:hAnsi="Calibri" w:eastAsia="楷体"/>
                <w:kern w:val="0"/>
                <w:sz w:val="21"/>
                <w:szCs w:val="21"/>
                <w:lang w:eastAsia="zh-CN"/>
              </w:rPr>
            </w:pPr>
          </w:p>
        </w:tc>
        <w:tc>
          <w:tcPr>
            <w:tcW w:w="272" w:type="pct"/>
            <w:noWrap w:val="0"/>
            <w:vAlign w:val="center"/>
          </w:tcPr>
          <w:p>
            <w:pPr>
              <w:spacing w:line="240" w:lineRule="auto"/>
              <w:jc w:val="center"/>
              <w:rPr>
                <w:rFonts w:hint="eastAsia" w:ascii="Calibri" w:hAnsi="Calibri" w:eastAsia="楷体"/>
                <w:kern w:val="0"/>
                <w:sz w:val="21"/>
                <w:szCs w:val="21"/>
                <w:lang w:eastAsia="zh-CN"/>
              </w:rPr>
            </w:pPr>
          </w:p>
        </w:tc>
        <w:tc>
          <w:tcPr>
            <w:tcW w:w="316" w:type="pct"/>
            <w:noWrap w:val="0"/>
            <w:vAlign w:val="center"/>
          </w:tcPr>
          <w:p>
            <w:pPr>
              <w:spacing w:line="240" w:lineRule="auto"/>
              <w:jc w:val="center"/>
              <w:rPr>
                <w:rFonts w:hint="eastAsia" w:ascii="Calibri" w:hAnsi="Calibri" w:eastAsia="楷体"/>
                <w:kern w:val="0"/>
                <w:sz w:val="21"/>
                <w:szCs w:val="21"/>
                <w:lang w:eastAsia="zh-CN"/>
              </w:rPr>
            </w:pPr>
          </w:p>
        </w:tc>
        <w:tc>
          <w:tcPr>
            <w:tcW w:w="233" w:type="pct"/>
            <w:noWrap w:val="0"/>
            <w:vAlign w:val="center"/>
          </w:tcPr>
          <w:p>
            <w:pPr>
              <w:spacing w:line="240" w:lineRule="auto"/>
              <w:jc w:val="center"/>
              <w:rPr>
                <w:rFonts w:hint="eastAsia" w:ascii="Calibri" w:hAnsi="Calibri" w:eastAsia="楷体"/>
                <w:kern w:val="0"/>
                <w:sz w:val="21"/>
                <w:szCs w:val="21"/>
                <w:lang w:eastAsia="zh-CN"/>
              </w:rPr>
            </w:pPr>
          </w:p>
        </w:tc>
        <w:tc>
          <w:tcPr>
            <w:tcW w:w="235" w:type="pct"/>
            <w:noWrap w:val="0"/>
            <w:vAlign w:val="center"/>
          </w:tcPr>
          <w:p>
            <w:pPr>
              <w:spacing w:line="240" w:lineRule="auto"/>
              <w:jc w:val="center"/>
              <w:rPr>
                <w:rFonts w:hint="eastAsia" w:ascii="Calibri" w:hAnsi="Calibri" w:eastAsia="楷体"/>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9" w:hRule="exact"/>
        </w:trPr>
        <w:tc>
          <w:tcPr>
            <w:tcW w:w="404" w:type="pct"/>
            <w:noWrap w:val="0"/>
            <w:vAlign w:val="center"/>
          </w:tcPr>
          <w:p>
            <w:pPr>
              <w:spacing w:line="240" w:lineRule="auto"/>
              <w:jc w:val="both"/>
              <w:rPr>
                <w:rFonts w:hint="eastAsia" w:ascii="Calibri" w:hAnsi="Calibri" w:eastAsia="楷体"/>
                <w:kern w:val="0"/>
                <w:sz w:val="21"/>
                <w:szCs w:val="21"/>
                <w:lang w:val="en-US" w:eastAsia="zh-CN"/>
              </w:rPr>
            </w:pPr>
            <w:r>
              <w:rPr>
                <w:rFonts w:hint="eastAsia" w:ascii="Calibri" w:hAnsi="Calibri" w:eastAsia="楷体"/>
                <w:kern w:val="0"/>
                <w:sz w:val="21"/>
                <w:szCs w:val="21"/>
                <w:lang w:val="en-US" w:eastAsia="zh-CN"/>
              </w:rPr>
              <w:t>专项业务支出</w:t>
            </w:r>
          </w:p>
        </w:tc>
        <w:tc>
          <w:tcPr>
            <w:tcW w:w="712" w:type="pct"/>
            <w:noWrap w:val="0"/>
            <w:vAlign w:val="center"/>
          </w:tcPr>
          <w:p>
            <w:pPr>
              <w:spacing w:line="240" w:lineRule="auto"/>
              <w:jc w:val="center"/>
              <w:rPr>
                <w:rFonts w:hint="eastAsia" w:ascii="Calibri" w:hAnsi="Calibri" w:eastAsia="楷体"/>
                <w:kern w:val="0"/>
                <w:sz w:val="21"/>
                <w:szCs w:val="21"/>
              </w:rPr>
            </w:pPr>
            <w:r>
              <w:rPr>
                <w:rFonts w:hint="eastAsia" w:ascii="Calibri" w:hAnsi="Calibri" w:eastAsia="楷体"/>
                <w:kern w:val="0"/>
                <w:sz w:val="21"/>
                <w:szCs w:val="21"/>
              </w:rPr>
              <w:t>十花道乡政府2024年转移支付资金</w:t>
            </w:r>
          </w:p>
        </w:tc>
        <w:tc>
          <w:tcPr>
            <w:tcW w:w="712" w:type="pct"/>
            <w:noWrap w:val="0"/>
            <w:vAlign w:val="center"/>
          </w:tcPr>
          <w:p>
            <w:pPr>
              <w:spacing w:line="240" w:lineRule="auto"/>
              <w:jc w:val="center"/>
              <w:rPr>
                <w:rFonts w:hint="eastAsia" w:ascii="Calibri" w:hAnsi="Calibri" w:eastAsia="楷体"/>
                <w:kern w:val="0"/>
                <w:sz w:val="21"/>
                <w:szCs w:val="21"/>
              </w:rPr>
            </w:pPr>
            <w:r>
              <w:rPr>
                <w:rFonts w:hint="eastAsia" w:ascii="Calibri" w:hAnsi="Calibri" w:eastAsia="楷体"/>
                <w:kern w:val="0"/>
                <w:sz w:val="21"/>
                <w:szCs w:val="21"/>
              </w:rPr>
              <w:t>十花道乡政府2024年转移支付资金</w:t>
            </w:r>
          </w:p>
        </w:tc>
        <w:tc>
          <w:tcPr>
            <w:tcW w:w="466" w:type="pct"/>
            <w:noWrap w:val="0"/>
            <w:vAlign w:val="center"/>
          </w:tcPr>
          <w:p>
            <w:pPr>
              <w:spacing w:line="240" w:lineRule="auto"/>
              <w:jc w:val="center"/>
              <w:rPr>
                <w:rFonts w:hint="eastAsia" w:ascii="Calibri" w:hAnsi="Calibri" w:eastAsia="楷体"/>
                <w:kern w:val="0"/>
                <w:sz w:val="21"/>
                <w:szCs w:val="21"/>
                <w:lang w:eastAsia="zh-CN"/>
              </w:rPr>
            </w:pPr>
            <w:r>
              <w:rPr>
                <w:rFonts w:hint="eastAsia" w:ascii="Calibri" w:hAnsi="Calibri" w:eastAsia="楷体"/>
                <w:kern w:val="0"/>
                <w:sz w:val="21"/>
                <w:szCs w:val="21"/>
                <w:lang w:eastAsia="zh-CN"/>
              </w:rPr>
              <w:t>通榆县十花道乡人民政府</w:t>
            </w:r>
          </w:p>
        </w:tc>
        <w:tc>
          <w:tcPr>
            <w:tcW w:w="427" w:type="pct"/>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22.14</w:t>
            </w:r>
          </w:p>
        </w:tc>
        <w:tc>
          <w:tcPr>
            <w:tcW w:w="428" w:type="pct"/>
            <w:noWrap w:val="0"/>
            <w:vAlign w:val="center"/>
          </w:tcPr>
          <w:p>
            <w:pPr>
              <w:spacing w:line="240" w:lineRule="auto"/>
              <w:jc w:val="center"/>
              <w:rPr>
                <w:rFonts w:hint="eastAsia" w:ascii="Calibri" w:hAnsi="Calibri" w:eastAsia="楷体" w:cs="Times New Roman"/>
                <w:kern w:val="0"/>
                <w:sz w:val="21"/>
                <w:szCs w:val="21"/>
                <w:lang w:val="en-US" w:eastAsia="zh-CN" w:bidi="ar-SA"/>
              </w:rPr>
            </w:pPr>
            <w:r>
              <w:rPr>
                <w:rFonts w:hint="eastAsia" w:ascii="Calibri" w:hAnsi="Calibri" w:eastAsia="楷体"/>
                <w:kern w:val="0"/>
                <w:sz w:val="21"/>
                <w:szCs w:val="21"/>
                <w:lang w:val="en-US" w:eastAsia="zh-CN"/>
              </w:rPr>
              <w:t>22.14</w:t>
            </w:r>
          </w:p>
        </w:tc>
        <w:tc>
          <w:tcPr>
            <w:tcW w:w="232" w:type="pct"/>
            <w:noWrap w:val="0"/>
            <w:vAlign w:val="center"/>
          </w:tcPr>
          <w:p>
            <w:pPr>
              <w:spacing w:line="240" w:lineRule="auto"/>
              <w:jc w:val="center"/>
              <w:rPr>
                <w:rFonts w:hint="eastAsia" w:ascii="Calibri" w:hAnsi="Calibri" w:eastAsia="楷体"/>
                <w:kern w:val="0"/>
                <w:sz w:val="21"/>
                <w:szCs w:val="21"/>
                <w:lang w:eastAsia="zh-CN"/>
              </w:rPr>
            </w:pPr>
          </w:p>
        </w:tc>
        <w:tc>
          <w:tcPr>
            <w:tcW w:w="267" w:type="pct"/>
            <w:noWrap w:val="0"/>
            <w:vAlign w:val="center"/>
          </w:tcPr>
          <w:p>
            <w:pPr>
              <w:spacing w:line="240" w:lineRule="auto"/>
              <w:jc w:val="center"/>
              <w:rPr>
                <w:rFonts w:hint="eastAsia" w:ascii="Calibri" w:hAnsi="Calibri" w:eastAsia="楷体"/>
                <w:kern w:val="0"/>
                <w:sz w:val="21"/>
                <w:szCs w:val="21"/>
                <w:lang w:eastAsia="zh-CN"/>
              </w:rPr>
            </w:pPr>
          </w:p>
        </w:tc>
        <w:tc>
          <w:tcPr>
            <w:tcW w:w="291" w:type="pct"/>
            <w:noWrap w:val="0"/>
            <w:vAlign w:val="center"/>
          </w:tcPr>
          <w:p>
            <w:pPr>
              <w:spacing w:line="240" w:lineRule="auto"/>
              <w:jc w:val="center"/>
              <w:rPr>
                <w:rFonts w:hint="eastAsia" w:ascii="Calibri" w:hAnsi="Calibri" w:eastAsia="楷体"/>
                <w:kern w:val="0"/>
                <w:sz w:val="21"/>
                <w:szCs w:val="21"/>
                <w:lang w:eastAsia="zh-CN"/>
              </w:rPr>
            </w:pPr>
          </w:p>
        </w:tc>
        <w:tc>
          <w:tcPr>
            <w:tcW w:w="272" w:type="pct"/>
            <w:noWrap w:val="0"/>
            <w:vAlign w:val="center"/>
          </w:tcPr>
          <w:p>
            <w:pPr>
              <w:spacing w:line="240" w:lineRule="auto"/>
              <w:jc w:val="center"/>
              <w:rPr>
                <w:rFonts w:hint="eastAsia" w:ascii="Calibri" w:hAnsi="Calibri" w:eastAsia="楷体"/>
                <w:kern w:val="0"/>
                <w:sz w:val="21"/>
                <w:szCs w:val="21"/>
                <w:lang w:eastAsia="zh-CN"/>
              </w:rPr>
            </w:pPr>
          </w:p>
        </w:tc>
        <w:tc>
          <w:tcPr>
            <w:tcW w:w="316" w:type="pct"/>
            <w:noWrap w:val="0"/>
            <w:vAlign w:val="center"/>
          </w:tcPr>
          <w:p>
            <w:pPr>
              <w:spacing w:line="240" w:lineRule="auto"/>
              <w:jc w:val="center"/>
              <w:rPr>
                <w:rFonts w:hint="eastAsia" w:ascii="Calibri" w:hAnsi="Calibri" w:eastAsia="楷体"/>
                <w:kern w:val="0"/>
                <w:sz w:val="21"/>
                <w:szCs w:val="21"/>
                <w:lang w:eastAsia="zh-CN"/>
              </w:rPr>
            </w:pPr>
          </w:p>
        </w:tc>
        <w:tc>
          <w:tcPr>
            <w:tcW w:w="233" w:type="pct"/>
            <w:noWrap w:val="0"/>
            <w:vAlign w:val="center"/>
          </w:tcPr>
          <w:p>
            <w:pPr>
              <w:spacing w:line="240" w:lineRule="auto"/>
              <w:jc w:val="center"/>
              <w:rPr>
                <w:rFonts w:hint="eastAsia" w:ascii="Calibri" w:hAnsi="Calibri" w:eastAsia="楷体"/>
                <w:kern w:val="0"/>
                <w:sz w:val="21"/>
                <w:szCs w:val="21"/>
                <w:lang w:eastAsia="zh-CN"/>
              </w:rPr>
            </w:pPr>
          </w:p>
        </w:tc>
        <w:tc>
          <w:tcPr>
            <w:tcW w:w="235" w:type="pct"/>
            <w:noWrap w:val="0"/>
            <w:vAlign w:val="center"/>
          </w:tcPr>
          <w:p>
            <w:pPr>
              <w:spacing w:line="240" w:lineRule="auto"/>
              <w:jc w:val="center"/>
              <w:rPr>
                <w:rFonts w:hint="eastAsia" w:ascii="Calibri" w:hAnsi="Calibri" w:eastAsia="楷体"/>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4" w:hRule="exact"/>
        </w:trPr>
        <w:tc>
          <w:tcPr>
            <w:tcW w:w="404" w:type="pct"/>
            <w:noWrap w:val="0"/>
            <w:vAlign w:val="center"/>
          </w:tcPr>
          <w:p>
            <w:pPr>
              <w:spacing w:line="240" w:lineRule="auto"/>
              <w:jc w:val="both"/>
              <w:rPr>
                <w:rFonts w:hint="eastAsia" w:ascii="Calibri" w:hAnsi="Calibri" w:eastAsia="楷体"/>
                <w:kern w:val="0"/>
                <w:sz w:val="21"/>
                <w:szCs w:val="21"/>
                <w:lang w:val="en-US" w:eastAsia="zh-CN"/>
              </w:rPr>
            </w:pPr>
            <w:r>
              <w:rPr>
                <w:rFonts w:hint="eastAsia" w:ascii="Calibri" w:hAnsi="Calibri" w:eastAsia="楷体"/>
                <w:kern w:val="0"/>
                <w:sz w:val="21"/>
                <w:szCs w:val="21"/>
                <w:lang w:val="en-US" w:eastAsia="zh-CN"/>
              </w:rPr>
              <w:t>专项业务支出</w:t>
            </w:r>
          </w:p>
        </w:tc>
        <w:tc>
          <w:tcPr>
            <w:tcW w:w="712" w:type="pct"/>
            <w:noWrap w:val="0"/>
            <w:vAlign w:val="center"/>
          </w:tcPr>
          <w:p>
            <w:pPr>
              <w:spacing w:line="240" w:lineRule="auto"/>
              <w:jc w:val="center"/>
              <w:rPr>
                <w:rFonts w:hint="eastAsia" w:ascii="Calibri" w:hAnsi="Calibri" w:eastAsia="楷体"/>
                <w:kern w:val="0"/>
                <w:sz w:val="21"/>
                <w:szCs w:val="21"/>
              </w:rPr>
            </w:pPr>
            <w:r>
              <w:rPr>
                <w:rFonts w:hint="eastAsia" w:ascii="Calibri" w:hAnsi="Calibri" w:eastAsia="楷体"/>
                <w:kern w:val="0"/>
                <w:sz w:val="21"/>
                <w:szCs w:val="21"/>
              </w:rPr>
              <w:t>十花道乡政府2024年辅助岗位人员工资</w:t>
            </w:r>
          </w:p>
        </w:tc>
        <w:tc>
          <w:tcPr>
            <w:tcW w:w="712" w:type="pct"/>
            <w:noWrap w:val="0"/>
            <w:vAlign w:val="center"/>
          </w:tcPr>
          <w:p>
            <w:pPr>
              <w:spacing w:line="240" w:lineRule="auto"/>
              <w:jc w:val="center"/>
              <w:rPr>
                <w:rFonts w:hint="eastAsia" w:ascii="Calibri" w:hAnsi="Calibri" w:eastAsia="楷体"/>
                <w:kern w:val="0"/>
                <w:sz w:val="21"/>
                <w:szCs w:val="21"/>
              </w:rPr>
            </w:pPr>
            <w:r>
              <w:rPr>
                <w:rFonts w:hint="eastAsia" w:ascii="Calibri" w:hAnsi="Calibri" w:eastAsia="楷体"/>
                <w:kern w:val="0"/>
                <w:sz w:val="21"/>
                <w:szCs w:val="21"/>
              </w:rPr>
              <w:t>十花道乡政府2024年辅助岗位人员工资</w:t>
            </w:r>
          </w:p>
        </w:tc>
        <w:tc>
          <w:tcPr>
            <w:tcW w:w="466" w:type="pct"/>
            <w:noWrap w:val="0"/>
            <w:vAlign w:val="center"/>
          </w:tcPr>
          <w:p>
            <w:pPr>
              <w:spacing w:line="240" w:lineRule="auto"/>
              <w:jc w:val="center"/>
              <w:rPr>
                <w:rFonts w:hint="eastAsia" w:ascii="Calibri" w:hAnsi="Calibri" w:eastAsia="楷体"/>
                <w:kern w:val="0"/>
                <w:sz w:val="21"/>
                <w:szCs w:val="21"/>
                <w:lang w:eastAsia="zh-CN"/>
              </w:rPr>
            </w:pPr>
            <w:r>
              <w:rPr>
                <w:rFonts w:hint="eastAsia" w:ascii="Calibri" w:hAnsi="Calibri" w:eastAsia="楷体"/>
                <w:kern w:val="0"/>
                <w:sz w:val="21"/>
                <w:szCs w:val="21"/>
                <w:lang w:eastAsia="zh-CN"/>
              </w:rPr>
              <w:t>通榆县十花道乡人民政府</w:t>
            </w:r>
          </w:p>
        </w:tc>
        <w:tc>
          <w:tcPr>
            <w:tcW w:w="427" w:type="pct"/>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34.26</w:t>
            </w:r>
          </w:p>
        </w:tc>
        <w:tc>
          <w:tcPr>
            <w:tcW w:w="428" w:type="pct"/>
            <w:noWrap w:val="0"/>
            <w:vAlign w:val="center"/>
          </w:tcPr>
          <w:p>
            <w:pPr>
              <w:spacing w:line="240" w:lineRule="auto"/>
              <w:jc w:val="center"/>
              <w:rPr>
                <w:rFonts w:hint="eastAsia" w:ascii="Calibri" w:hAnsi="Calibri" w:eastAsia="楷体" w:cs="Times New Roman"/>
                <w:kern w:val="0"/>
                <w:sz w:val="21"/>
                <w:szCs w:val="21"/>
                <w:lang w:val="en-US" w:eastAsia="zh-CN" w:bidi="ar-SA"/>
              </w:rPr>
            </w:pPr>
            <w:r>
              <w:rPr>
                <w:rFonts w:hint="eastAsia" w:ascii="Calibri" w:hAnsi="Calibri" w:eastAsia="楷体"/>
                <w:kern w:val="0"/>
                <w:sz w:val="21"/>
                <w:szCs w:val="21"/>
                <w:lang w:val="en-US" w:eastAsia="zh-CN"/>
              </w:rPr>
              <w:t>34.26</w:t>
            </w:r>
          </w:p>
        </w:tc>
        <w:tc>
          <w:tcPr>
            <w:tcW w:w="232" w:type="pct"/>
            <w:noWrap w:val="0"/>
            <w:vAlign w:val="center"/>
          </w:tcPr>
          <w:p>
            <w:pPr>
              <w:spacing w:line="240" w:lineRule="auto"/>
              <w:jc w:val="center"/>
              <w:rPr>
                <w:rFonts w:hint="eastAsia" w:ascii="Calibri" w:hAnsi="Calibri" w:eastAsia="楷体"/>
                <w:kern w:val="0"/>
                <w:sz w:val="21"/>
                <w:szCs w:val="21"/>
                <w:lang w:eastAsia="zh-CN"/>
              </w:rPr>
            </w:pPr>
          </w:p>
        </w:tc>
        <w:tc>
          <w:tcPr>
            <w:tcW w:w="267" w:type="pct"/>
            <w:noWrap w:val="0"/>
            <w:vAlign w:val="center"/>
          </w:tcPr>
          <w:p>
            <w:pPr>
              <w:spacing w:line="240" w:lineRule="auto"/>
              <w:jc w:val="center"/>
              <w:rPr>
                <w:rFonts w:hint="eastAsia" w:ascii="Calibri" w:hAnsi="Calibri" w:eastAsia="楷体"/>
                <w:kern w:val="0"/>
                <w:sz w:val="21"/>
                <w:szCs w:val="21"/>
                <w:lang w:eastAsia="zh-CN"/>
              </w:rPr>
            </w:pPr>
          </w:p>
        </w:tc>
        <w:tc>
          <w:tcPr>
            <w:tcW w:w="291" w:type="pct"/>
            <w:noWrap w:val="0"/>
            <w:vAlign w:val="center"/>
          </w:tcPr>
          <w:p>
            <w:pPr>
              <w:spacing w:line="240" w:lineRule="auto"/>
              <w:jc w:val="center"/>
              <w:rPr>
                <w:rFonts w:hint="eastAsia" w:ascii="Calibri" w:hAnsi="Calibri" w:eastAsia="楷体"/>
                <w:kern w:val="0"/>
                <w:sz w:val="21"/>
                <w:szCs w:val="21"/>
                <w:lang w:eastAsia="zh-CN"/>
              </w:rPr>
            </w:pPr>
          </w:p>
        </w:tc>
        <w:tc>
          <w:tcPr>
            <w:tcW w:w="272" w:type="pct"/>
            <w:noWrap w:val="0"/>
            <w:vAlign w:val="center"/>
          </w:tcPr>
          <w:p>
            <w:pPr>
              <w:spacing w:line="240" w:lineRule="auto"/>
              <w:jc w:val="center"/>
              <w:rPr>
                <w:rFonts w:hint="eastAsia" w:ascii="Calibri" w:hAnsi="Calibri" w:eastAsia="楷体"/>
                <w:kern w:val="0"/>
                <w:sz w:val="21"/>
                <w:szCs w:val="21"/>
                <w:lang w:eastAsia="zh-CN"/>
              </w:rPr>
            </w:pPr>
          </w:p>
        </w:tc>
        <w:tc>
          <w:tcPr>
            <w:tcW w:w="316" w:type="pct"/>
            <w:noWrap w:val="0"/>
            <w:vAlign w:val="center"/>
          </w:tcPr>
          <w:p>
            <w:pPr>
              <w:spacing w:line="240" w:lineRule="auto"/>
              <w:jc w:val="center"/>
              <w:rPr>
                <w:rFonts w:hint="eastAsia" w:ascii="Calibri" w:hAnsi="Calibri" w:eastAsia="楷体"/>
                <w:kern w:val="0"/>
                <w:sz w:val="21"/>
                <w:szCs w:val="21"/>
                <w:lang w:eastAsia="zh-CN"/>
              </w:rPr>
            </w:pPr>
          </w:p>
        </w:tc>
        <w:tc>
          <w:tcPr>
            <w:tcW w:w="233" w:type="pct"/>
            <w:noWrap w:val="0"/>
            <w:vAlign w:val="center"/>
          </w:tcPr>
          <w:p>
            <w:pPr>
              <w:spacing w:line="240" w:lineRule="auto"/>
              <w:jc w:val="center"/>
              <w:rPr>
                <w:rFonts w:hint="eastAsia" w:ascii="Calibri" w:hAnsi="Calibri" w:eastAsia="楷体"/>
                <w:kern w:val="0"/>
                <w:sz w:val="21"/>
                <w:szCs w:val="21"/>
                <w:lang w:eastAsia="zh-CN"/>
              </w:rPr>
            </w:pPr>
          </w:p>
        </w:tc>
        <w:tc>
          <w:tcPr>
            <w:tcW w:w="235" w:type="pct"/>
            <w:noWrap w:val="0"/>
            <w:vAlign w:val="center"/>
          </w:tcPr>
          <w:p>
            <w:pPr>
              <w:spacing w:line="240" w:lineRule="auto"/>
              <w:jc w:val="center"/>
              <w:rPr>
                <w:rFonts w:hint="eastAsia" w:ascii="Calibri" w:hAnsi="Calibri" w:eastAsia="楷体"/>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4" w:hRule="exact"/>
        </w:trPr>
        <w:tc>
          <w:tcPr>
            <w:tcW w:w="404" w:type="pct"/>
            <w:noWrap w:val="0"/>
            <w:vAlign w:val="center"/>
          </w:tcPr>
          <w:p>
            <w:pPr>
              <w:spacing w:line="240" w:lineRule="auto"/>
              <w:jc w:val="both"/>
              <w:rPr>
                <w:rFonts w:hint="eastAsia" w:ascii="Calibri" w:hAnsi="Calibri" w:eastAsia="楷体"/>
                <w:kern w:val="0"/>
                <w:sz w:val="21"/>
                <w:szCs w:val="21"/>
                <w:lang w:val="en-US" w:eastAsia="zh-CN"/>
              </w:rPr>
            </w:pPr>
            <w:r>
              <w:rPr>
                <w:rFonts w:hint="eastAsia" w:ascii="Calibri" w:hAnsi="Calibri" w:eastAsia="楷体"/>
                <w:kern w:val="0"/>
                <w:sz w:val="21"/>
                <w:szCs w:val="21"/>
                <w:lang w:val="en-US" w:eastAsia="zh-CN"/>
              </w:rPr>
              <w:t>专项业务支出</w:t>
            </w:r>
          </w:p>
        </w:tc>
        <w:tc>
          <w:tcPr>
            <w:tcW w:w="712" w:type="pct"/>
            <w:noWrap w:val="0"/>
            <w:vAlign w:val="center"/>
          </w:tcPr>
          <w:p>
            <w:pPr>
              <w:spacing w:line="240" w:lineRule="auto"/>
              <w:jc w:val="center"/>
              <w:rPr>
                <w:rFonts w:hint="eastAsia" w:ascii="Calibri" w:hAnsi="Calibri" w:eastAsia="楷体"/>
                <w:kern w:val="0"/>
                <w:sz w:val="21"/>
                <w:szCs w:val="21"/>
              </w:rPr>
            </w:pPr>
            <w:r>
              <w:rPr>
                <w:rFonts w:hint="eastAsia" w:ascii="Calibri" w:hAnsi="Calibri" w:eastAsia="楷体"/>
                <w:kern w:val="0"/>
                <w:sz w:val="21"/>
                <w:szCs w:val="21"/>
              </w:rPr>
              <w:t>十花道乡政府2024年驻村工作队生活补贴</w:t>
            </w:r>
          </w:p>
        </w:tc>
        <w:tc>
          <w:tcPr>
            <w:tcW w:w="712" w:type="pct"/>
            <w:noWrap w:val="0"/>
            <w:vAlign w:val="center"/>
          </w:tcPr>
          <w:p>
            <w:pPr>
              <w:spacing w:line="240" w:lineRule="auto"/>
              <w:jc w:val="center"/>
              <w:rPr>
                <w:rFonts w:hint="eastAsia" w:ascii="Calibri" w:hAnsi="Calibri" w:eastAsia="楷体"/>
                <w:kern w:val="0"/>
                <w:sz w:val="21"/>
                <w:szCs w:val="21"/>
              </w:rPr>
            </w:pPr>
            <w:r>
              <w:rPr>
                <w:rFonts w:hint="eastAsia" w:ascii="Calibri" w:hAnsi="Calibri" w:eastAsia="楷体"/>
                <w:kern w:val="0"/>
                <w:sz w:val="21"/>
                <w:szCs w:val="21"/>
              </w:rPr>
              <w:t>十花道乡政府2024年驻村工作队生活补贴</w:t>
            </w:r>
          </w:p>
        </w:tc>
        <w:tc>
          <w:tcPr>
            <w:tcW w:w="466" w:type="pct"/>
            <w:noWrap w:val="0"/>
            <w:vAlign w:val="center"/>
          </w:tcPr>
          <w:p>
            <w:pPr>
              <w:spacing w:line="240" w:lineRule="auto"/>
              <w:jc w:val="center"/>
              <w:rPr>
                <w:rFonts w:hint="eastAsia" w:ascii="Calibri" w:hAnsi="Calibri" w:eastAsia="楷体"/>
                <w:kern w:val="0"/>
                <w:sz w:val="21"/>
                <w:szCs w:val="21"/>
                <w:lang w:eastAsia="zh-CN"/>
              </w:rPr>
            </w:pPr>
            <w:r>
              <w:rPr>
                <w:rFonts w:hint="eastAsia" w:ascii="Calibri" w:hAnsi="Calibri" w:eastAsia="楷体"/>
                <w:kern w:val="0"/>
                <w:sz w:val="21"/>
                <w:szCs w:val="21"/>
                <w:lang w:eastAsia="zh-CN"/>
              </w:rPr>
              <w:t>通榆县十花道乡人民政府</w:t>
            </w:r>
          </w:p>
        </w:tc>
        <w:tc>
          <w:tcPr>
            <w:tcW w:w="427" w:type="pct"/>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7.2</w:t>
            </w:r>
          </w:p>
        </w:tc>
        <w:tc>
          <w:tcPr>
            <w:tcW w:w="428" w:type="pct"/>
            <w:noWrap w:val="0"/>
            <w:vAlign w:val="center"/>
          </w:tcPr>
          <w:p>
            <w:pPr>
              <w:spacing w:line="240" w:lineRule="auto"/>
              <w:jc w:val="center"/>
              <w:rPr>
                <w:rFonts w:hint="eastAsia" w:ascii="Calibri" w:hAnsi="Calibri" w:eastAsia="楷体" w:cs="Times New Roman"/>
                <w:kern w:val="0"/>
                <w:sz w:val="21"/>
                <w:szCs w:val="21"/>
                <w:lang w:val="en-US" w:eastAsia="zh-CN" w:bidi="ar-SA"/>
              </w:rPr>
            </w:pPr>
            <w:r>
              <w:rPr>
                <w:rFonts w:hint="eastAsia" w:ascii="Calibri" w:hAnsi="Calibri" w:eastAsia="楷体"/>
                <w:kern w:val="0"/>
                <w:sz w:val="21"/>
                <w:szCs w:val="21"/>
                <w:lang w:val="en-US" w:eastAsia="zh-CN"/>
              </w:rPr>
              <w:t>7.2</w:t>
            </w:r>
          </w:p>
        </w:tc>
        <w:tc>
          <w:tcPr>
            <w:tcW w:w="232" w:type="pct"/>
            <w:noWrap w:val="0"/>
            <w:vAlign w:val="center"/>
          </w:tcPr>
          <w:p>
            <w:pPr>
              <w:spacing w:line="240" w:lineRule="auto"/>
              <w:jc w:val="center"/>
              <w:rPr>
                <w:rFonts w:hint="eastAsia" w:ascii="Calibri" w:hAnsi="Calibri" w:eastAsia="楷体"/>
                <w:kern w:val="0"/>
                <w:sz w:val="21"/>
                <w:szCs w:val="21"/>
                <w:lang w:eastAsia="zh-CN"/>
              </w:rPr>
            </w:pPr>
          </w:p>
        </w:tc>
        <w:tc>
          <w:tcPr>
            <w:tcW w:w="267" w:type="pct"/>
            <w:noWrap w:val="0"/>
            <w:vAlign w:val="center"/>
          </w:tcPr>
          <w:p>
            <w:pPr>
              <w:spacing w:line="240" w:lineRule="auto"/>
              <w:jc w:val="center"/>
              <w:rPr>
                <w:rFonts w:hint="eastAsia" w:ascii="Calibri" w:hAnsi="Calibri" w:eastAsia="楷体"/>
                <w:kern w:val="0"/>
                <w:sz w:val="21"/>
                <w:szCs w:val="21"/>
                <w:lang w:eastAsia="zh-CN"/>
              </w:rPr>
            </w:pPr>
          </w:p>
        </w:tc>
        <w:tc>
          <w:tcPr>
            <w:tcW w:w="291" w:type="pct"/>
            <w:noWrap w:val="0"/>
            <w:vAlign w:val="center"/>
          </w:tcPr>
          <w:p>
            <w:pPr>
              <w:spacing w:line="240" w:lineRule="auto"/>
              <w:jc w:val="center"/>
              <w:rPr>
                <w:rFonts w:hint="eastAsia" w:ascii="Calibri" w:hAnsi="Calibri" w:eastAsia="楷体"/>
                <w:kern w:val="0"/>
                <w:sz w:val="21"/>
                <w:szCs w:val="21"/>
                <w:lang w:eastAsia="zh-CN"/>
              </w:rPr>
            </w:pPr>
          </w:p>
        </w:tc>
        <w:tc>
          <w:tcPr>
            <w:tcW w:w="272" w:type="pct"/>
            <w:noWrap w:val="0"/>
            <w:vAlign w:val="center"/>
          </w:tcPr>
          <w:p>
            <w:pPr>
              <w:spacing w:line="240" w:lineRule="auto"/>
              <w:jc w:val="center"/>
              <w:rPr>
                <w:rFonts w:hint="eastAsia" w:ascii="Calibri" w:hAnsi="Calibri" w:eastAsia="楷体"/>
                <w:kern w:val="0"/>
                <w:sz w:val="21"/>
                <w:szCs w:val="21"/>
                <w:lang w:eastAsia="zh-CN"/>
              </w:rPr>
            </w:pPr>
          </w:p>
        </w:tc>
        <w:tc>
          <w:tcPr>
            <w:tcW w:w="316" w:type="pct"/>
            <w:noWrap w:val="0"/>
            <w:vAlign w:val="center"/>
          </w:tcPr>
          <w:p>
            <w:pPr>
              <w:spacing w:line="240" w:lineRule="auto"/>
              <w:jc w:val="center"/>
              <w:rPr>
                <w:rFonts w:hint="eastAsia" w:ascii="Calibri" w:hAnsi="Calibri" w:eastAsia="楷体"/>
                <w:kern w:val="0"/>
                <w:sz w:val="21"/>
                <w:szCs w:val="21"/>
                <w:lang w:eastAsia="zh-CN"/>
              </w:rPr>
            </w:pPr>
          </w:p>
        </w:tc>
        <w:tc>
          <w:tcPr>
            <w:tcW w:w="233" w:type="pct"/>
            <w:noWrap w:val="0"/>
            <w:vAlign w:val="center"/>
          </w:tcPr>
          <w:p>
            <w:pPr>
              <w:spacing w:line="240" w:lineRule="auto"/>
              <w:jc w:val="center"/>
              <w:rPr>
                <w:rFonts w:hint="eastAsia" w:ascii="Calibri" w:hAnsi="Calibri" w:eastAsia="楷体"/>
                <w:kern w:val="0"/>
                <w:sz w:val="21"/>
                <w:szCs w:val="21"/>
                <w:lang w:eastAsia="zh-CN"/>
              </w:rPr>
            </w:pPr>
          </w:p>
        </w:tc>
        <w:tc>
          <w:tcPr>
            <w:tcW w:w="235" w:type="pct"/>
            <w:noWrap w:val="0"/>
            <w:vAlign w:val="center"/>
          </w:tcPr>
          <w:p>
            <w:pPr>
              <w:spacing w:line="240" w:lineRule="auto"/>
              <w:jc w:val="center"/>
              <w:rPr>
                <w:rFonts w:hint="eastAsia" w:ascii="Calibri" w:hAnsi="Calibri" w:eastAsia="楷体"/>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exact"/>
        </w:trPr>
        <w:tc>
          <w:tcPr>
            <w:tcW w:w="404" w:type="pct"/>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712" w:type="pct"/>
            <w:noWrap w:val="0"/>
            <w:vAlign w:val="center"/>
          </w:tcPr>
          <w:p>
            <w:pPr>
              <w:autoSpaceDN w:val="0"/>
              <w:jc w:val="center"/>
              <w:textAlignment w:val="center"/>
              <w:rPr>
                <w:rFonts w:ascii="Calibri" w:hAnsi="Calibri" w:eastAsia="华文细黑"/>
                <w:color w:val="000000"/>
                <w:sz w:val="20"/>
                <w:szCs w:val="22"/>
              </w:rPr>
            </w:pPr>
          </w:p>
        </w:tc>
        <w:tc>
          <w:tcPr>
            <w:tcW w:w="712" w:type="pct"/>
            <w:noWrap w:val="0"/>
            <w:vAlign w:val="center"/>
          </w:tcPr>
          <w:p>
            <w:pPr>
              <w:spacing w:line="700" w:lineRule="exact"/>
              <w:jc w:val="center"/>
              <w:rPr>
                <w:rFonts w:ascii="Calibri" w:hAnsi="Calibri" w:eastAsia="楷体"/>
                <w:kern w:val="0"/>
                <w:szCs w:val="32"/>
              </w:rPr>
            </w:pPr>
          </w:p>
        </w:tc>
        <w:tc>
          <w:tcPr>
            <w:tcW w:w="466" w:type="pct"/>
            <w:noWrap w:val="0"/>
            <w:vAlign w:val="center"/>
          </w:tcPr>
          <w:p>
            <w:pPr>
              <w:spacing w:line="700" w:lineRule="exact"/>
              <w:jc w:val="center"/>
              <w:rPr>
                <w:rFonts w:ascii="Calibri" w:hAnsi="Calibri" w:eastAsia="楷体"/>
                <w:kern w:val="0"/>
                <w:szCs w:val="32"/>
              </w:rPr>
            </w:pPr>
          </w:p>
        </w:tc>
        <w:tc>
          <w:tcPr>
            <w:tcW w:w="427" w:type="pct"/>
            <w:noWrap w:val="0"/>
            <w:vAlign w:val="center"/>
          </w:tcPr>
          <w:p>
            <w:pPr>
              <w:spacing w:line="240" w:lineRule="auto"/>
              <w:jc w:val="both"/>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101.36</w:t>
            </w:r>
          </w:p>
        </w:tc>
        <w:tc>
          <w:tcPr>
            <w:tcW w:w="428" w:type="pct"/>
            <w:noWrap w:val="0"/>
            <w:vAlign w:val="center"/>
          </w:tcPr>
          <w:p>
            <w:pPr>
              <w:spacing w:line="240" w:lineRule="auto"/>
              <w:jc w:val="cente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101.36</w:t>
            </w:r>
          </w:p>
        </w:tc>
        <w:tc>
          <w:tcPr>
            <w:tcW w:w="232" w:type="pct"/>
            <w:noWrap w:val="0"/>
            <w:vAlign w:val="center"/>
          </w:tcPr>
          <w:p>
            <w:pPr>
              <w:spacing w:line="700" w:lineRule="exact"/>
              <w:jc w:val="center"/>
              <w:rPr>
                <w:rFonts w:ascii="Calibri" w:hAnsi="Calibri" w:eastAsia="楷体"/>
                <w:kern w:val="0"/>
                <w:szCs w:val="32"/>
              </w:rPr>
            </w:pPr>
          </w:p>
        </w:tc>
        <w:tc>
          <w:tcPr>
            <w:tcW w:w="267" w:type="pct"/>
            <w:noWrap w:val="0"/>
            <w:vAlign w:val="center"/>
          </w:tcPr>
          <w:p>
            <w:pPr>
              <w:spacing w:line="700" w:lineRule="exact"/>
              <w:jc w:val="center"/>
              <w:rPr>
                <w:rFonts w:ascii="Calibri" w:hAnsi="Calibri" w:eastAsia="楷体"/>
                <w:kern w:val="0"/>
                <w:szCs w:val="32"/>
              </w:rPr>
            </w:pPr>
          </w:p>
        </w:tc>
        <w:tc>
          <w:tcPr>
            <w:tcW w:w="291" w:type="pct"/>
            <w:noWrap w:val="0"/>
            <w:vAlign w:val="center"/>
          </w:tcPr>
          <w:p>
            <w:pPr>
              <w:spacing w:line="700" w:lineRule="exact"/>
              <w:jc w:val="center"/>
              <w:rPr>
                <w:rFonts w:ascii="Calibri" w:hAnsi="Calibri" w:eastAsia="楷体"/>
                <w:kern w:val="0"/>
                <w:szCs w:val="32"/>
              </w:rPr>
            </w:pPr>
          </w:p>
        </w:tc>
        <w:tc>
          <w:tcPr>
            <w:tcW w:w="272" w:type="pct"/>
            <w:noWrap w:val="0"/>
            <w:vAlign w:val="center"/>
          </w:tcPr>
          <w:p>
            <w:pPr>
              <w:spacing w:line="700" w:lineRule="exact"/>
              <w:jc w:val="center"/>
              <w:rPr>
                <w:rFonts w:ascii="Calibri" w:hAnsi="Calibri" w:eastAsia="楷体"/>
                <w:kern w:val="0"/>
                <w:szCs w:val="32"/>
              </w:rPr>
            </w:pPr>
          </w:p>
        </w:tc>
        <w:tc>
          <w:tcPr>
            <w:tcW w:w="316" w:type="pct"/>
            <w:noWrap w:val="0"/>
            <w:vAlign w:val="center"/>
          </w:tcPr>
          <w:p>
            <w:pPr>
              <w:spacing w:line="700" w:lineRule="exact"/>
              <w:jc w:val="center"/>
              <w:rPr>
                <w:rFonts w:ascii="Calibri" w:hAnsi="Calibri" w:eastAsia="楷体"/>
                <w:kern w:val="0"/>
                <w:szCs w:val="32"/>
              </w:rPr>
            </w:pPr>
          </w:p>
        </w:tc>
        <w:tc>
          <w:tcPr>
            <w:tcW w:w="233" w:type="pct"/>
            <w:noWrap w:val="0"/>
            <w:vAlign w:val="center"/>
          </w:tcPr>
          <w:p>
            <w:pPr>
              <w:spacing w:line="700" w:lineRule="exact"/>
              <w:jc w:val="center"/>
              <w:rPr>
                <w:rFonts w:ascii="Calibri" w:hAnsi="Calibri" w:eastAsia="楷体"/>
                <w:kern w:val="0"/>
                <w:szCs w:val="32"/>
              </w:rPr>
            </w:pPr>
          </w:p>
        </w:tc>
        <w:tc>
          <w:tcPr>
            <w:tcW w:w="235" w:type="pct"/>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Calibri" w:hAnsi="Calibri" w:eastAsia="楷体"/>
                <w:kern w:val="0"/>
                <w:sz w:val="21"/>
                <w:szCs w:val="21"/>
              </w:rPr>
              <w:t>十花道乡政府2024年大学生村官工资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37.75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37.75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为8名村官按月足额发放工资及缴纳各项保险，加强待遇保障。</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村官人数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资金发放准确率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每名村官年均工资</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4.72万元/人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资金发放及时率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乡村治理人才储备保障程度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村官满意度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98%</w:t>
            </w:r>
          </w:p>
        </w:tc>
      </w:tr>
    </w:tbl>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Calibri" w:hAnsi="Calibri" w:eastAsia="楷体"/>
                <w:kern w:val="0"/>
                <w:sz w:val="21"/>
                <w:szCs w:val="21"/>
              </w:rPr>
              <w:t>十花道乡政府2024年转移支付资金</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22.14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22.14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用于本单位各项业务活动支出，提高工作效率。</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保障工作人员数量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24人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政府工作效率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人均经费支出标准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0.92万元/人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资金使用及时率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提高辖区内居民办事效率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工作人员及辖区内居民满意度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98%</w:t>
            </w:r>
          </w:p>
        </w:tc>
      </w:tr>
    </w:tbl>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Calibri" w:hAnsi="Calibri" w:eastAsia="楷体"/>
                <w:kern w:val="0"/>
                <w:sz w:val="21"/>
                <w:szCs w:val="21"/>
              </w:rPr>
              <w:t>十花道乡政府2024年辅助岗位人员工资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34.26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34.26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按时足额发放工资及缴纳各项保险，加强辅助岗待遇保障。</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辅岗人数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=9人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资金发放准确率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每名辅岗年均工资</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3.81万元/人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政府工作办事效率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辅岗人员满意度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98%</w:t>
            </w:r>
          </w:p>
        </w:tc>
      </w:tr>
    </w:tbl>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Calibri" w:hAnsi="Calibri" w:eastAsia="楷体"/>
                <w:kern w:val="0"/>
                <w:sz w:val="21"/>
                <w:szCs w:val="21"/>
              </w:rPr>
              <w:t>十花道乡政府2024年驻村工作队生活补贴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为2名驻村干部按时足额发放生活补助资金，提高驻村工作效率。</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驻村干部驻村总天数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驻村干部人数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资金发放准确率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驻村补助标准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资金发放及时率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驻村干部工作积极性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98%</w:t>
            </w:r>
          </w:p>
        </w:tc>
      </w:tr>
    </w:tbl>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sz w:val="30"/>
          <w:szCs w:val="30"/>
        </w:rPr>
      </w:pPr>
      <w:r>
        <w:rPr>
          <w:rFonts w:hint="eastAsia" w:ascii="仿宋_GB2312" w:hAnsi="仿宋_GB2312" w:eastAsia="仿宋_GB2312" w:cs="仿宋_GB2312"/>
          <w:szCs w:val="32"/>
        </w:rPr>
        <w:t>按照综合预算的原则，所有收入和支出全部纳入部门预算管理。收入包括：一般公共预算拨款收入454.06万元；支出包括：一般公共服务支出373.69万元，社会保障和就业支出41.73万元，卫生健康支出14.6万元，住房保障支出24.04万元。</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454.06</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454.06</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35</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单位人员增加</w:t>
      </w:r>
      <w:r>
        <w:rPr>
          <w:rFonts w:hint="eastAsia" w:ascii="仿宋_GB2312" w:hAnsi="仿宋_GB2312" w:eastAsia="仿宋_GB2312" w:cs="仿宋_GB2312"/>
          <w:szCs w:val="32"/>
        </w:rPr>
        <w:t>。</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454.06</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454.06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454.06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454.06</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352.71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77.68</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101.36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22.32</w:t>
      </w:r>
      <w:r>
        <w:rPr>
          <w:rFonts w:hint="eastAsia" w:ascii="仿宋_GB2312" w:hAnsi="仿宋_GB2312" w:eastAsia="仿宋_GB2312" w:cs="仿宋_GB2312"/>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454.06</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454.06</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373.69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41.73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14.6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24.04</w:t>
      </w:r>
      <w:r>
        <w:rPr>
          <w:rFonts w:hint="eastAsia" w:ascii="仿宋_GB2312" w:hAnsi="仿宋_GB2312" w:eastAsia="仿宋_GB2312" w:cs="仿宋_GB2312"/>
          <w:szCs w:val="32"/>
        </w:rPr>
        <w:t>万元。</w:t>
      </w:r>
    </w:p>
    <w:p>
      <w:pPr>
        <w:ind w:firstLine="6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454.06</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352.71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77.68</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101.36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22.32</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309.63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87.79</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43.08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12.21</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373.69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82.3</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单位各项人员工资福利支出及日常办公开销</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41.73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9.19</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单位职工基本养老保险及职业年金缴费支出</w:t>
      </w:r>
      <w:r>
        <w:rPr>
          <w:rFonts w:hint="eastAsia" w:ascii="仿宋_GB2312" w:hAnsi="仿宋_GB2312" w:eastAsia="仿宋_GB2312" w:cs="仿宋_GB2312"/>
          <w:szCs w:val="32"/>
        </w:rPr>
        <w:t>。</w:t>
      </w:r>
    </w:p>
    <w:p>
      <w:pPr>
        <w:spacing w:line="520" w:lineRule="exact"/>
        <w:ind w:firstLine="640" w:firstLineChars="200"/>
        <w:rPr>
          <w:rFonts w:hint="default" w:ascii="仿宋_GB2312" w:hAnsi="仿宋_GB2312" w:eastAsia="仿宋_GB2312" w:cs="仿宋_GB2312"/>
          <w:szCs w:val="32"/>
          <w:lang w:val="en-US" w:eastAsia="zh-CN"/>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lang w:val="en-US" w:eastAsia="zh-CN"/>
        </w:rPr>
        <w:t>14.6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3.22</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单位职工医疗保险支出</w:t>
      </w:r>
      <w:r>
        <w:rPr>
          <w:rFonts w:hint="eastAsia" w:ascii="仿宋_GB2312" w:hAnsi="仿宋_GB2312" w:eastAsia="仿宋_GB2312" w:cs="仿宋_GB2312"/>
          <w:szCs w:val="32"/>
        </w:rPr>
        <w:t>。</w:t>
      </w:r>
    </w:p>
    <w:p>
      <w:pPr>
        <w:spacing w:line="520" w:lineRule="exact"/>
        <w:ind w:firstLine="640" w:firstLineChars="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24.04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5.29</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单位职工住房公积金缴费支出</w:t>
      </w:r>
      <w:r>
        <w:rPr>
          <w:rFonts w:hint="eastAsia" w:ascii="仿宋_GB2312" w:hAnsi="仿宋_GB2312" w:eastAsia="仿宋_GB2312" w:cs="仿宋_GB2312"/>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352.71</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309.63</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43.08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cs="仿宋_GB2312"/>
          <w:kern w:val="0"/>
          <w:szCs w:val="32"/>
          <w:lang w:eastAsia="zh-CN"/>
        </w:rPr>
        <w:t>租赁费</w:t>
      </w:r>
      <w:r>
        <w:rPr>
          <w:rFonts w:hint="eastAsia" w:ascii="仿宋_GB2312" w:hAnsi="仿宋_GB2312" w:eastAsia="仿宋_GB2312" w:cs="仿宋_GB2312"/>
          <w:szCs w:val="32"/>
        </w:rPr>
        <w:t>、</w:t>
      </w:r>
      <w:r>
        <w:rPr>
          <w:rFonts w:hint="eastAsia" w:ascii="仿宋_GB2312" w:hAnsi="仿宋_GB2312" w:cs="仿宋_GB2312"/>
          <w:kern w:val="0"/>
          <w:szCs w:val="32"/>
          <w:lang w:eastAsia="zh-CN"/>
        </w:rPr>
        <w:t>劳务</w:t>
      </w:r>
      <w:r>
        <w:rPr>
          <w:rFonts w:hint="eastAsia" w:ascii="仿宋_GB2312" w:hAnsi="仿宋_GB2312" w:eastAsia="仿宋_GB2312" w:cs="仿宋_GB2312"/>
          <w:kern w:val="0"/>
          <w:szCs w:val="32"/>
        </w:rPr>
        <w:t>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2</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3</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公务用车购置及运行费</w:t>
      </w:r>
      <w:r>
        <w:rPr>
          <w:rFonts w:hint="eastAsia" w:ascii="仿宋_GB2312" w:hAnsi="仿宋_GB2312" w:cs="仿宋_GB2312"/>
          <w:szCs w:val="32"/>
          <w:lang w:val="en-US" w:eastAsia="zh-CN"/>
        </w:rPr>
        <w:t>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2</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2</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2</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2</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调减单位公车预算开支</w:t>
      </w:r>
      <w:r>
        <w:rPr>
          <w:rFonts w:hint="eastAsia" w:ascii="仿宋_GB2312" w:hAnsi="仿宋_GB2312" w:eastAsia="仿宋_GB2312" w:cs="仿宋_GB2312"/>
          <w:szCs w:val="32"/>
        </w:rPr>
        <w:t>。</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eastAsia="楷体"/>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w:t>
      </w:r>
      <w:r>
        <w:rPr>
          <w:rFonts w:hint="eastAsia" w:ascii="仿宋_GB2312" w:hAnsi="仿宋_GB2312" w:cs="仿宋_GB2312"/>
          <w:szCs w:val="32"/>
          <w:lang w:eastAsia="zh-CN"/>
        </w:rPr>
        <w:t>，本部门无政府性基金预算拨款。</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cs="仿宋_GB2312"/>
          <w:szCs w:val="32"/>
          <w:highlight w:val="none"/>
          <w:lang w:eastAsia="zh-CN"/>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w:t>
      </w:r>
      <w:r>
        <w:rPr>
          <w:rFonts w:hint="eastAsia" w:ascii="仿宋_GB2312" w:hAnsi="仿宋_GB2312" w:cs="仿宋_GB2312"/>
          <w:szCs w:val="32"/>
          <w:highlight w:val="none"/>
          <w:lang w:eastAsia="zh-CN"/>
        </w:rPr>
        <w:t>，本部门无国有资本经营预算拨款。</w:t>
      </w: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年部门本级的机关运行经费财政拨款预算</w:t>
      </w:r>
      <w:r>
        <w:rPr>
          <w:rFonts w:hint="eastAsia" w:ascii="仿宋_GB2312" w:hAnsi="仿宋_GB2312" w:cs="仿宋_GB2312"/>
          <w:szCs w:val="32"/>
          <w:lang w:val="en-US" w:eastAsia="zh-CN"/>
        </w:rPr>
        <w:t>28.8</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1.2</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4.35</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单位人员增加，调整日常公用经费预算安排</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（二）政府采购情况</w:t>
      </w:r>
    </w:p>
    <w:p>
      <w:pPr>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w:t>
      </w:r>
      <w:r>
        <w:rPr>
          <w:rFonts w:hint="eastAsia" w:ascii="仿宋_GB2312" w:hAnsi="仿宋_GB2312" w:cs="仿宋_GB2312"/>
          <w:szCs w:val="32"/>
          <w:highlight w:val="none"/>
          <w:lang w:eastAsia="zh-CN"/>
        </w:rPr>
        <w:t>本部门无</w:t>
      </w:r>
      <w:r>
        <w:rPr>
          <w:rFonts w:hint="eastAsia" w:ascii="仿宋_GB2312" w:hAnsi="仿宋_GB2312" w:eastAsia="仿宋_GB2312" w:cs="仿宋_GB2312"/>
          <w:szCs w:val="32"/>
          <w:highlight w:val="none"/>
        </w:rPr>
        <w:t>政府采购预算。</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年8月底，部门本级共有车辆</w:t>
      </w:r>
      <w:r>
        <w:rPr>
          <w:rFonts w:hint="eastAsia" w:ascii="仿宋_GB2312" w:hAnsi="仿宋_GB2312" w:cs="仿宋_GB2312"/>
          <w:szCs w:val="32"/>
          <w:lang w:val="en-US" w:eastAsia="zh-CN"/>
        </w:rPr>
        <w:t>4</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2300</w:t>
      </w:r>
      <w:r>
        <w:rPr>
          <w:rFonts w:hint="eastAsia" w:ascii="仿宋_GB2312" w:hAnsi="仿宋_GB2312" w:eastAsia="仿宋_GB2312" w:cs="仿宋_GB2312"/>
          <w:szCs w:val="32"/>
        </w:rPr>
        <w:t>平方米，</w:t>
      </w:r>
      <w:r>
        <w:rPr>
          <w:rFonts w:hint="eastAsia" w:ascii="仿宋_GB2312" w:hAnsi="仿宋_GB2312" w:cs="仿宋_GB2312"/>
          <w:szCs w:val="32"/>
          <w:lang w:eastAsia="zh-CN"/>
        </w:rPr>
        <w:t>无</w:t>
      </w:r>
      <w:r>
        <w:rPr>
          <w:rFonts w:hint="eastAsia" w:ascii="仿宋_GB2312" w:hAnsi="仿宋_GB2312" w:eastAsia="仿宋_GB2312" w:cs="仿宋_GB2312"/>
          <w:szCs w:val="32"/>
        </w:rPr>
        <w:t>单价50万元及以上的通用设备，</w:t>
      </w:r>
      <w:r>
        <w:rPr>
          <w:rFonts w:hint="eastAsia" w:ascii="仿宋_GB2312" w:hAnsi="仿宋_GB2312" w:cs="仿宋_GB2312"/>
          <w:szCs w:val="32"/>
          <w:lang w:eastAsia="zh-CN"/>
        </w:rPr>
        <w:t>无</w:t>
      </w:r>
      <w:r>
        <w:rPr>
          <w:rFonts w:hint="eastAsia" w:ascii="仿宋_GB2312" w:hAnsi="仿宋_GB2312" w:eastAsia="仿宋_GB2312" w:cs="仿宋_GB2312"/>
          <w:szCs w:val="32"/>
        </w:rPr>
        <w:t>单价100万元及以上的专用设备。</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w:t>
      </w:r>
      <w:r>
        <w:rPr>
          <w:rFonts w:hint="eastAsia" w:ascii="仿宋_GB2312" w:hAnsi="仿宋_GB2312" w:cs="仿宋_GB2312"/>
          <w:szCs w:val="32"/>
          <w:lang w:eastAsia="zh-CN"/>
        </w:rPr>
        <w:t>本部门</w:t>
      </w:r>
      <w:r>
        <w:rPr>
          <w:rFonts w:hint="eastAsia" w:ascii="仿宋_GB2312" w:hAnsi="仿宋_GB2312" w:eastAsia="仿宋_GB2312" w:cs="仿宋_GB2312"/>
          <w:szCs w:val="32"/>
        </w:rPr>
        <w:t>无部门预算安排购置车辆、土地、房屋，无计划新增单价50万元及以上的通用设备、单价100万元及以上的专用设备。</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101.36</w:t>
      </w:r>
      <w:r>
        <w:rPr>
          <w:rFonts w:hint="eastAsia" w:ascii="仿宋_GB2312" w:hAnsi="仿宋_GB2312" w:eastAsia="仿宋_GB2312" w:cs="仿宋_GB2312"/>
          <w:szCs w:val="32"/>
          <w:highlight w:val="none"/>
        </w:rPr>
        <w:t>万元，其中：二级项目</w:t>
      </w:r>
      <w:r>
        <w:rPr>
          <w:rFonts w:hint="eastAsia" w:ascii="仿宋_GB2312" w:hAnsi="仿宋_GB2312" w:cs="仿宋_GB2312"/>
          <w:szCs w:val="32"/>
          <w:highlight w:val="none"/>
          <w:lang w:val="en-US" w:eastAsia="zh-CN"/>
        </w:rPr>
        <w:t>4</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101.36</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4</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101.36</w:t>
      </w:r>
      <w:r>
        <w:rPr>
          <w:rFonts w:hint="eastAsia" w:ascii="仿宋_GB2312" w:hAnsi="仿宋_GB2312" w:eastAsia="仿宋_GB2312" w:cs="仿宋_GB2312"/>
        </w:rPr>
        <w:t>万元。</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B71342-9CF8-4E12-A9EE-DA1C70052BF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39F2721-917D-4673-89E4-A07D88A58689}"/>
  </w:font>
  <w:font w:name="仿宋_GB2312">
    <w:altName w:val="仿宋"/>
    <w:panose1 w:val="02010609030101010101"/>
    <w:charset w:val="86"/>
    <w:family w:val="modern"/>
    <w:pitch w:val="default"/>
    <w:sig w:usb0="00000000" w:usb1="00000000" w:usb2="00000000" w:usb3="00000000" w:csb0="00040000" w:csb1="00000000"/>
    <w:embedRegular r:id="rId3" w:fontKey="{5B6111B6-DF70-4CE4-82B2-7054D998CD7F}"/>
  </w:font>
  <w:font w:name="华文细黑">
    <w:panose1 w:val="02010600040101010101"/>
    <w:charset w:val="86"/>
    <w:family w:val="auto"/>
    <w:pitch w:val="default"/>
    <w:sig w:usb0="00000287" w:usb1="080F0000" w:usb2="00000000" w:usb3="00000000" w:csb0="0004009F" w:csb1="DFD70000"/>
    <w:embedRegular r:id="rId4" w:fontKey="{7CE10B78-8247-48B9-8D2A-21B2CF703551}"/>
  </w:font>
  <w:font w:name="方正小标宋简体">
    <w:panose1 w:val="02000000000000000000"/>
    <w:charset w:val="86"/>
    <w:family w:val="auto"/>
    <w:pitch w:val="default"/>
    <w:sig w:usb0="00000001" w:usb1="08000000" w:usb2="00000000" w:usb3="00000000" w:csb0="00040000" w:csb1="00000000"/>
    <w:embedRegular r:id="rId5" w:fontKey="{7EBE79E3-0CDE-4492-A756-D2494A5704F4}"/>
  </w:font>
  <w:font w:name="楷体_GB2312">
    <w:altName w:val="楷体"/>
    <w:panose1 w:val="02010609030101010101"/>
    <w:charset w:val="86"/>
    <w:family w:val="modern"/>
    <w:pitch w:val="default"/>
    <w:sig w:usb0="00000000" w:usb1="00000000" w:usb2="00000000" w:usb3="00000000" w:csb0="00040000" w:csb1="00000000"/>
    <w:embedRegular r:id="rId6" w:fontKey="{5AF2A76D-733B-465F-8793-C1949712DAEC}"/>
  </w:font>
  <w:font w:name="楷体">
    <w:panose1 w:val="02010609060101010101"/>
    <w:charset w:val="86"/>
    <w:family w:val="auto"/>
    <w:pitch w:val="default"/>
    <w:sig w:usb0="800002BF" w:usb1="38CF7CFA" w:usb2="00000016" w:usb3="00000000" w:csb0="00040001" w:csb1="00000000"/>
    <w:embedRegular r:id="rId7" w:fontKey="{F8CE9516-B5E5-4490-8F23-5E82AC9E11F5}"/>
  </w:font>
  <w:font w:name="仿宋">
    <w:panose1 w:val="02010609060101010101"/>
    <w:charset w:val="86"/>
    <w:family w:val="auto"/>
    <w:pitch w:val="default"/>
    <w:sig w:usb0="800002BF" w:usb1="38CF7CFA" w:usb2="00000016" w:usb3="00000000" w:csb0="00040001" w:csb1="00000000"/>
    <w:embedRegular r:id="rId8" w:fontKey="{7A1A000B-A286-474D-8049-5EFC8109BB4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TFmYWUzN2M3YjE3YzAwZGI4OTA3Yzg2MzU5ZT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7A6FF6"/>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138FF"/>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2A305E"/>
    <w:rsid w:val="04672014"/>
    <w:rsid w:val="0486486A"/>
    <w:rsid w:val="04954460"/>
    <w:rsid w:val="04F026C1"/>
    <w:rsid w:val="050D06DA"/>
    <w:rsid w:val="050F3BA7"/>
    <w:rsid w:val="05513E94"/>
    <w:rsid w:val="056F5A6D"/>
    <w:rsid w:val="059B3770"/>
    <w:rsid w:val="06366FD2"/>
    <w:rsid w:val="063949A0"/>
    <w:rsid w:val="067960C1"/>
    <w:rsid w:val="06BD5BC7"/>
    <w:rsid w:val="07D21289"/>
    <w:rsid w:val="07F544B0"/>
    <w:rsid w:val="09A0082A"/>
    <w:rsid w:val="0A334D52"/>
    <w:rsid w:val="0ABA06FE"/>
    <w:rsid w:val="0B5F5ADA"/>
    <w:rsid w:val="0B710869"/>
    <w:rsid w:val="0C2A5C84"/>
    <w:rsid w:val="0CCC7285"/>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175B8C"/>
    <w:rsid w:val="1441443C"/>
    <w:rsid w:val="14C12787"/>
    <w:rsid w:val="15593E10"/>
    <w:rsid w:val="159F7E25"/>
    <w:rsid w:val="15F848D0"/>
    <w:rsid w:val="160E1FA5"/>
    <w:rsid w:val="160F2600"/>
    <w:rsid w:val="171440EA"/>
    <w:rsid w:val="17765BCA"/>
    <w:rsid w:val="17A027D8"/>
    <w:rsid w:val="19446847"/>
    <w:rsid w:val="1A817DF8"/>
    <w:rsid w:val="1AC4102E"/>
    <w:rsid w:val="1ADC594E"/>
    <w:rsid w:val="1AEB5252"/>
    <w:rsid w:val="1C852172"/>
    <w:rsid w:val="1CA40C0C"/>
    <w:rsid w:val="1CFF4A32"/>
    <w:rsid w:val="1D833200"/>
    <w:rsid w:val="1E2D59A2"/>
    <w:rsid w:val="1E3A3FD0"/>
    <w:rsid w:val="1EB55C07"/>
    <w:rsid w:val="1F351A10"/>
    <w:rsid w:val="1F465791"/>
    <w:rsid w:val="1FED47E9"/>
    <w:rsid w:val="206816AC"/>
    <w:rsid w:val="22A4003E"/>
    <w:rsid w:val="23984063"/>
    <w:rsid w:val="23CE11F0"/>
    <w:rsid w:val="23EC61F6"/>
    <w:rsid w:val="244C543C"/>
    <w:rsid w:val="24624768"/>
    <w:rsid w:val="2539376C"/>
    <w:rsid w:val="254C6FAD"/>
    <w:rsid w:val="25713A69"/>
    <w:rsid w:val="259B5BC5"/>
    <w:rsid w:val="25C7462E"/>
    <w:rsid w:val="25F62C4E"/>
    <w:rsid w:val="265718D7"/>
    <w:rsid w:val="26643D6C"/>
    <w:rsid w:val="26FE109D"/>
    <w:rsid w:val="27073E1E"/>
    <w:rsid w:val="2774105C"/>
    <w:rsid w:val="27B04AB3"/>
    <w:rsid w:val="28A63332"/>
    <w:rsid w:val="292C7694"/>
    <w:rsid w:val="298C316A"/>
    <w:rsid w:val="29C45F24"/>
    <w:rsid w:val="2B581B41"/>
    <w:rsid w:val="2DF8796C"/>
    <w:rsid w:val="2E5C03B6"/>
    <w:rsid w:val="2EA12EBA"/>
    <w:rsid w:val="2EB22F18"/>
    <w:rsid w:val="2EE12108"/>
    <w:rsid w:val="2EED35E3"/>
    <w:rsid w:val="2F250383"/>
    <w:rsid w:val="2F63610B"/>
    <w:rsid w:val="300965A3"/>
    <w:rsid w:val="30730D6E"/>
    <w:rsid w:val="30B91A70"/>
    <w:rsid w:val="32CF2C5D"/>
    <w:rsid w:val="33183033"/>
    <w:rsid w:val="335402B5"/>
    <w:rsid w:val="339466B2"/>
    <w:rsid w:val="33BC15C6"/>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0179BB"/>
    <w:rsid w:val="405745EF"/>
    <w:rsid w:val="40B80EFF"/>
    <w:rsid w:val="41900595"/>
    <w:rsid w:val="41A35364"/>
    <w:rsid w:val="41C31686"/>
    <w:rsid w:val="42982B4E"/>
    <w:rsid w:val="436B1E42"/>
    <w:rsid w:val="43993170"/>
    <w:rsid w:val="43A50B3D"/>
    <w:rsid w:val="44054362"/>
    <w:rsid w:val="443E7BFE"/>
    <w:rsid w:val="449C5E6A"/>
    <w:rsid w:val="456D114B"/>
    <w:rsid w:val="45CC0EB1"/>
    <w:rsid w:val="45EB670F"/>
    <w:rsid w:val="46AB7C0D"/>
    <w:rsid w:val="46D44808"/>
    <w:rsid w:val="47992B94"/>
    <w:rsid w:val="47CF49E6"/>
    <w:rsid w:val="4843587B"/>
    <w:rsid w:val="48674ED2"/>
    <w:rsid w:val="487708E6"/>
    <w:rsid w:val="49645F71"/>
    <w:rsid w:val="49777136"/>
    <w:rsid w:val="499F5C68"/>
    <w:rsid w:val="4ACE42D5"/>
    <w:rsid w:val="4AD17176"/>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CC165C"/>
    <w:rsid w:val="51E55C99"/>
    <w:rsid w:val="52044F4B"/>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1B7BEC"/>
    <w:rsid w:val="5AB343F7"/>
    <w:rsid w:val="5ABF50F2"/>
    <w:rsid w:val="5AF76904"/>
    <w:rsid w:val="5B052E7A"/>
    <w:rsid w:val="5B3D7F7E"/>
    <w:rsid w:val="5B7C7777"/>
    <w:rsid w:val="5B9462A0"/>
    <w:rsid w:val="5BD35EAB"/>
    <w:rsid w:val="5BEC6771"/>
    <w:rsid w:val="5CA506B9"/>
    <w:rsid w:val="5CFD5FB2"/>
    <w:rsid w:val="5D2B52D8"/>
    <w:rsid w:val="5D5A7C63"/>
    <w:rsid w:val="5E256F6F"/>
    <w:rsid w:val="5F6235A9"/>
    <w:rsid w:val="614125C2"/>
    <w:rsid w:val="624C5C52"/>
    <w:rsid w:val="63952BB5"/>
    <w:rsid w:val="63DF08E4"/>
    <w:rsid w:val="64127E15"/>
    <w:rsid w:val="64C04AFD"/>
    <w:rsid w:val="65A26073"/>
    <w:rsid w:val="661A7B69"/>
    <w:rsid w:val="664909C1"/>
    <w:rsid w:val="66C63EB5"/>
    <w:rsid w:val="677772D0"/>
    <w:rsid w:val="679461D3"/>
    <w:rsid w:val="6858287E"/>
    <w:rsid w:val="68693E8B"/>
    <w:rsid w:val="69157114"/>
    <w:rsid w:val="691A443E"/>
    <w:rsid w:val="6A80735F"/>
    <w:rsid w:val="6ACC5E47"/>
    <w:rsid w:val="6AD43ED1"/>
    <w:rsid w:val="6B11024D"/>
    <w:rsid w:val="6B7D5B36"/>
    <w:rsid w:val="6BD8256E"/>
    <w:rsid w:val="6CF120A8"/>
    <w:rsid w:val="6F6070C1"/>
    <w:rsid w:val="71175A15"/>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DD210B"/>
    <w:rsid w:val="7AE175F4"/>
    <w:rsid w:val="7B3F43CD"/>
    <w:rsid w:val="7B417685"/>
    <w:rsid w:val="7B5220F0"/>
    <w:rsid w:val="7BA169C0"/>
    <w:rsid w:val="7BA81C4B"/>
    <w:rsid w:val="7BE95D3C"/>
    <w:rsid w:val="7CAD595B"/>
    <w:rsid w:val="7CF65D07"/>
    <w:rsid w:val="7D2975D1"/>
    <w:rsid w:val="7DCC0CD6"/>
    <w:rsid w:val="7F0661B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29</TotalTime>
  <ScaleCrop>false</ScaleCrop>
  <LinksUpToDate>false</LinksUpToDate>
  <CharactersWithSpaces>8690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逍遥</cp:lastModifiedBy>
  <cp:lastPrinted>2024-01-25T06:10:00Z</cp:lastPrinted>
  <dcterms:modified xsi:type="dcterms:W3CDTF">2024-01-26T12:57:40Z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