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通榆县教育系统离退休教师活动中心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楷体_GB2312" w:hAnsi="楷体_GB2312" w:eastAsia="楷体_GB2312" w:cs="楷体_GB2312"/>
          <w:szCs w:val="32"/>
          <w:lang w:eastAsia="zh-CN"/>
        </w:rPr>
      </w:pPr>
      <w:r>
        <w:rPr>
          <w:rFonts w:hint="eastAsia" w:ascii="楷体_GB2312" w:hAnsi="楷体_GB2312" w:eastAsia="楷体_GB2312" w:cs="楷体_GB2312"/>
          <w:szCs w:val="32"/>
          <w:lang w:eastAsia="zh-CN"/>
        </w:rPr>
        <w:t>通榆县教育系统离退休教师活动中心主要职能是为全县教育系统离退休教师服务。落实好教育系统离退休教师的两个待遇，切实为全县教育系统离退休教师服务。负责组织开展全县离退休教师的日常文体娱乐生活。</w:t>
      </w:r>
    </w:p>
    <w:p>
      <w:pPr>
        <w:ind w:firstLine="640" w:firstLineChars="200"/>
      </w:pPr>
      <w:r>
        <w:rPr>
          <w:rFonts w:eastAsia="楷体_GB2312"/>
        </w:rPr>
        <w:t>二、机构设置</w:t>
      </w:r>
    </w:p>
    <w:p>
      <w:pPr>
        <w:pStyle w:val="45"/>
        <w:ind w:firstLine="640" w:firstLineChars="200"/>
        <w:rPr>
          <w:rFonts w:hint="eastAsia" w:ascii="楷体_GB2312" w:hAnsi="楷体_GB2312" w:eastAsia="楷体_GB2312" w:cs="楷体_GB2312"/>
        </w:rPr>
      </w:pPr>
      <w:r>
        <w:rPr>
          <w:rFonts w:hint="eastAsia" w:ascii="楷体_GB2312" w:hAnsi="楷体_GB2312" w:eastAsia="楷体_GB2312" w:cs="楷体_GB2312"/>
        </w:rPr>
        <w:t>根据上述职责，</w:t>
      </w:r>
      <w:r>
        <w:rPr>
          <w:rFonts w:hint="eastAsia" w:ascii="楷体_GB2312" w:hAnsi="楷体_GB2312" w:eastAsia="楷体_GB2312" w:cs="楷体_GB2312"/>
          <w:lang w:eastAsia="zh-CN"/>
        </w:rPr>
        <w:t>本部门下设一</w:t>
      </w:r>
      <w:r>
        <w:rPr>
          <w:rFonts w:hint="eastAsia" w:ascii="楷体_GB2312" w:hAnsi="楷体_GB2312" w:eastAsia="楷体_GB2312" w:cs="楷体_GB2312"/>
        </w:rPr>
        <w:t>个</w:t>
      </w:r>
      <w:r>
        <w:rPr>
          <w:rFonts w:hint="eastAsia" w:ascii="楷体_GB2312" w:hAnsi="楷体_GB2312" w:eastAsia="楷体_GB2312" w:cs="楷体_GB2312"/>
          <w:lang w:eastAsia="zh-CN"/>
        </w:rPr>
        <w:t>办公室</w:t>
      </w:r>
      <w:r>
        <w:rPr>
          <w:rFonts w:hint="eastAsia" w:ascii="楷体_GB2312" w:hAnsi="楷体_GB2312" w:eastAsia="楷体_GB2312" w:cs="楷体_GB2312"/>
        </w:rPr>
        <w:t>，</w:t>
      </w:r>
      <w:r>
        <w:rPr>
          <w:rFonts w:hint="eastAsia" w:ascii="楷体_GB2312" w:hAnsi="楷体_GB2312" w:eastAsia="楷体_GB2312" w:cs="楷体_GB2312"/>
          <w:lang w:eastAsia="zh-CN"/>
        </w:rPr>
        <w:t>负责</w:t>
      </w:r>
      <w:r>
        <w:rPr>
          <w:rFonts w:hint="eastAsia" w:ascii="楷体_GB2312" w:hAnsi="楷体_GB2312" w:eastAsia="楷体_GB2312" w:cs="楷体_GB2312"/>
          <w:szCs w:val="32"/>
          <w:lang w:eastAsia="zh-CN"/>
        </w:rPr>
        <w:t>教育系统离退休教师服务工作</w:t>
      </w:r>
      <w:r>
        <w:rPr>
          <w:rFonts w:hint="eastAsia" w:ascii="楷体_GB2312" w:hAnsi="楷体_GB2312" w:eastAsia="楷体_GB2312" w:cs="楷体_GB2312"/>
        </w:rPr>
        <w:t>。</w:t>
      </w:r>
    </w:p>
    <w:p>
      <w:pPr>
        <w:pStyle w:val="45"/>
        <w:ind w:firstLine="640" w:firstLineChars="200"/>
        <w:rPr>
          <w:rFonts w:eastAsia="楷体"/>
        </w:rPr>
      </w:pPr>
    </w:p>
    <w:p>
      <w:pPr>
        <w:pStyle w:val="45"/>
        <w:ind w:firstLine="640" w:firstLineChars="200"/>
        <w:rPr>
          <w:rFonts w:eastAsia="楷体"/>
        </w:rPr>
      </w:pPr>
    </w:p>
    <w:p>
      <w:pPr>
        <w:pStyle w:val="45"/>
        <w:ind w:firstLine="640" w:firstLineChars="200"/>
        <w:rPr>
          <w:rFonts w:hAnsi="楷体" w:eastAsia="楷体"/>
        </w:rPr>
      </w:pPr>
    </w:p>
    <w:p>
      <w:pPr>
        <w:pStyle w:val="45"/>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0"/>
        <w:tblpPr w:leftFromText="180" w:rightFromText="180" w:vertAnchor="text" w:horzAnchor="page" w:tblpX="1126" w:tblpY="698"/>
        <w:tblOverlap w:val="never"/>
        <w:tblW w:w="9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073" w:type="dxa"/>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86.8</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65.3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11.3</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6.6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3.6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vAlign w:val="center"/>
          </w:tcPr>
          <w:p>
            <w:pPr>
              <w:jc w:val="center"/>
              <w:rPr>
                <w:rFonts w:hint="eastAsia"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86.8</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3600" w:firstLineChars="1000"/>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92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3"/>
        <w:gridCol w:w="418"/>
        <w:gridCol w:w="606"/>
        <w:gridCol w:w="591"/>
        <w:gridCol w:w="712"/>
        <w:gridCol w:w="431"/>
        <w:gridCol w:w="430"/>
        <w:gridCol w:w="431"/>
        <w:gridCol w:w="430"/>
        <w:gridCol w:w="225"/>
        <w:gridCol w:w="206"/>
        <w:gridCol w:w="430"/>
        <w:gridCol w:w="431"/>
        <w:gridCol w:w="31"/>
        <w:gridCol w:w="399"/>
        <w:gridCol w:w="151"/>
        <w:gridCol w:w="279"/>
        <w:gridCol w:w="270"/>
        <w:gridCol w:w="161"/>
        <w:gridCol w:w="389"/>
        <w:gridCol w:w="41"/>
        <w:gridCol w:w="431"/>
        <w:gridCol w:w="430"/>
        <w:gridCol w:w="431"/>
        <w:gridCol w:w="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443" w:type="dxa"/>
            <w:tcBorders>
              <w:bottom w:val="single" w:color="000000" w:sz="4" w:space="0"/>
            </w:tcBorders>
            <w:vAlign w:val="top"/>
          </w:tcPr>
          <w:p>
            <w:pPr>
              <w:autoSpaceDN w:val="0"/>
              <w:jc w:val="left"/>
              <w:textAlignment w:val="center"/>
              <w:rPr>
                <w:rFonts w:eastAsia="华文细黑"/>
                <w:color w:val="000000"/>
                <w:sz w:val="20"/>
              </w:rPr>
            </w:pPr>
          </w:p>
        </w:tc>
        <w:tc>
          <w:tcPr>
            <w:tcW w:w="4274"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98" w:type="dxa"/>
            <w:gridSpan w:val="4"/>
            <w:vAlign w:val="center"/>
          </w:tcPr>
          <w:p>
            <w:pPr>
              <w:autoSpaceDN w:val="0"/>
              <w:jc w:val="left"/>
              <w:textAlignment w:val="center"/>
              <w:rPr>
                <w:rFonts w:eastAsia="华文细黑"/>
                <w:color w:val="000000"/>
                <w:sz w:val="20"/>
              </w:rPr>
            </w:pPr>
          </w:p>
        </w:tc>
        <w:tc>
          <w:tcPr>
            <w:tcW w:w="550" w:type="dxa"/>
            <w:gridSpan w:val="2"/>
            <w:vAlign w:val="center"/>
          </w:tcPr>
          <w:p>
            <w:pPr>
              <w:autoSpaceDN w:val="0"/>
              <w:jc w:val="left"/>
              <w:textAlignment w:val="center"/>
              <w:rPr>
                <w:rFonts w:eastAsia="华文细黑"/>
                <w:color w:val="000000"/>
                <w:sz w:val="20"/>
              </w:rPr>
            </w:pPr>
          </w:p>
        </w:tc>
        <w:tc>
          <w:tcPr>
            <w:tcW w:w="549" w:type="dxa"/>
            <w:gridSpan w:val="2"/>
            <w:vAlign w:val="center"/>
          </w:tcPr>
          <w:p>
            <w:pPr>
              <w:autoSpaceDN w:val="0"/>
              <w:jc w:val="left"/>
              <w:textAlignment w:val="center"/>
              <w:rPr>
                <w:rFonts w:eastAsia="华文细黑"/>
                <w:color w:val="000000"/>
                <w:sz w:val="20"/>
              </w:rPr>
            </w:pPr>
          </w:p>
        </w:tc>
        <w:tc>
          <w:tcPr>
            <w:tcW w:w="550" w:type="dxa"/>
            <w:gridSpan w:val="2"/>
            <w:vAlign w:val="bottom"/>
          </w:tcPr>
          <w:p>
            <w:pPr>
              <w:autoSpaceDN w:val="0"/>
              <w:jc w:val="left"/>
              <w:textAlignment w:val="bottom"/>
              <w:rPr>
                <w:rFonts w:eastAsia="宋体"/>
                <w:color w:val="000000"/>
                <w:sz w:val="20"/>
              </w:rPr>
            </w:pPr>
          </w:p>
        </w:tc>
        <w:tc>
          <w:tcPr>
            <w:tcW w:w="177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86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0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747"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3026"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8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60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43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43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431"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30"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43"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861"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通榆县教育系统离退休教师活动中心</w:t>
            </w:r>
          </w:p>
        </w:tc>
        <w:tc>
          <w:tcPr>
            <w:tcW w:w="60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86.8</w:t>
            </w:r>
          </w:p>
        </w:tc>
        <w:tc>
          <w:tcPr>
            <w:tcW w:w="591"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86.8</w:t>
            </w:r>
          </w:p>
        </w:tc>
        <w:tc>
          <w:tcPr>
            <w:tcW w:w="712"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86.8</w:t>
            </w:r>
          </w:p>
        </w:tc>
        <w:tc>
          <w:tcPr>
            <w:tcW w:w="431"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3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1"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3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1"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0"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0"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1"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0"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3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3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4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861"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0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86.8</w:t>
            </w:r>
          </w:p>
        </w:tc>
        <w:tc>
          <w:tcPr>
            <w:tcW w:w="59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86.8</w:t>
            </w:r>
          </w:p>
        </w:tc>
        <w:tc>
          <w:tcPr>
            <w:tcW w:w="712"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86.8</w:t>
            </w:r>
          </w:p>
        </w:tc>
        <w:tc>
          <w:tcPr>
            <w:tcW w:w="431"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4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eastAsia="宋体"/>
                      <w:color w:val="000000"/>
                      <w:kern w:val="0"/>
                      <w:sz w:val="20"/>
                    </w:rPr>
                    <w:t>一、一般公</w:t>
                  </w:r>
                  <w:r>
                    <w:rPr>
                      <w:rFonts w:hint="eastAsia" w:eastAsia="宋体"/>
                      <w:color w:val="000000"/>
                      <w:kern w:val="0"/>
                      <w:sz w:val="20"/>
                      <w:lang w:val="en-US" w:eastAsia="zh-CN"/>
                    </w:rPr>
                    <w:t>共预算支出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86.8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86.8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65.3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65.3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普通教育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65.3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其他教育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ascii="宋体" w:hAnsi="宋体" w:eastAsia="宋体" w:cs="宋体"/>
                      <w:b w:val="0"/>
                      <w:bCs/>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val="0"/>
                      <w:color w:val="auto"/>
                      <w:sz w:val="20"/>
                      <w:szCs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eastAsia="宋体"/>
                      <w:color w:val="000000"/>
                      <w:kern w:val="0"/>
                      <w:sz w:val="20"/>
                      <w:lang w:val="en-US" w:eastAsia="zh-CN"/>
                    </w:rPr>
                  </w:pPr>
                  <w:r>
                    <w:rPr>
                      <w:rFonts w:hint="eastAsia" w:ascii="宋体" w:hAnsi="宋体" w:eastAsia="宋体" w:cs="宋体"/>
                      <w:b w:val="0"/>
                      <w:bCs/>
                      <w:kern w:val="0"/>
                      <w:sz w:val="20"/>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lang w:val="en-US" w:eastAsia="zh-CN"/>
                    </w:rPr>
                  </w:pPr>
                  <w:r>
                    <w:rPr>
                      <w:rFonts w:hint="eastAsia" w:ascii="宋体" w:hAnsi="宋体" w:eastAsia="宋体" w:cs="宋体"/>
                      <w:b w:val="0"/>
                      <w:bCs/>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lang w:val="en-US" w:eastAsia="zh-CN"/>
                    </w:rPr>
                  </w:pPr>
                  <w:r>
                    <w:rPr>
                      <w:rFonts w:hint="eastAsia" w:ascii="宋体" w:hAnsi="宋体" w:eastAsia="宋体" w:cs="宋体"/>
                      <w:b w:val="0"/>
                      <w:bCs/>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lang w:val="en-US" w:eastAsia="zh-CN"/>
                    </w:rPr>
                  </w:pPr>
                  <w:r>
                    <w:rPr>
                      <w:rFonts w:hint="eastAsia" w:ascii="宋体" w:hAnsi="宋体" w:eastAsia="宋体" w:cs="宋体"/>
                      <w:b w:val="0"/>
                      <w:bCs/>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ascii="宋体" w:hAnsi="宋体" w:eastAsia="宋体" w:cs="宋体"/>
                      <w:b w:val="0"/>
                      <w:bCs/>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86.8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86.8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tbl>
      <w:tblPr>
        <w:tblStyle w:val="10"/>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10"/>
              <w:tblpPr w:leftFromText="180" w:rightFromText="180" w:vertAnchor="page" w:horzAnchor="page" w:tblpX="114" w:tblpY="657"/>
              <w:tblOverlap w:val="never"/>
              <w:tblW w:w="98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86.8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86.8</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86.8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hint="default" w:eastAsia="宋体"/>
                      <w:kern w:val="0"/>
                      <w:sz w:val="20"/>
                      <w:lang w:val="en-US" w:eastAsia="zh-CN"/>
                    </w:rPr>
                  </w:pPr>
                  <w:r>
                    <w:rPr>
                      <w:rFonts w:hint="eastAsia" w:eastAsia="宋体"/>
                      <w:kern w:val="0"/>
                      <w:sz w:val="20"/>
                      <w:lang w:val="en-US" w:eastAsia="zh-CN"/>
                    </w:rPr>
                    <w:t>86.8</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ind w:leftChars="0"/>
                    <w:jc w:val="center"/>
                    <w:rPr>
                      <w:rFonts w:eastAsia="宋体"/>
                      <w:kern w:val="0"/>
                      <w:sz w:val="20"/>
                    </w:rPr>
                  </w:pPr>
                </w:p>
                <w:p>
                  <w:pPr>
                    <w:widowControl/>
                    <w:numPr>
                      <w:ilvl w:val="0"/>
                      <w:numId w:val="0"/>
                    </w:numPr>
                    <w:ind w:leftChars="0"/>
                    <w:jc w:val="center"/>
                    <w:rPr>
                      <w:rFonts w:hint="default" w:eastAsia="宋体"/>
                      <w:kern w:val="0"/>
                      <w:sz w:val="20"/>
                      <w:lang w:val="en-US" w:eastAsia="zh-CN"/>
                    </w:rPr>
                  </w:pPr>
                  <w:r>
                    <w:rPr>
                      <w:rFonts w:hint="eastAsia" w:eastAsia="宋体"/>
                      <w:kern w:val="0"/>
                      <w:sz w:val="20"/>
                      <w:lang w:val="en-US" w:eastAsia="zh-CN"/>
                    </w:rPr>
                    <w:t>65.3</w:t>
                  </w:r>
                </w:p>
              </w:tc>
              <w:tc>
                <w:tcPr>
                  <w:tcW w:w="744" w:type="dxa"/>
                  <w:tcBorders>
                    <w:top w:val="single" w:color="auto" w:sz="4" w:space="0"/>
                    <w:left w:val="single" w:color="auto" w:sz="4" w:space="0"/>
                    <w:bottom w:val="single" w:color="auto" w:sz="4" w:space="0"/>
                    <w:right w:val="single" w:color="auto" w:sz="4" w:space="0"/>
                  </w:tcBorders>
                  <w:vAlign w:val="top"/>
                </w:tcPr>
                <w:p>
                  <w:pPr>
                    <w:widowControl/>
                    <w:numPr>
                      <w:ilvl w:val="0"/>
                      <w:numId w:val="0"/>
                    </w:numPr>
                    <w:ind w:leftChars="0"/>
                    <w:jc w:val="center"/>
                    <w:rPr>
                      <w:rFonts w:hint="default" w:eastAsia="宋体"/>
                      <w:kern w:val="0"/>
                      <w:sz w:val="20"/>
                      <w:lang w:val="en-US" w:eastAsia="zh-CN"/>
                    </w:rPr>
                  </w:pPr>
                </w:p>
                <w:p>
                  <w:pPr>
                    <w:widowControl/>
                    <w:numPr>
                      <w:ilvl w:val="0"/>
                      <w:numId w:val="0"/>
                    </w:numPr>
                    <w:ind w:leftChars="0"/>
                    <w:jc w:val="both"/>
                    <w:rPr>
                      <w:rFonts w:hint="default" w:eastAsia="宋体"/>
                      <w:kern w:val="0"/>
                      <w:sz w:val="20"/>
                      <w:lang w:val="en-US" w:eastAsia="zh-CN"/>
                    </w:rPr>
                  </w:pPr>
                  <w:r>
                    <w:rPr>
                      <w:rFonts w:hint="eastAsia" w:eastAsia="宋体"/>
                      <w:kern w:val="0"/>
                      <w:sz w:val="20"/>
                      <w:lang w:val="en-US" w:eastAsia="zh-CN"/>
                    </w:rPr>
                    <w:t>65.3</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r>
                    <w:rPr>
                      <w:rFonts w:hint="eastAsia" w:ascii="宋体" w:hAnsi="宋体" w:eastAsia="宋体" w:cs="宋体"/>
                      <w:b w:val="0"/>
                      <w:bCs/>
                      <w:kern w:val="0"/>
                      <w:sz w:val="20"/>
                    </w:rPr>
                    <w:t>住房保障支出</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11.3</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11.3</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lang w:val="en-US" w:eastAsia="zh-CN"/>
                    </w:rPr>
                  </w:pPr>
                </w:p>
                <w:p>
                  <w:pPr>
                    <w:widowControl/>
                    <w:jc w:val="center"/>
                    <w:rPr>
                      <w:rFonts w:eastAsia="宋体"/>
                      <w:kern w:val="0"/>
                      <w:sz w:val="20"/>
                    </w:rPr>
                  </w:pPr>
                  <w:r>
                    <w:rPr>
                      <w:rFonts w:hint="eastAsia" w:eastAsia="宋体"/>
                      <w:kern w:val="0"/>
                      <w:sz w:val="20"/>
                      <w:lang w:val="en-US" w:eastAsia="zh-CN"/>
                    </w:rPr>
                    <w:t>3.6</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3.6</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6.6</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6.6</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黑体"/>
                      <w:kern w:val="0"/>
                      <w:sz w:val="20"/>
                      <w:lang w:val="en-US" w:eastAsia="zh-CN"/>
                    </w:rPr>
                    <w:t>86.8</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黑体"/>
                      <w:kern w:val="0"/>
                      <w:sz w:val="20"/>
                      <w:lang w:val="en-US" w:eastAsia="zh-CN"/>
                    </w:rPr>
                    <w:t>86.8</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黑体"/>
                      <w:kern w:val="0"/>
                      <w:sz w:val="20"/>
                      <w:lang w:val="en-US" w:eastAsia="zh-CN"/>
                    </w:rPr>
                    <w:t>86.8</w:t>
                  </w:r>
                  <w:r>
                    <w:rPr>
                      <w:rFonts w:eastAsia="黑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黑体"/>
                      <w:kern w:val="0"/>
                      <w:sz w:val="20"/>
                      <w:lang w:val="en-US" w:eastAsia="zh-CN"/>
                    </w:rPr>
                    <w:t>86.8</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黑体"/>
                      <w:kern w:val="0"/>
                      <w:sz w:val="20"/>
                      <w:lang w:val="en-US" w:eastAsia="zh-CN"/>
                    </w:rPr>
                    <w:t>86.8</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黑体"/>
                      <w:kern w:val="0"/>
                      <w:sz w:val="20"/>
                      <w:lang w:val="en-US" w:eastAsia="zh-CN"/>
                    </w:rPr>
                  </w:pPr>
                  <w:r>
                    <w:rPr>
                      <w:rFonts w:hint="eastAsia" w:eastAsia="黑体"/>
                      <w:kern w:val="0"/>
                      <w:sz w:val="20"/>
                      <w:lang w:val="en-US" w:eastAsia="zh-CN"/>
                    </w:rPr>
                    <w:t>86.8</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eastAsia="宋体"/>
                      <w:kern w:val="0"/>
                      <w:sz w:val="20"/>
                      <w:lang w:val="en-US" w:eastAsia="zh-CN"/>
                    </w:rPr>
                  </w:pPr>
                </w:p>
                <w:p>
                  <w:pPr>
                    <w:widowControl/>
                    <w:jc w:val="both"/>
                    <w:rPr>
                      <w:rFonts w:eastAsia="宋体"/>
                      <w:kern w:val="0"/>
                      <w:sz w:val="20"/>
                    </w:rPr>
                  </w:pPr>
                  <w:r>
                    <w:rPr>
                      <w:rFonts w:hint="eastAsia" w:eastAsia="宋体"/>
                      <w:kern w:val="0"/>
                      <w:sz w:val="20"/>
                      <w:lang w:val="en-US" w:eastAsia="zh-CN"/>
                    </w:rPr>
                    <w:t>86.8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both"/>
                    <w:rPr>
                      <w:rFonts w:hint="eastAsia" w:eastAsia="宋体"/>
                      <w:kern w:val="0"/>
                      <w:sz w:val="20"/>
                      <w:lang w:val="en-US" w:eastAsia="zh-CN"/>
                    </w:rPr>
                  </w:pPr>
                </w:p>
                <w:p>
                  <w:pPr>
                    <w:widowControl/>
                    <w:jc w:val="both"/>
                    <w:rPr>
                      <w:rFonts w:hint="default" w:eastAsia="宋体"/>
                      <w:kern w:val="0"/>
                      <w:sz w:val="20"/>
                      <w:lang w:val="en-US" w:eastAsia="zh-CN"/>
                    </w:rPr>
                  </w:pPr>
                  <w:r>
                    <w:rPr>
                      <w:rFonts w:hint="eastAsia" w:eastAsia="宋体"/>
                      <w:kern w:val="0"/>
                      <w:sz w:val="20"/>
                      <w:lang w:val="en-US" w:eastAsia="zh-CN"/>
                    </w:rPr>
                    <w:t>86.8</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0"/>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10"/>
              <w:tblW w:w="8789" w:type="dxa"/>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default" w:eastAsia="宋体"/>
                      <w:color w:val="000000"/>
                      <w:kern w:val="0"/>
                      <w:sz w:val="20"/>
                      <w:lang w:val="en-US" w:eastAsia="zh-CN"/>
                    </w:rPr>
                  </w:pPr>
                  <w:r>
                    <w:rPr>
                      <w:rFonts w:eastAsia="宋体"/>
                      <w:color w:val="000000"/>
                      <w:kern w:val="0"/>
                      <w:sz w:val="20"/>
                    </w:rPr>
                    <w:t>一、一般公共</w:t>
                  </w:r>
                  <w:r>
                    <w:rPr>
                      <w:rFonts w:hint="eastAsia" w:eastAsia="宋体"/>
                      <w:color w:val="000000"/>
                      <w:kern w:val="0"/>
                      <w:sz w:val="20"/>
                      <w:lang w:val="en-US" w:eastAsia="zh-CN"/>
                    </w:rPr>
                    <w:t>预算支出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val="en-US" w:eastAsia="zh-CN"/>
                    </w:rPr>
                    <w:t>教育支出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val="en-US" w:eastAsia="zh-CN"/>
                    </w:rPr>
                    <w:t>普通教育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其他教育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lang w:val="en-US" w:eastAsia="zh-CN"/>
                    </w:rPr>
                    <w:t>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ascii="宋体" w:hAnsi="宋体" w:eastAsia="宋体" w:cs="宋体"/>
                      <w:b w:val="0"/>
                      <w:bCs/>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val="0"/>
                      <w:color w:val="auto"/>
                      <w:sz w:val="20"/>
                      <w:szCs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ascii="宋体" w:hAnsi="宋体" w:eastAsia="宋体" w:cs="宋体"/>
                      <w:b w:val="0"/>
                      <w:bCs/>
                      <w:kern w:val="0"/>
                      <w:sz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val="en-US" w:eastAsia="zh-CN"/>
                    </w:rPr>
                  </w:pPr>
                  <w:r>
                    <w:rPr>
                      <w:rFonts w:hint="eastAsia" w:ascii="宋体" w:hAnsi="宋体" w:eastAsia="宋体" w:cs="宋体"/>
                      <w:b w:val="0"/>
                      <w:bCs/>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val="en-US" w:eastAsia="zh-CN"/>
                    </w:rPr>
                  </w:pPr>
                  <w:r>
                    <w:rPr>
                      <w:rFonts w:hint="eastAsia" w:ascii="宋体" w:hAnsi="宋体" w:eastAsia="宋体" w:cs="宋体"/>
                      <w:b w:val="0"/>
                      <w:bCs/>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eastAsia="宋体"/>
                      <w:color w:val="000000"/>
                      <w:kern w:val="0"/>
                      <w:sz w:val="20"/>
                      <w:lang w:val="en-US" w:eastAsia="zh-CN"/>
                    </w:rPr>
                  </w:pPr>
                  <w:r>
                    <w:rPr>
                      <w:rFonts w:hint="eastAsia" w:ascii="宋体" w:hAnsi="宋体" w:eastAsia="宋体" w:cs="宋体"/>
                      <w:b w:val="0"/>
                      <w:bCs/>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ascii="宋体" w:hAnsi="宋体" w:eastAsia="宋体" w:cs="宋体"/>
                      <w:b w:val="0"/>
                      <w:bCs/>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b w:val="0"/>
                      <w:bCs/>
                      <w:kern w:val="0"/>
                      <w:sz w:val="20"/>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89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65"/>
        <w:gridCol w:w="2212"/>
        <w:gridCol w:w="1698"/>
        <w:gridCol w:w="1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jc w:val="center"/>
        </w:trPr>
        <w:tc>
          <w:tcPr>
            <w:tcW w:w="8900"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3165"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12"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23"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3165"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12"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698"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86.8</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仿宋_GB2312"/>
                <w:sz w:val="20"/>
                <w:szCs w:val="20"/>
                <w:lang w:val="en-US" w:eastAsia="zh-CN"/>
              </w:rPr>
            </w:pPr>
            <w:r>
              <w:rPr>
                <w:rFonts w:hint="eastAsia"/>
                <w:sz w:val="20"/>
                <w:szCs w:val="20"/>
                <w:lang w:val="en-US" w:eastAsia="zh-CN"/>
              </w:rPr>
              <w:t>82</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32.9</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32.9</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1.8</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5.8</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5.8</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绩效</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14.3</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14.3</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rPr>
              <w:t>　机关事业单位基本养老保险缴费</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8.7</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8.7</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Arial" w:hAnsi="Arial" w:eastAsia="宋体" w:cs="Arial"/>
                <w:i w:val="0"/>
                <w:iCs w:val="0"/>
                <w:color w:val="000000"/>
                <w:kern w:val="0"/>
                <w:sz w:val="20"/>
                <w:szCs w:val="20"/>
                <w:u w:val="none"/>
                <w:lang w:val="en-US" w:eastAsia="zh-CN"/>
              </w:rPr>
            </w:pPr>
            <w:r>
              <w:rPr>
                <w:rFonts w:hint="default" w:ascii="Arial" w:hAnsi="Arial" w:eastAsia="宋体" w:cs="Arial"/>
                <w:i w:val="0"/>
                <w:iCs w:val="0"/>
                <w:color w:val="000000"/>
                <w:kern w:val="0"/>
                <w:sz w:val="20"/>
                <w:szCs w:val="20"/>
                <w:u w:val="none"/>
                <w:lang w:val="en-US" w:eastAsia="zh-CN"/>
              </w:rPr>
              <w:t>　职业年金缴费</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rPr>
              <w:t>　</w:t>
            </w:r>
            <w:r>
              <w:rPr>
                <w:rFonts w:hint="eastAsia" w:ascii="Arial" w:hAnsi="Arial" w:eastAsia="宋体" w:cs="Arial"/>
                <w:i w:val="0"/>
                <w:iCs w:val="0"/>
                <w:color w:val="000000"/>
                <w:kern w:val="0"/>
                <w:sz w:val="20"/>
                <w:szCs w:val="20"/>
                <w:u w:val="none"/>
                <w:lang w:val="en-US" w:eastAsia="zh-CN"/>
              </w:rPr>
              <w:t>2.2</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textAlignment w:val="center"/>
              <w:rPr>
                <w:rFonts w:hint="default" w:eastAsia="宋体"/>
                <w:kern w:val="0"/>
                <w:sz w:val="20"/>
                <w:lang w:val="en-US" w:eastAsia="zh-CN"/>
              </w:rPr>
            </w:pPr>
            <w:r>
              <w:rPr>
                <w:rFonts w:hint="eastAsia" w:eastAsia="宋体"/>
                <w:kern w:val="0"/>
                <w:sz w:val="20"/>
                <w:lang w:val="en-US" w:eastAsia="zh-CN"/>
              </w:rPr>
              <w:t>2.2</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textAlignment w:val="center"/>
            </w:pPr>
            <w:r>
              <w:rPr>
                <w:rFonts w:hint="default" w:ascii="Arial" w:hAnsi="Arial" w:eastAsia="宋体" w:cs="Arial"/>
                <w:i w:val="0"/>
                <w:iCs w:val="0"/>
                <w:color w:val="000000"/>
                <w:kern w:val="0"/>
                <w:sz w:val="20"/>
                <w:szCs w:val="20"/>
                <w:u w:val="none"/>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住房公积金</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6.6</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6.6</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rPr>
              <w:t>　职工基本医疗保险缴费</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3.5</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3.5</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rPr>
              <w:t>　其他社会保障缴费</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退休费</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2.5</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生活补助</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2.6</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0.6</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w:t>
            </w: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kern w:val="0"/>
                <w:sz w:val="20"/>
              </w:rPr>
            </w:pPr>
            <w:r>
              <w:rPr>
                <w:rFonts w:eastAsia="宋体"/>
                <w:color w:val="000000"/>
                <w:sz w:val="20"/>
              </w:rPr>
              <w:t>二、商品和服务支出</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4.8</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仿宋_GB2312"/>
                <w:sz w:val="20"/>
                <w:szCs w:val="20"/>
                <w:lang w:val="en-US" w:eastAsia="zh-CN"/>
              </w:rPr>
            </w:pPr>
            <w:r>
              <w:rPr>
                <w:rFonts w:hint="eastAsia"/>
                <w:sz w:val="20"/>
                <w:szCs w:val="20"/>
                <w:lang w:val="en-US" w:eastAsia="zh-CN"/>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宋体"/>
                <w:kern w:val="0"/>
                <w:sz w:val="20"/>
                <w:lang w:val="en-US" w:eastAsia="zh-CN"/>
              </w:rPr>
            </w:pPr>
            <w:r>
              <w:rPr>
                <w:rFonts w:hint="eastAsia" w:eastAsia="宋体"/>
                <w:kern w:val="0"/>
                <w:sz w:val="20"/>
                <w:lang w:val="en-US" w:eastAsia="zh-CN"/>
              </w:rPr>
              <w:t>2.3</w:t>
            </w:r>
          </w:p>
        </w:tc>
        <w:tc>
          <w:tcPr>
            <w:tcW w:w="169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c>
          <w:tcPr>
            <w:tcW w:w="182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rPr>
                <w:rFonts w:hint="default" w:eastAsia="仿宋_GB2312"/>
                <w:sz w:val="20"/>
                <w:szCs w:val="20"/>
                <w:lang w:val="en-US" w:eastAsia="zh-CN"/>
              </w:rPr>
            </w:pPr>
            <w:r>
              <w:rPr>
                <w:rFonts w:hint="eastAsia"/>
                <w:sz w:val="20"/>
                <w:szCs w:val="20"/>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6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val="en-US" w:eastAsia="zh-CN"/>
              </w:rPr>
              <w:t>维护费</w:t>
            </w:r>
          </w:p>
        </w:tc>
        <w:tc>
          <w:tcPr>
            <w:tcW w:w="221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1.0</w:t>
            </w:r>
          </w:p>
        </w:tc>
        <w:tc>
          <w:tcPr>
            <w:tcW w:w="1698"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82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仿宋_GB2312"/>
                <w:sz w:val="20"/>
                <w:szCs w:val="20"/>
                <w:lang w:val="en-US" w:eastAsia="zh-CN"/>
              </w:rPr>
            </w:pPr>
            <w:r>
              <w:rPr>
                <w:rFonts w:hint="eastAsia"/>
                <w:sz w:val="20"/>
                <w:szCs w:val="2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jc w:val="center"/>
        </w:trPr>
        <w:tc>
          <w:tcPr>
            <w:tcW w:w="3165"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办公设备购置</w:t>
            </w:r>
          </w:p>
        </w:tc>
        <w:tc>
          <w:tcPr>
            <w:tcW w:w="2212"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1.5</w:t>
            </w:r>
          </w:p>
        </w:tc>
        <w:tc>
          <w:tcPr>
            <w:tcW w:w="1698" w:type="dxa"/>
            <w:tcBorders>
              <w:top w:val="single" w:color="auto" w:sz="4" w:space="0"/>
              <w:left w:val="single" w:color="auto" w:sz="4" w:space="0"/>
              <w:bottom w:val="single" w:color="auto" w:sz="4" w:space="0"/>
              <w:right w:val="single" w:color="auto" w:sz="4" w:space="0"/>
            </w:tcBorders>
            <w:vAlign w:val="top"/>
          </w:tcPr>
          <w:p>
            <w:pPr>
              <w:widowControl/>
              <w:jc w:val="right"/>
            </w:pPr>
          </w:p>
        </w:tc>
        <w:tc>
          <w:tcPr>
            <w:tcW w:w="182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仿宋_GB2312"/>
                <w:sz w:val="20"/>
                <w:szCs w:val="20"/>
                <w:lang w:val="en-US" w:eastAsia="zh-CN"/>
              </w:rPr>
            </w:pPr>
            <w:r>
              <w:rPr>
                <w:rFonts w:hint="eastAsia"/>
                <w:sz w:val="20"/>
                <w:szCs w:val="20"/>
                <w:lang w:val="en-US" w:eastAsia="zh-CN"/>
              </w:rPr>
              <w:t>1.5</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0"/>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541" w:tblpY="2182"/>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4" w:hRule="atLeast"/>
        </w:trPr>
        <w:tc>
          <w:tcPr>
            <w:tcW w:w="8789" w:type="dxa"/>
            <w:gridSpan w:val="4"/>
            <w:tcBorders>
              <w:bottom w:val="single" w:color="000000" w:sz="4" w:space="0"/>
            </w:tcBorders>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rPr>
          <w:rFonts w:ascii="Times New Roman" w:hAnsi="Times New Roman" w:eastAsia="仿宋_GB2312" w:cs="Times New Roman"/>
          <w:kern w:val="2"/>
          <w:sz w:val="32"/>
          <w:lang w:val="en-US" w:eastAsia="zh-CN" w:bidi="ar-SA"/>
        </w:rPr>
      </w:pPr>
    </w:p>
    <w:tbl>
      <w:tblPr>
        <w:tblStyle w:val="10"/>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0"/>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29.14</w:t>
      </w:r>
      <w:r>
        <w:rPr>
          <w:rFonts w:hint="eastAsia" w:ascii="仿宋_GB2312" w:hAnsi="仿宋_GB2312" w:eastAsia="仿宋_GB2312" w:cs="仿宋_GB2312"/>
          <w:szCs w:val="32"/>
        </w:rPr>
        <w:t>_______万元，主要原因是___</w:t>
      </w:r>
      <w:r>
        <w:rPr>
          <w:rFonts w:hint="eastAsia" w:ascii="仿宋_GB2312" w:hAnsi="仿宋_GB2312" w:cs="仿宋_GB2312"/>
          <w:szCs w:val="32"/>
          <w:lang w:val="en-US" w:eastAsia="zh-CN"/>
        </w:rPr>
        <w:t>人员减少</w:t>
      </w:r>
      <w:r>
        <w:rPr>
          <w:rFonts w:hint="eastAsia" w:ascii="仿宋_GB2312" w:hAnsi="仿宋_GB2312" w:eastAsia="仿宋_GB2312" w:cs="仿宋_GB2312"/>
          <w:szCs w:val="32"/>
        </w:rPr>
        <w:t>__。</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__万元，其中：本年收入__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___万元，占_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__%；上年结转_____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_____%。本年收入中，一般公共预算拨款收入___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__%；政府性基金预算拨款收入____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___%；国有资本经营预算拨款收入_____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____%；财政专户管理资金收入___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____%；事业收入__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_____%；上级补助收入___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___%；附属单位上缴收入__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_____%；事业单位经营收入_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____%；其他收入__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____%。上年结转中，一般公共预算拨款结转__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____%；政府性基金预算拨款结转___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___%；财政专户管理资金结转结余____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____%；单位资金结转___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__%；用事业基金弥补收支差额_____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_____万元，其中：基本支出__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_____万元，占___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____%；项目支出____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_____%；事业单位经营支出___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_____%；上缴上级支出__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_______%；对附属单位补助支出____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_____万元，其中：本年收入___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____万元，上年结转__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65.3</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11.3</w:t>
      </w:r>
      <w:r>
        <w:rPr>
          <w:rFonts w:hint="eastAsia" w:ascii="仿宋_GB2312" w:hAnsi="仿宋_GB2312" w:eastAsia="仿宋_GB2312" w:cs="仿宋_GB2312"/>
          <w:szCs w:val="32"/>
        </w:rPr>
        <w:t>______万元，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3.6</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6.6</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_____万元，灾害防治及应急管理支出____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___万元，其中：基本支出_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__%；项目支出_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__%。基本支出中，人员经费_</w:t>
      </w:r>
      <w:r>
        <w:rPr>
          <w:rFonts w:hint="eastAsia" w:ascii="仿宋_GB2312" w:hAnsi="仿宋_GB2312" w:cs="仿宋_GB2312"/>
          <w:szCs w:val="32"/>
          <w:lang w:val="en-US" w:eastAsia="zh-CN"/>
        </w:rPr>
        <w:t>82</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94</w:t>
      </w:r>
      <w:r>
        <w:rPr>
          <w:rFonts w:hint="eastAsia" w:ascii="仿宋_GB2312" w:hAnsi="仿宋_GB2312" w:eastAsia="仿宋_GB2312" w:cs="仿宋_GB2312"/>
          <w:szCs w:val="32"/>
        </w:rPr>
        <w:t>___%；公用经费_</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6</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___万元，占_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w:t>
      </w:r>
      <w:r>
        <w:rPr>
          <w:rFonts w:hint="eastAsia" w:ascii="仿宋_GB2312" w:hAnsi="仿宋_GB2312" w:cs="仿宋_GB2312"/>
          <w:szCs w:val="32"/>
          <w:lang w:val="en-US" w:eastAsia="zh-CN"/>
        </w:rPr>
        <w:t>65.3</w:t>
      </w:r>
      <w:r>
        <w:rPr>
          <w:rFonts w:hint="eastAsia" w:ascii="仿宋_GB2312" w:hAnsi="仿宋_GB2312" w:eastAsia="仿宋_GB2312" w:cs="仿宋_GB2312"/>
          <w:szCs w:val="32"/>
        </w:rPr>
        <w:t>____万元，占_</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w:t>
      </w:r>
      <w:r>
        <w:rPr>
          <w:rFonts w:hint="eastAsia" w:ascii="仿宋_GB2312" w:hAnsi="仿宋_GB2312" w:cs="仿宋_GB2312"/>
          <w:szCs w:val="32"/>
          <w:lang w:val="en-US" w:eastAsia="zh-CN"/>
        </w:rPr>
        <w:t>11.3</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住房保障（类）支出__</w:t>
      </w:r>
      <w:r>
        <w:rPr>
          <w:rFonts w:hint="eastAsia" w:ascii="仿宋_GB2312" w:hAnsi="仿宋_GB2312" w:cs="仿宋_GB2312"/>
          <w:szCs w:val="32"/>
          <w:lang w:val="en-US" w:eastAsia="zh-CN"/>
        </w:rPr>
        <w:t>6.6</w:t>
      </w:r>
      <w:r>
        <w:rPr>
          <w:rFonts w:hint="eastAsia" w:ascii="仿宋_GB2312" w:hAnsi="仿宋_GB2312" w:eastAsia="仿宋_GB2312" w:cs="仿宋_GB2312"/>
          <w:szCs w:val="32"/>
        </w:rPr>
        <w:t>___万元，占_</w:t>
      </w:r>
      <w:r>
        <w:rPr>
          <w:rFonts w:hint="eastAsia" w:ascii="仿宋_GB2312" w:hAnsi="仿宋_GB2312" w:cs="仿宋_GB2312"/>
          <w:szCs w:val="32"/>
          <w:lang w:val="en-US" w:eastAsia="zh-CN"/>
        </w:rPr>
        <w:t>8</w:t>
      </w:r>
      <w:r>
        <w:rPr>
          <w:rFonts w:hint="eastAsia" w:ascii="仿宋_GB2312" w:hAnsi="仿宋_GB2312" w:eastAsia="仿宋_GB2312" w:cs="仿宋_GB2312"/>
          <w:szCs w:val="32"/>
        </w:rPr>
        <w:t>____%，主要用于_____________________。</w:t>
      </w:r>
    </w:p>
    <w:p>
      <w:pPr>
        <w:spacing w:line="520" w:lineRule="exact"/>
        <w:ind w:firstLine="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年一般公共预算基本支出___</w:t>
      </w:r>
      <w:r>
        <w:rPr>
          <w:rFonts w:hint="eastAsia" w:ascii="仿宋_GB2312" w:hAnsi="仿宋_GB2312" w:cs="仿宋_GB2312"/>
          <w:szCs w:val="32"/>
          <w:lang w:val="en-US" w:eastAsia="zh-CN"/>
        </w:rPr>
        <w:t>86.8</w:t>
      </w:r>
      <w:r>
        <w:rPr>
          <w:rFonts w:hint="eastAsia" w:ascii="仿宋_GB2312" w:hAnsi="仿宋_GB2312" w:eastAsia="仿宋_GB2312" w:cs="仿宋_GB2312"/>
          <w:szCs w:val="32"/>
        </w:rPr>
        <w:t>____万元，其中：</w:t>
      </w:r>
      <w:bookmarkStart w:id="0" w:name="_GoBack"/>
      <w:bookmarkEnd w:id="0"/>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人员经费__</w:t>
      </w:r>
      <w:r>
        <w:rPr>
          <w:rFonts w:hint="eastAsia" w:ascii="仿宋_GB2312" w:hAnsi="仿宋_GB2312" w:cs="仿宋_GB2312"/>
          <w:szCs w:val="32"/>
          <w:lang w:val="en-US" w:eastAsia="zh-CN"/>
        </w:rPr>
        <w:t>82</w:t>
      </w:r>
      <w:r>
        <w:rPr>
          <w:rFonts w:hint="eastAsia" w:ascii="仿宋_GB2312" w:hAnsi="仿宋_GB2312" w:eastAsia="仿宋_GB2312" w:cs="仿宋_GB2312"/>
          <w:szCs w:val="32"/>
        </w:rPr>
        <w:t>_____万元，主要包括：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______万元，主要包括：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5C0290E"/>
    <w:rsid w:val="063949A0"/>
    <w:rsid w:val="067960C1"/>
    <w:rsid w:val="06BD5BC7"/>
    <w:rsid w:val="07D21289"/>
    <w:rsid w:val="07F544B0"/>
    <w:rsid w:val="089E306A"/>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E96C0C"/>
    <w:rsid w:val="15F848D0"/>
    <w:rsid w:val="160E1FA5"/>
    <w:rsid w:val="160F2600"/>
    <w:rsid w:val="168E506D"/>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7C82253"/>
    <w:rsid w:val="28A63332"/>
    <w:rsid w:val="29C45F24"/>
    <w:rsid w:val="2C7F577D"/>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0C92E9C"/>
    <w:rsid w:val="41A35364"/>
    <w:rsid w:val="41C31686"/>
    <w:rsid w:val="42982B4E"/>
    <w:rsid w:val="436B1E42"/>
    <w:rsid w:val="43993170"/>
    <w:rsid w:val="44054362"/>
    <w:rsid w:val="449C5E6A"/>
    <w:rsid w:val="456D114B"/>
    <w:rsid w:val="45EB670F"/>
    <w:rsid w:val="46AB7C0D"/>
    <w:rsid w:val="46C93BD4"/>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200610"/>
    <w:rsid w:val="54741940"/>
    <w:rsid w:val="54810E66"/>
    <w:rsid w:val="54C2556E"/>
    <w:rsid w:val="55480EEF"/>
    <w:rsid w:val="56570E30"/>
    <w:rsid w:val="57AB6139"/>
    <w:rsid w:val="57AE5C26"/>
    <w:rsid w:val="57DD75A9"/>
    <w:rsid w:val="58256ABD"/>
    <w:rsid w:val="59472AC7"/>
    <w:rsid w:val="59BD150F"/>
    <w:rsid w:val="59DD570D"/>
    <w:rsid w:val="59FF5EDC"/>
    <w:rsid w:val="5A084708"/>
    <w:rsid w:val="5A4B3787"/>
    <w:rsid w:val="5AB343F7"/>
    <w:rsid w:val="5ABF50F2"/>
    <w:rsid w:val="5AF76904"/>
    <w:rsid w:val="5B052E7A"/>
    <w:rsid w:val="5B3D7F7E"/>
    <w:rsid w:val="5B7C7777"/>
    <w:rsid w:val="5B9462A0"/>
    <w:rsid w:val="5BEC6771"/>
    <w:rsid w:val="5CA506B9"/>
    <w:rsid w:val="5CFD5FB2"/>
    <w:rsid w:val="5D2B52D8"/>
    <w:rsid w:val="5D5A7C63"/>
    <w:rsid w:val="5E256F6F"/>
    <w:rsid w:val="5F6235A9"/>
    <w:rsid w:val="60090BFB"/>
    <w:rsid w:val="614125C2"/>
    <w:rsid w:val="624C5C52"/>
    <w:rsid w:val="63952BB5"/>
    <w:rsid w:val="63DF08E4"/>
    <w:rsid w:val="64127E15"/>
    <w:rsid w:val="64C04AFD"/>
    <w:rsid w:val="661A7B69"/>
    <w:rsid w:val="664909C1"/>
    <w:rsid w:val="66C63EB5"/>
    <w:rsid w:val="677772D0"/>
    <w:rsid w:val="679461D3"/>
    <w:rsid w:val="6858287E"/>
    <w:rsid w:val="690A12E3"/>
    <w:rsid w:val="69157114"/>
    <w:rsid w:val="691A443E"/>
    <w:rsid w:val="6A80735F"/>
    <w:rsid w:val="6ACC5E47"/>
    <w:rsid w:val="6AD43ED1"/>
    <w:rsid w:val="6B11024D"/>
    <w:rsid w:val="6B6960C2"/>
    <w:rsid w:val="6B7D5B36"/>
    <w:rsid w:val="6CF120A8"/>
    <w:rsid w:val="6D1322AE"/>
    <w:rsid w:val="714213DD"/>
    <w:rsid w:val="717F272E"/>
    <w:rsid w:val="728027C6"/>
    <w:rsid w:val="72D54D7C"/>
    <w:rsid w:val="737664E0"/>
    <w:rsid w:val="73FE7ACC"/>
    <w:rsid w:val="74053F35"/>
    <w:rsid w:val="74556746"/>
    <w:rsid w:val="74AB7A24"/>
    <w:rsid w:val="76BB79B1"/>
    <w:rsid w:val="76C17E06"/>
    <w:rsid w:val="76CA67BD"/>
    <w:rsid w:val="774E6400"/>
    <w:rsid w:val="775B0046"/>
    <w:rsid w:val="77B42AEB"/>
    <w:rsid w:val="78796248"/>
    <w:rsid w:val="79700BEF"/>
    <w:rsid w:val="79F85634"/>
    <w:rsid w:val="7A090695"/>
    <w:rsid w:val="7AE175F4"/>
    <w:rsid w:val="7B417685"/>
    <w:rsid w:val="7B5220F0"/>
    <w:rsid w:val="7BA169C0"/>
    <w:rsid w:val="7BE95D3C"/>
    <w:rsid w:val="7CAD595B"/>
    <w:rsid w:val="7CF65D07"/>
    <w:rsid w:val="7D2975D1"/>
    <w:rsid w:val="7DCC0CD6"/>
    <w:rsid w:val="7EA640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77"/>
    <w:qFormat/>
    <w:uiPriority w:val="0"/>
    <w:rPr>
      <w:sz w:val="18"/>
      <w:szCs w:val="18"/>
    </w:rPr>
  </w:style>
  <w:style w:type="paragraph" w:styleId="7">
    <w:name w:val="footer"/>
    <w:basedOn w:val="1"/>
    <w:link w:val="78"/>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paragraph" w:customStyle="1" w:styleId="14">
    <w:name w:val="Char"/>
    <w:basedOn w:val="1"/>
    <w:qFormat/>
    <w:uiPriority w:val="0"/>
    <w:rPr>
      <w:rFonts w:eastAsia="宋体"/>
      <w:sz w:val="21"/>
      <w:szCs w:val="21"/>
    </w:rPr>
  </w:style>
  <w:style w:type="paragraph" w:customStyle="1" w:styleId="15">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7">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8">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9">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2">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正文文本 21"/>
    <w:basedOn w:val="1"/>
    <w:qFormat/>
    <w:uiPriority w:val="0"/>
    <w:pPr>
      <w:adjustRightInd w:val="0"/>
      <w:ind w:firstLine="630"/>
      <w:jc w:val="left"/>
      <w:textAlignment w:val="baseline"/>
    </w:pPr>
    <w:rPr>
      <w:rFonts w:eastAsia="黑体"/>
    </w:rPr>
  </w:style>
  <w:style w:type="paragraph" w:customStyle="1" w:styleId="30">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6">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p0"/>
    <w:basedOn w:val="1"/>
    <w:qFormat/>
    <w:uiPriority w:val="0"/>
    <w:pPr>
      <w:widowControl/>
    </w:pPr>
    <w:rPr>
      <w:rFonts w:eastAsia="宋体"/>
      <w:kern w:val="0"/>
      <w:szCs w:val="32"/>
    </w:rPr>
  </w:style>
  <w:style w:type="paragraph" w:customStyle="1" w:styleId="46">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0">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7">
    <w:name w:val="批注框文本 字符"/>
    <w:link w:val="6"/>
    <w:qFormat/>
    <w:uiPriority w:val="0"/>
    <w:rPr>
      <w:rFonts w:eastAsia="仿宋_GB2312"/>
      <w:kern w:val="2"/>
      <w:sz w:val="18"/>
      <w:szCs w:val="18"/>
    </w:rPr>
  </w:style>
  <w:style w:type="character" w:customStyle="1" w:styleId="78">
    <w:name w:val="页脚 字符"/>
    <w:link w:val="7"/>
    <w:qFormat/>
    <w:uiPriority w:val="0"/>
    <w:rPr>
      <w:rFonts w:eastAsia="仿宋_GB2312"/>
      <w:kern w:val="2"/>
      <w:sz w:val="18"/>
    </w:rPr>
  </w:style>
  <w:style w:type="character" w:customStyle="1" w:styleId="79">
    <w:name w:val="font11"/>
    <w:qFormat/>
    <w:uiPriority w:val="0"/>
    <w:rPr>
      <w:rFonts w:hint="default" w:ascii="Arial" w:hAnsi="Arial" w:cs="Arial"/>
      <w:color w:val="000000"/>
      <w:sz w:val="24"/>
      <w:szCs w:val="24"/>
      <w:u w:val="none"/>
    </w:rPr>
  </w:style>
  <w:style w:type="character" w:customStyle="1" w:styleId="80">
    <w:name w:val="font61"/>
    <w:qFormat/>
    <w:uiPriority w:val="0"/>
    <w:rPr>
      <w:rFonts w:hint="eastAsia" w:ascii="宋体" w:hAnsi="宋体" w:eastAsia="宋体" w:cs="宋体"/>
      <w:color w:val="000000"/>
      <w:sz w:val="24"/>
      <w:szCs w:val="24"/>
      <w:u w:val="none"/>
    </w:rPr>
  </w:style>
  <w:style w:type="character" w:customStyle="1" w:styleId="81">
    <w:name w:val="font01"/>
    <w:qFormat/>
    <w:uiPriority w:val="0"/>
    <w:rPr>
      <w:rFonts w:hint="default" w:ascii="Times New Roman" w:hAnsi="Times New Roman" w:cs="Times New Roman"/>
      <w:color w:val="000000"/>
      <w:sz w:val="24"/>
      <w:szCs w:val="24"/>
      <w:u w:val="none"/>
    </w:rPr>
  </w:style>
  <w:style w:type="character" w:customStyle="1" w:styleId="82">
    <w:name w:val="font41"/>
    <w:qFormat/>
    <w:uiPriority w:val="0"/>
    <w:rPr>
      <w:rFonts w:hint="default" w:ascii="华文细黑" w:hAnsi="华文细黑" w:eastAsia="华文细黑" w:cs="华文细黑"/>
      <w:color w:val="000000"/>
      <w:sz w:val="20"/>
      <w:szCs w:val="20"/>
      <w:u w:val="none"/>
    </w:rPr>
  </w:style>
  <w:style w:type="character" w:customStyle="1" w:styleId="83">
    <w:name w:val="font21"/>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7045</Words>
  <Characters>9256</Characters>
  <Lines>71</Lines>
  <Paragraphs>20</Paragraphs>
  <TotalTime>1</TotalTime>
  <ScaleCrop>false</ScaleCrop>
  <LinksUpToDate>false</LinksUpToDate>
  <CharactersWithSpaces>9838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2024-01-29T06:00:19Z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409849E81BB644C3B6F6AFEE07353EFF_13</vt:lpwstr>
  </property>
</Properties>
</file>