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黑体"/>
          <w:color w:val="auto"/>
          <w:sz w:val="44"/>
          <w:szCs w:val="44"/>
          <w:u w:val="single" w:color="auto"/>
          <w:lang w:val="en-US" w:eastAsia="zh-CN"/>
        </w:rPr>
        <w:t>通榆县学校后勤管理中心</w:t>
      </w:r>
      <w:r>
        <w:rPr>
          <w:rFonts w:eastAsia="方正小标宋简体"/>
          <w:color w:val="auto"/>
          <w:sz w:val="44"/>
          <w:szCs w:val="44"/>
          <w:u w:val="single" w:color="auto"/>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76"/>
        <w:ind w:left="626" w:leftChars="130" w:hanging="210" w:hangingChars="100"/>
        <w:rPr>
          <w:rFonts w:hint="eastAsia" w:ascii="楷体" w:hAnsi="楷体" w:eastAsia="楷体" w:cs="楷体"/>
          <w:sz w:val="32"/>
          <w:szCs w:val="32"/>
          <w:highlight w:val="none"/>
        </w:rPr>
      </w:pPr>
      <w:r>
        <w:rPr>
          <w:rFonts w:hint="eastAsia"/>
          <w:color w:val="000000"/>
          <w:szCs w:val="32"/>
          <w:lang w:val="en-US" w:eastAsia="zh-CN"/>
        </w:rPr>
        <w:t xml:space="preserve">  </w:t>
      </w:r>
      <w:r>
        <w:rPr>
          <w:rFonts w:hint="eastAsia" w:ascii="楷体" w:hAnsi="楷体" w:eastAsia="楷体" w:cs="楷体"/>
          <w:sz w:val="32"/>
          <w:szCs w:val="32"/>
          <w:highlight w:val="none"/>
        </w:rPr>
        <w:t>1、</w:t>
      </w:r>
      <w:r>
        <w:rPr>
          <w:rFonts w:hint="eastAsia" w:ascii="楷体" w:hAnsi="楷体" w:eastAsia="楷体" w:cs="楷体"/>
          <w:sz w:val="32"/>
          <w:szCs w:val="32"/>
        </w:rPr>
        <w:t>承担学校后勤管理监督、指导、考核、服务和陪训工作，开展后勤管理理论研究。</w:t>
      </w:r>
    </w:p>
    <w:p>
      <w:pPr>
        <w:pStyle w:val="76"/>
        <w:numPr>
          <w:numId w:val="0"/>
        </w:numPr>
        <w:ind w:firstLine="640" w:firstLineChars="200"/>
        <w:rPr>
          <w:rFonts w:hint="eastAsia" w:ascii="楷体" w:hAnsi="楷体" w:eastAsia="楷体" w:cs="楷体"/>
          <w:sz w:val="32"/>
          <w:szCs w:val="32"/>
        </w:rPr>
      </w:pPr>
      <w:r>
        <w:rPr>
          <w:rFonts w:hint="eastAsia" w:ascii="楷体" w:hAnsi="楷体" w:eastAsia="楷体" w:cs="楷体"/>
          <w:sz w:val="32"/>
          <w:szCs w:val="32"/>
          <w:highlight w:val="none"/>
          <w:lang w:val="en-US" w:eastAsia="zh-CN"/>
        </w:rPr>
        <w:t>2、</w:t>
      </w:r>
      <w:r>
        <w:rPr>
          <w:rFonts w:hint="eastAsia" w:ascii="楷体" w:hAnsi="楷体" w:eastAsia="楷体" w:cs="楷体"/>
          <w:sz w:val="32"/>
          <w:szCs w:val="32"/>
        </w:rPr>
        <w:t>指导学校劳动实践基地建设和勤工俭学工作。</w:t>
      </w:r>
    </w:p>
    <w:p>
      <w:pPr>
        <w:pStyle w:val="76"/>
        <w:numPr>
          <w:numId w:val="0"/>
        </w:numPr>
        <w:ind w:left="640" w:leftChars="200" w:firstLine="0" w:firstLineChars="0"/>
        <w:rPr>
          <w:rFonts w:hint="eastAsia" w:ascii="楷体" w:hAnsi="楷体" w:eastAsia="楷体" w:cs="楷体"/>
          <w:sz w:val="32"/>
          <w:szCs w:val="32"/>
        </w:rPr>
      </w:pPr>
      <w:r>
        <w:rPr>
          <w:rFonts w:hint="eastAsia" w:ascii="楷体" w:hAnsi="楷体" w:eastAsia="楷体" w:cs="楷体"/>
          <w:sz w:val="32"/>
          <w:szCs w:val="32"/>
          <w:lang w:val="en-US" w:eastAsia="zh-CN"/>
        </w:rPr>
        <w:t>3、</w:t>
      </w:r>
      <w:r>
        <w:rPr>
          <w:rFonts w:hint="eastAsia" w:ascii="楷体" w:hAnsi="楷体" w:eastAsia="楷体" w:cs="楷体"/>
          <w:sz w:val="32"/>
          <w:szCs w:val="32"/>
        </w:rPr>
        <w:t>协调落实校园治安、消防、食品、饮用水、用电等安全工作及卫生传染病防控工作，组织开展校园安全隐患排查和校园安全教育培训工作。</w:t>
      </w:r>
    </w:p>
    <w:p>
      <w:pPr>
        <w:pStyle w:val="76"/>
        <w:numPr>
          <w:numId w:val="0"/>
        </w:numPr>
        <w:ind w:left="720" w:leftChars="0"/>
        <w:rPr>
          <w:rFonts w:hint="eastAsia" w:ascii="楷体" w:hAnsi="楷体" w:eastAsia="楷体" w:cs="楷体"/>
          <w:sz w:val="32"/>
          <w:szCs w:val="32"/>
        </w:rPr>
      </w:pPr>
      <w:r>
        <w:rPr>
          <w:rFonts w:hint="eastAsia" w:ascii="楷体" w:hAnsi="楷体" w:eastAsia="楷体" w:cs="楷体"/>
          <w:sz w:val="32"/>
          <w:szCs w:val="32"/>
          <w:lang w:val="en-US" w:eastAsia="zh-CN"/>
        </w:rPr>
        <w:t>4、</w:t>
      </w:r>
      <w:r>
        <w:rPr>
          <w:rFonts w:hint="eastAsia" w:ascii="楷体" w:hAnsi="楷体" w:eastAsia="楷体" w:cs="楷体"/>
          <w:sz w:val="32"/>
          <w:szCs w:val="32"/>
        </w:rPr>
        <w:t>组织开展校车运行监督、管理、考核工作，推进校车监控网络建设，定期开展校车安全检查。</w:t>
      </w:r>
    </w:p>
    <w:p>
      <w:pPr>
        <w:pStyle w:val="76"/>
        <w:numPr>
          <w:numId w:val="0"/>
        </w:numPr>
        <w:ind w:left="720" w:leftChars="0"/>
        <w:rPr>
          <w:rFonts w:hint="eastAsia" w:ascii="楷体" w:hAnsi="楷体" w:eastAsia="楷体" w:cs="楷体"/>
          <w:sz w:val="32"/>
          <w:szCs w:val="32"/>
        </w:rPr>
      </w:pPr>
      <w:r>
        <w:rPr>
          <w:rFonts w:hint="eastAsia" w:ascii="楷体" w:hAnsi="楷体" w:eastAsia="楷体" w:cs="楷体"/>
          <w:sz w:val="32"/>
          <w:szCs w:val="32"/>
          <w:lang w:val="en-US" w:eastAsia="zh-CN"/>
        </w:rPr>
        <w:t>5、</w:t>
      </w:r>
      <w:r>
        <w:rPr>
          <w:rFonts w:hint="eastAsia" w:ascii="楷体" w:hAnsi="楷体" w:eastAsia="楷体" w:cs="楷体"/>
          <w:sz w:val="32"/>
          <w:szCs w:val="32"/>
        </w:rPr>
        <w:t>协调落实生源地助学贷款、学前资助、捐资助学、学生用品采购及学生医疗保险、意外伤害保险的指导服务工作。</w:t>
      </w:r>
    </w:p>
    <w:p>
      <w:pPr>
        <w:ind w:firstLine="640" w:firstLineChars="200"/>
        <w:rPr>
          <w:rFonts w:hint="eastAsia" w:ascii="仿宋_GB2312" w:hAnsi="仿宋_GB2312" w:eastAsia="仿宋_GB2312" w:cs="仿宋_GB2312"/>
          <w:color w:val="000000"/>
          <w:sz w:val="21"/>
          <w:szCs w:val="21"/>
        </w:rPr>
      </w:pPr>
      <w:r>
        <w:rPr>
          <w:rFonts w:hint="eastAsia" w:ascii="楷体" w:hAnsi="楷体" w:eastAsia="楷体" w:cs="楷体"/>
          <w:color w:val="000000"/>
          <w:szCs w:val="32"/>
          <w:lang w:val="en-US" w:eastAsia="zh-CN"/>
        </w:rPr>
        <w:t xml:space="preserve"> </w:t>
      </w:r>
    </w:p>
    <w:p>
      <w:pPr>
        <w:ind w:firstLine="640" w:firstLineChars="200"/>
      </w:pPr>
      <w:r>
        <w:rPr>
          <w:rFonts w:eastAsia="楷体_GB2312"/>
        </w:rPr>
        <w:t>二、机构设置</w:t>
      </w:r>
    </w:p>
    <w:p>
      <w:pPr>
        <w:ind w:firstLine="640" w:firstLineChars="200"/>
        <w:rPr>
          <w:rFonts w:hint="eastAsia" w:ascii="楷体" w:hAnsi="楷体" w:eastAsia="楷体" w:cs="楷体"/>
          <w:szCs w:val="32"/>
          <w:lang w:val="en-US" w:eastAsia="zh-CN"/>
        </w:rPr>
      </w:pPr>
      <w:r>
        <w:rPr>
          <w:rFonts w:hint="eastAsia" w:ascii="楷体" w:hAnsi="楷体" w:eastAsia="楷体" w:cs="楷体"/>
          <w:lang w:val="en-US" w:eastAsia="zh-CN"/>
        </w:rPr>
        <w:t xml:space="preserve"> </w:t>
      </w:r>
      <w:r>
        <w:rPr>
          <w:rFonts w:hint="eastAsia" w:ascii="楷体" w:hAnsi="楷体" w:eastAsia="楷体" w:cs="楷体"/>
          <w:szCs w:val="32"/>
          <w:lang w:eastAsia="zh-CN"/>
        </w:rPr>
        <w:t>通榆县学校后勤管理中心是通榆县教育局组成部门，内设三</w:t>
      </w:r>
      <w:r>
        <w:rPr>
          <w:rFonts w:hint="eastAsia" w:ascii="楷体" w:hAnsi="楷体" w:eastAsia="楷体" w:cs="楷体"/>
          <w:szCs w:val="32"/>
          <w:lang w:val="en-US" w:eastAsia="zh-CN"/>
        </w:rPr>
        <w:t>室，分别为学校后勤管理办公室、营养改善计划管理办公室、学校风险防控管理办公室。</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3"/>
        <w:gridCol w:w="997"/>
        <w:gridCol w:w="957"/>
        <w:gridCol w:w="956"/>
        <w:gridCol w:w="1753"/>
        <w:gridCol w:w="957"/>
        <w:gridCol w:w="49"/>
        <w:gridCol w:w="898"/>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6"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3"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3"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6"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775.81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775.81</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31.63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18.4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通榆县学校后勤管理中心</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835.95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235.95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教育管理事务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机关服务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其他普通教育支出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5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2"/>
        <w:gridCol w:w="918"/>
        <w:gridCol w:w="1002"/>
        <w:gridCol w:w="584"/>
        <w:gridCol w:w="1774"/>
        <w:gridCol w:w="919"/>
        <w:gridCol w:w="855"/>
        <w:gridCol w:w="585"/>
        <w:gridCol w:w="605"/>
        <w:gridCol w:w="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955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1" w:hRule="atLeast"/>
        </w:trPr>
        <w:tc>
          <w:tcPr>
            <w:tcW w:w="955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2" w:hRule="atLeast"/>
        </w:trPr>
        <w:tc>
          <w:tcPr>
            <w:tcW w:w="4216"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43"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trPr>
        <w:tc>
          <w:tcPr>
            <w:tcW w:w="171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0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4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1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0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775.81</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775.81</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31.63</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10.11</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trPr>
        <w:tc>
          <w:tcPr>
            <w:tcW w:w="171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100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8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835.95</w:t>
            </w:r>
          </w:p>
        </w:tc>
        <w:tc>
          <w:tcPr>
            <w:tcW w:w="5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835.95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235.95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222.51</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13.44</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162.37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教育管理事务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162.37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机关服务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162.37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24.53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222.51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13.44</w:t>
            </w: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215.35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215.35</w:t>
            </w:r>
            <w:bookmarkStart w:id="0" w:name="_GoBack"/>
            <w:bookmarkEnd w:id="0"/>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91.56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91.56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商品服务支出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13.44</w:t>
            </w: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13.44</w:t>
            </w: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办公费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工会经费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r>
              <w:rPr>
                <w:rFonts w:hint="eastAsia" w:ascii="仿宋_GB2312" w:hAnsi="Arial" w:cs="仿宋_GB2312"/>
                <w:i w:val="0"/>
                <w:color w:val="auto"/>
                <w:kern w:val="0"/>
                <w:sz w:val="16"/>
                <w:szCs w:val="16"/>
                <w:u w:val="none"/>
                <w:lang w:val="en-US" w:eastAsia="zh-CN" w:bidi="ar-SA"/>
              </w:rPr>
              <w:t>三</w:t>
            </w:r>
            <w:r>
              <w:rPr>
                <w:rFonts w:hint="eastAsia" w:ascii="仿宋_GB2312" w:hAnsi="Arial" w:eastAsia="仿宋_GB2312" w:cs="仿宋_GB2312"/>
                <w:i w:val="0"/>
                <w:color w:val="000000"/>
                <w:kern w:val="0"/>
                <w:sz w:val="16"/>
                <w:szCs w:val="16"/>
                <w:u w:val="none"/>
                <w:lang w:val="en-US" w:eastAsia="zh-CN" w:bidi="ar-SA"/>
              </w:rPr>
              <w:t>、对个人及家庭的补助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textDirection w:val="tbRl"/>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textDirection w:val="tbRl"/>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textDirection w:val="tbRl"/>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textDirection w:val="tbRl"/>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textDirection w:val="tbRl"/>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textDirection w:val="tbRl"/>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textDirection w:val="tbRl"/>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textDirection w:val="tbRl"/>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textDirection w:val="tbRl"/>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textDirection w:val="tbRl"/>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textDirection w:val="tbRl"/>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textDirection w:val="tbRl"/>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textDirection w:val="tbRl"/>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textDirection w:val="tbRl"/>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textDirection w:val="tbRl"/>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textDirection w:val="tbRl"/>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textDirection w:val="tbRl"/>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textDirection w:val="tbRl"/>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textDirection w:val="tbRl"/>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textDirection w:val="tbRl"/>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教育系统2024年校车补助</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学校后勤管理中心2024年校车运行服务费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通榆县学校后勤管理中心</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600</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5"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学校后勤管理中心2024年校车运行服务费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9"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9"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5"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2024年学校后勤管理中心校车运行服务费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反映校车台数情况</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60台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反映校车运行出勤安全率情况</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反映校车服务费用标准情况</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14286元/台/月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反映校车服务费支付及时情况</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5"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反映保证学生上学出勤率情况</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8"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校车服务的满意程度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95%</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835.95万元，其中：当年预算835.95万元；上年结转0.00万元。2024年当年预算比2023年预算增加（减少）598.95万元，主要原因是根据单位事业发展需要增加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835.95万元，其中：本年收入835.95万元，占100%；上年结转0万元，占0%。本年收入中，一般公共预算拨款收入835.95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2024年支出预算835.95万元，其中：基本支出235.95万元，占28%；项目支出600万元，占72%；事业单位经营支出0万元，占0%；上缴上级支出0万元，占0%；对附属单位补助支出0万元，占0%。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835.95万元，其中：本年收入835.95万元，上年结转0万元。支出包括：一般公共服务支出0万元，国防支出0万元，公共安全支出0万元，教育支出775.81万元，科学技术支出0万元，文化旅游体育与传媒支出0万元，社会保障和就业支出31.63万元，社会保险基金支出0万元，卫生健康支出10.11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2024年一般公共预算拨款835.95万元，其中：基本支出235.95万元，占28%；项目支出600万元，占72%。基本支出中，人员经费222.51万元，占94%；公用经费13.44万元，占6%。</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教育（类）支出775.81万元，占93%，主要用于发展教育事业支出。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社会保障和就业（类）支出600万元，占72%，主要用于教职工社会保障支出。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2024年一般公共预算基本支出235.95万元，其中：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人员经费222.51万元，主要包括：基本工资、津贴补贴、奖金、社会保障缴费、其他工资福利支出、离休费、退休费、抚恤金、生活补助、助学金、住房公积金、采暖补贴、其他对个人和家庭的补助支出。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13.44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2024年部门项目支出600万元，其中：一级项目1个，二级项目1个；使用本年拨款600万元，财政拨款结转0万元。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760470"/>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EA85997"/>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7"/>
    <w:qFormat/>
    <w:uiPriority w:val="0"/>
    <w:rPr>
      <w:sz w:val="18"/>
      <w:szCs w:val="18"/>
    </w:rPr>
  </w:style>
  <w:style w:type="paragraph" w:styleId="6">
    <w:name w:val="footer"/>
    <w:basedOn w:val="1"/>
    <w:link w:val="78"/>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List Paragraph"/>
    <w:basedOn w:val="1"/>
    <w:qFormat/>
    <w:uiPriority w:val="0"/>
    <w:pPr>
      <w:ind w:firstLine="420" w:firstLineChars="200"/>
    </w:pPr>
    <w:rPr>
      <w:rFonts w:ascii="Calibri" w:hAnsi="Calibri" w:eastAsia="宋体"/>
      <w:sz w:val="21"/>
      <w:szCs w:val="22"/>
    </w:rPr>
  </w:style>
  <w:style w:type="character" w:customStyle="1" w:styleId="77">
    <w:name w:val="批注框文本 字符"/>
    <w:link w:val="5"/>
    <w:qFormat/>
    <w:uiPriority w:val="0"/>
    <w:rPr>
      <w:rFonts w:eastAsia="仿宋_GB2312"/>
      <w:kern w:val="2"/>
      <w:sz w:val="18"/>
      <w:szCs w:val="18"/>
    </w:rPr>
  </w:style>
  <w:style w:type="character" w:customStyle="1" w:styleId="78">
    <w:name w:val="页脚 字符"/>
    <w:link w:val="6"/>
    <w:qFormat/>
    <w:uiPriority w:val="0"/>
    <w:rPr>
      <w:rFonts w:eastAsia="仿宋_GB2312"/>
      <w:kern w:val="2"/>
      <w:sz w:val="18"/>
    </w:rPr>
  </w:style>
  <w:style w:type="character" w:customStyle="1" w:styleId="79">
    <w:name w:val="font11"/>
    <w:qFormat/>
    <w:uiPriority w:val="0"/>
    <w:rPr>
      <w:rFonts w:hint="default" w:ascii="Arial" w:hAnsi="Arial" w:cs="Arial"/>
      <w:color w:val="000000"/>
      <w:sz w:val="24"/>
      <w:szCs w:val="24"/>
      <w:u w:val="none"/>
    </w:rPr>
  </w:style>
  <w:style w:type="character" w:customStyle="1" w:styleId="80">
    <w:name w:val="font61"/>
    <w:qFormat/>
    <w:uiPriority w:val="0"/>
    <w:rPr>
      <w:rFonts w:hint="eastAsia" w:ascii="宋体" w:hAnsi="宋体" w:eastAsia="宋体" w:cs="宋体"/>
      <w:color w:val="000000"/>
      <w:sz w:val="24"/>
      <w:szCs w:val="24"/>
      <w:u w:val="none"/>
    </w:rPr>
  </w:style>
  <w:style w:type="character" w:customStyle="1" w:styleId="81">
    <w:name w:val="font01"/>
    <w:qFormat/>
    <w:uiPriority w:val="0"/>
    <w:rPr>
      <w:rFonts w:hint="default" w:ascii="Times New Roman" w:hAnsi="Times New Roman" w:cs="Times New Roman"/>
      <w:color w:val="000000"/>
      <w:sz w:val="24"/>
      <w:szCs w:val="24"/>
      <w:u w:val="none"/>
    </w:rPr>
  </w:style>
  <w:style w:type="character" w:customStyle="1" w:styleId="82">
    <w:name w:val="font41"/>
    <w:qFormat/>
    <w:uiPriority w:val="0"/>
    <w:rPr>
      <w:rFonts w:hint="default" w:ascii="华文细黑" w:hAnsi="华文细黑" w:eastAsia="华文细黑" w:cs="华文细黑"/>
      <w:color w:val="000000"/>
      <w:sz w:val="20"/>
      <w:szCs w:val="20"/>
      <w:u w:val="none"/>
    </w:rPr>
  </w:style>
  <w:style w:type="character" w:customStyle="1" w:styleId="83">
    <w:name w:val="font21"/>
    <w:qFormat/>
    <w:uiPriority w:val="0"/>
    <w:rPr>
      <w:rFonts w:hint="default" w:ascii="Arial" w:hAnsi="Arial" w:cs="Arial"/>
      <w:color w:val="000000"/>
      <w:sz w:val="20"/>
      <w:szCs w:val="20"/>
      <w:u w:val="none"/>
    </w:rPr>
  </w:style>
  <w:style w:type="character" w:customStyle="1" w:styleId="84">
    <w:name w:val="font71"/>
    <w:basedOn w:val="9"/>
    <w:uiPriority w:val="0"/>
    <w:rPr>
      <w:rFonts w:hint="default" w:ascii="Times New Roman" w:hAnsi="Times New Roman" w:cs="Times New Roman"/>
      <w:color w:val="auto"/>
      <w:sz w:val="36"/>
      <w:szCs w:val="36"/>
      <w:u w:val="none"/>
    </w:rPr>
  </w:style>
  <w:style w:type="character" w:customStyle="1" w:styleId="85">
    <w:name w:val="font101"/>
    <w:basedOn w:val="9"/>
    <w:uiPriority w:val="0"/>
    <w:rPr>
      <w:rFonts w:hint="default" w:ascii="Times New Roman" w:hAnsi="Times New Roman" w:cs="Times New Roman"/>
      <w:color w:val="auto"/>
      <w:sz w:val="32"/>
      <w:szCs w:val="32"/>
      <w:u w:val="none"/>
    </w:rPr>
  </w:style>
  <w:style w:type="character" w:customStyle="1" w:styleId="86">
    <w:name w:val="font111"/>
    <w:basedOn w:val="9"/>
    <w:uiPriority w:val="0"/>
    <w:rPr>
      <w:rFonts w:hint="default" w:ascii="monospace" w:hAnsi="monospace" w:eastAsia="monospace" w:cs="monospace"/>
      <w:color w:val="auto"/>
      <w:sz w:val="32"/>
      <w:szCs w:val="32"/>
      <w:u w:val="none"/>
    </w:rPr>
  </w:style>
  <w:style w:type="character" w:customStyle="1" w:styleId="87">
    <w:name w:val="font81"/>
    <w:basedOn w:val="9"/>
    <w:uiPriority w:val="0"/>
    <w:rPr>
      <w:rFonts w:hint="eastAsia" w:ascii="黑体" w:eastAsia="黑体" w:cs="黑体"/>
      <w:color w:val="auto"/>
      <w:sz w:val="32"/>
      <w:szCs w:val="32"/>
      <w:u w:val="none"/>
    </w:rPr>
  </w:style>
  <w:style w:type="character" w:customStyle="1" w:styleId="88">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2024-01-28T07:44:10Z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