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通榆县教育局基本建设办公室</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Cs w:val="32"/>
        </w:rPr>
        <w:t>负责实施全县教育事业布局调整规划、基本建设计划、校舍维修计划；控制基本建设、校舍维修投资，协助监管教育基建工程资金支出；指导、协调、审查各学校基本建设、校舍维修的项目论证、评估、立项审批、政策处理、招标、预决算、项目现场管理等工作；负责教育系统小型工程招投标工作。</w:t>
      </w: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lang w:eastAsia="zh-CN"/>
        </w:rPr>
        <w:t>通榆县教育局基本建设办公室</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0"/>
        <w:gridCol w:w="1000"/>
        <w:gridCol w:w="960"/>
        <w:gridCol w:w="960"/>
        <w:gridCol w:w="1760"/>
        <w:gridCol w:w="960"/>
        <w:gridCol w:w="20"/>
        <w:gridCol w:w="90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2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6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60"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2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88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2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0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8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100.71</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100.71</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17.96</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17.96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10.45</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10.45</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5.74</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5.74</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通榆县教育局基本建设办公室</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134.86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6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24"/>
        <w:gridCol w:w="1313"/>
        <w:gridCol w:w="1312"/>
        <w:gridCol w:w="1313"/>
        <w:gridCol w:w="1313"/>
        <w:gridCol w:w="1312"/>
        <w:gridCol w:w="13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6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662"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13"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12"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13"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24"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13"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12"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13"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13"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12"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13"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24"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13"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12"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13"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13"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12"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13"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100.71</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100.71</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教育管理事务</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100.71</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100.71</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其他教育管理事务支出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100.71</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100.71</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17.96</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17.96</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17.96</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17.96</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13.93</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13.93</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0.61</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0.61</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5.74</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5.74</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5.74</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5.74</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5.57</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5.57</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0.17</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0.17</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2"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1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p>
      <w:pPr>
        <w:rPr>
          <w:rFonts w:hAnsi="楷体" w:eastAsia="楷体"/>
          <w:sz w:val="24"/>
          <w:szCs w:val="24"/>
        </w:rPr>
      </w:pPr>
    </w:p>
    <w:tbl>
      <w:tblPr>
        <w:tblStyle w:val="11"/>
        <w:tblW w:w="9320" w:type="dxa"/>
        <w:jc w:val="center"/>
        <w:tblInd w:w="1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69"/>
        <w:gridCol w:w="894"/>
        <w:gridCol w:w="978"/>
        <w:gridCol w:w="569"/>
        <w:gridCol w:w="1730"/>
        <w:gridCol w:w="896"/>
        <w:gridCol w:w="833"/>
        <w:gridCol w:w="570"/>
        <w:gridCol w:w="591"/>
        <w:gridCol w:w="5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3" w:hRule="atLeast"/>
          <w:jc w:val="center"/>
        </w:trPr>
        <w:tc>
          <w:tcPr>
            <w:tcW w:w="932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5" w:hRule="atLeast"/>
          <w:jc w:val="center"/>
        </w:trPr>
        <w:tc>
          <w:tcPr>
            <w:tcW w:w="932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4110" w:type="dxa"/>
            <w:gridSpan w:val="4"/>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10"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7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0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8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7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100.71</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100.71</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17.96</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17.96</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5.74</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5.74</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8" w:hRule="atLeast"/>
          <w:jc w:val="center"/>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640" w:firstLineChars="200"/>
        <w:rPr>
          <w:rFonts w:hAnsi="楷体" w:eastAsia="楷体"/>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134.86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134.86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127.18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100.71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100.71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93.03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教育管理事务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100.71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100.71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93.03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其他教育管理事务支出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100.71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100.71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93.03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5.74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5.74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5.74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5.74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5.74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5.74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94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59"/>
        <w:gridCol w:w="2386"/>
        <w:gridCol w:w="2178"/>
        <w:gridCol w:w="21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44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759"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86"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295"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134.86</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127.18</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122.28</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122.28</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52.09</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52.09</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9.28</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9.28</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13.93</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13.93</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5.57</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5.57</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0.78</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0.78</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10.45</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二、商品和服务支出</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7.68　</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办公费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2.68</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维修（护）费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办公设备购置</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20"/>
                <w:szCs w:val="20"/>
                <w:u w:val="none"/>
                <w:lang w:val="en-US" w:eastAsia="zh-CN" w:bidi="ar-SA"/>
              </w:rPr>
              <w:t>　</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劳务费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r>
              <w:rPr>
                <w:rFonts w:hint="eastAsia" w:ascii="仿宋_GB2312" w:hAnsi="Arial" w:cs="仿宋_GB2312"/>
                <w:i w:val="0"/>
                <w:color w:val="auto"/>
                <w:kern w:val="0"/>
                <w:sz w:val="16"/>
                <w:szCs w:val="16"/>
                <w:u w:val="none"/>
                <w:lang w:val="en-US" w:eastAsia="zh-CN" w:bidi="ar-SA"/>
              </w:rPr>
              <w:t>三、对个人及家庭站助</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16"/>
                <w:szCs w:val="16"/>
                <w:u w:val="none"/>
                <w:lang w:val="en-US" w:eastAsia="zh-CN" w:bidi="ar-SA"/>
              </w:rPr>
              <w:t>4.9</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16"/>
                <w:szCs w:val="16"/>
                <w:u w:val="none"/>
                <w:lang w:val="en-US" w:eastAsia="zh-CN" w:bidi="ar-SA"/>
              </w:rPr>
              <w:t>4.9</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19</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bookmarkStart w:id="0" w:name="_GoBack"/>
      <w:bookmarkEnd w:id="0"/>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4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23"/>
        <w:gridCol w:w="723"/>
        <w:gridCol w:w="723"/>
        <w:gridCol w:w="723"/>
        <w:gridCol w:w="723"/>
        <w:gridCol w:w="723"/>
        <w:gridCol w:w="723"/>
        <w:gridCol w:w="724"/>
        <w:gridCol w:w="723"/>
        <w:gridCol w:w="723"/>
        <w:gridCol w:w="723"/>
        <w:gridCol w:w="723"/>
        <w:gridCol w:w="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0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40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7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615"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23"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4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7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69"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2"/>
                <w:szCs w:val="32"/>
                <w:u w:val="none"/>
              </w:rPr>
            </w:pPr>
            <w:r>
              <w:rPr>
                <w:rFonts w:hint="eastAsia" w:ascii="仿宋_GB2312" w:hAnsi="Arial" w:eastAsia="仿宋_GB2312" w:cs="仿宋_GB2312"/>
                <w:i w:val="0"/>
                <w:color w:val="auto"/>
                <w:kern w:val="0"/>
                <w:sz w:val="32"/>
                <w:szCs w:val="32"/>
                <w:u w:val="none"/>
                <w:lang w:val="en-US" w:eastAsia="zh-CN" w:bidi="ar-SA"/>
              </w:rPr>
              <w:t>　</w:t>
            </w:r>
          </w:p>
        </w:tc>
      </w:tr>
    </w:tbl>
    <w:p>
      <w:pPr>
        <w:jc w:val="left"/>
        <w:rPr>
          <w:rFonts w:ascii="Times New Roman" w:hAnsi="Times New Roman" w:eastAsia="仿宋_GB2312" w:cs="Times New Roman"/>
          <w:kern w:val="2"/>
          <w:sz w:val="32"/>
          <w:lang w:val="en-US" w:eastAsia="zh-CN" w:bidi="ar-SA"/>
        </w:rPr>
      </w:pPr>
    </w:p>
    <w:p>
      <w:pPr>
        <w:spacing w:line="700" w:lineRule="exact"/>
        <w:rPr>
          <w:rFonts w:eastAsia="楷体"/>
          <w:kern w:val="0"/>
          <w:szCs w:val="32"/>
        </w:rPr>
      </w:pPr>
    </w:p>
    <w:p>
      <w:pPr>
        <w:spacing w:line="700" w:lineRule="exact"/>
        <w:rPr>
          <w:rFonts w:hint="eastAsia"/>
          <w:kern w:val="0"/>
          <w:szCs w:val="32"/>
        </w:rPr>
      </w:pPr>
    </w:p>
    <w:p>
      <w:pPr>
        <w:spacing w:line="700" w:lineRule="exact"/>
        <w:jc w:val="center"/>
        <w:rPr>
          <w:rFonts w:hint="eastAsia" w:ascii="黑体" w:hAnsi="黑体" w:eastAsia="黑体" w:cs="黑体"/>
          <w:b/>
          <w:bCs/>
          <w:kern w:val="0"/>
          <w:sz w:val="36"/>
          <w:szCs w:val="36"/>
        </w:rPr>
      </w:pPr>
    </w:p>
    <w:tbl>
      <w:tblPr>
        <w:tblStyle w:val="11"/>
        <w:tblpPr w:leftFromText="180" w:rightFromText="180" w:vertAnchor="text" w:horzAnchor="page" w:tblpX="1259" w:tblpY="281"/>
        <w:tblOverlap w:val="never"/>
        <w:tblW w:w="94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8"/>
        <w:gridCol w:w="1888"/>
        <w:gridCol w:w="1888"/>
        <w:gridCol w:w="1888"/>
        <w:gridCol w:w="18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94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8"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项目级次</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1"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年度资金总额</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(万元）</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其中：财政拨款</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xml:space="preserve">      其他资金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年度绩效</w:t>
            </w:r>
          </w:p>
        </w:tc>
        <w:tc>
          <w:tcPr>
            <w:tcW w:w="755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目标</w:t>
            </w:r>
          </w:p>
        </w:tc>
        <w:tc>
          <w:tcPr>
            <w:tcW w:w="755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绩效指标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三级指标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产出指标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数量指标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质量指标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成本指标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时效指标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效果指标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经济效益指标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社会效益指标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生态效益指标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可持续影响指标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满意度指标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bl>
    <w:p>
      <w:pPr>
        <w:spacing w:line="700" w:lineRule="exact"/>
        <w:jc w:val="center"/>
        <w:rPr>
          <w:rFonts w:hint="eastAsia" w:ascii="黑体" w:hAnsi="黑体" w:eastAsia="黑体" w:cs="黑体"/>
          <w:b/>
          <w:bCs/>
          <w:kern w:val="0"/>
          <w:sz w:val="36"/>
          <w:szCs w:val="36"/>
        </w:rPr>
      </w:pPr>
    </w:p>
    <w:p>
      <w:pPr>
        <w:spacing w:line="700" w:lineRule="exact"/>
        <w:jc w:val="center"/>
        <w:rPr>
          <w:rFonts w:hint="eastAsia" w:ascii="黑体" w:hAnsi="黑体" w:eastAsia="黑体" w:cs="黑体"/>
          <w:b/>
          <w:bCs/>
          <w:kern w:val="0"/>
          <w:sz w:val="36"/>
          <w:szCs w:val="36"/>
        </w:rPr>
      </w:pPr>
    </w:p>
    <w:p>
      <w:pPr>
        <w:spacing w:line="700" w:lineRule="exact"/>
        <w:jc w:val="center"/>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134.86万元，其中：当年预算134.86万元；上年结转0.00万元。2024年当年预算比2023年预算增加（减少）-16.87万元，主要原因是根据单位事业发展需要本年预算减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134.86万元，其中：本年收入134.86万元，占100%；上年结转0万元，占0%。本年收入中，一般公共预算拨款收入134.86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2024年支出预算134.86万元，其中：基本支出134.86万元，占100%；项目支出0万元，占0%；事业单位经营支出0万元，占0%；上缴上级支出0万元，占0%；对附属单位补助支出0万元，占0%。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134.86万元，其中：本年收入134.86万元，上年结转0万元。支出包括：一般公共服务支出0万元，国防支出0万元，公共安全支出0万元，教育支出100.71万元，科学技术支出0万元，文化旅游体育与传媒支出0万元，社会保障和就业支出17.96万元，社会保险基金支出0万元，卫生健康支出5.74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2024年一般公共预算拨款134.86万元，其中：基本支出134.86万元，占100%；项目支出0万元，占0%。基本支出中，人员经费127.18万元，占94%；公用经费7.68万元，占6%。</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教育（类）支出100.71万元，占75%，主要用于发展教育事业支出。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社会保障和就业（类）支出17.96万元，占13%，主要用于教职工社会保障支出。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2024年一般公共预算基本支出134.86万元，其中：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人员经费127.18万元，主要包括：基本工资、津贴补贴、奖金、社会保障缴费、其他工资福利支出、离休费、退休费、抚恤金、生活补助、助学金、住房公积金、采暖补贴、其他对个人和家庭的补助支出。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7.68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截至2023年12月底，部门本级和所属各预算单位共有车辆0辆，土地_______平方米，房屋_______平方米，单价50万元及以上的通用设备0台/套，单价100万元及以上的专用设备实有数0台/套。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2024年部门项目支出0万元，其中：一级项目0个，二级项目0个；使用本年拨款0万元，财政拨款结转0万元。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2024-01-29T03:08:17Z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