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通榆县校外教育指导中心</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pPr>
      <w:r>
        <w:rPr>
          <w:rFonts w:hint="eastAsia" w:ascii="仿宋_GB2312" w:hAnsi="仿宋_GB2312" w:eastAsia="仿宋_GB2312" w:cs="仿宋_GB2312"/>
          <w:color w:val="000000"/>
          <w:szCs w:val="32"/>
        </w:rPr>
        <w:t>贯彻落实党和国家关于中小学德育工作的方针、政策、开展中小学德育理论研究，制定中小学校外教育规划及计划，积极构建学校、家庭、社会“三位一体”德育教育网络。负责校外教育工作的业务指导，组织开展德育活动并总结推广校外教育工作经验。负责组织校外教育干部、教师的培训。 督促检查《小学德育刚要》、《中学德育大纲》以及中小学日常行为规范的执行情况，对中小学德育工作进行考评。 组织协调有关部门和单位加强中小学校治安综合治理工作。</w:t>
      </w: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通榆县校外教育指导中心</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208.4</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208.4</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39.01</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39.01</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22.61</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22.61</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12.47</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12.47</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通榆县校外教育指导中心</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282.48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教育管理事务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机关服务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7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6"/>
        <w:gridCol w:w="934"/>
        <w:gridCol w:w="1015"/>
        <w:gridCol w:w="593"/>
        <w:gridCol w:w="1801"/>
        <w:gridCol w:w="931"/>
        <w:gridCol w:w="869"/>
        <w:gridCol w:w="592"/>
        <w:gridCol w:w="612"/>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23" w:hRule="atLeast"/>
        </w:trPr>
        <w:tc>
          <w:tcPr>
            <w:tcW w:w="970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5" w:hRule="atLeast"/>
        </w:trPr>
        <w:tc>
          <w:tcPr>
            <w:tcW w:w="970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4278"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422"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3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01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8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3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6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2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3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01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9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8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3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208.4</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39.01</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12.47</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3" w:hRule="atLeast"/>
        </w:trPr>
        <w:tc>
          <w:tcPr>
            <w:tcW w:w="17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101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3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86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5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hAnsi="楷体" w:eastAsia="楷体"/>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282.48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282.48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266.16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教育管理事务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机关服务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192.08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39.01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30.25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0.38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282.48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266.16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265.85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20.36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22.61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二、商品和服务支出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办公费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邮电费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差旅费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其他商品和服务支出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r>
              <w:rPr>
                <w:rFonts w:hint="eastAsia" w:ascii="仿宋_GB2312" w:hAnsi="Arial" w:cs="仿宋_GB2312"/>
                <w:i w:val="0"/>
                <w:color w:val="auto"/>
                <w:kern w:val="0"/>
                <w:sz w:val="16"/>
                <w:szCs w:val="16"/>
                <w:u w:val="none"/>
                <w:lang w:val="en-US" w:eastAsia="zh-CN" w:bidi="ar-SA"/>
              </w:rPr>
              <w:t>三、对个人及家庭补助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259" w:tblpY="281"/>
        <w:tblOverlap w:val="never"/>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8"/>
        <w:gridCol w:w="1888"/>
        <w:gridCol w:w="1888"/>
        <w:gridCol w:w="1888"/>
        <w:gridCol w:w="1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8"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项目级次</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cs="仿宋_GB2312"/>
                <w:i w:val="0"/>
                <w:color w:val="000000"/>
                <w:kern w:val="0"/>
                <w:sz w:val="20"/>
                <w:szCs w:val="20"/>
                <w:u w:val="none"/>
                <w:lang w:val="en-US" w:eastAsia="zh-CN" w:bidi="ar-SA"/>
              </w:rPr>
              <w:t>二</w:t>
            </w:r>
            <w:bookmarkStart w:id="0" w:name="_GoBack"/>
            <w:bookmarkEnd w:id="0"/>
            <w:r>
              <w:rPr>
                <w:rFonts w:hint="eastAsia" w:ascii="仿宋_GB2312" w:hAnsi="Arial"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1"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年度资金总额</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(万元）</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其中：财政拨款</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xml:space="preserve">      其他资金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年度绩效</w:t>
            </w:r>
          </w:p>
        </w:tc>
        <w:tc>
          <w:tcPr>
            <w:tcW w:w="755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目标</w:t>
            </w:r>
          </w:p>
        </w:tc>
        <w:tc>
          <w:tcPr>
            <w:tcW w:w="755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绩效指标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三级指标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产出指标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数量指标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质量指标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成本指标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时效指标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效果指标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经济效益指标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社会效益指标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生态效益指标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可持续影响指标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满意度指标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bl>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center"/>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282.48万元，其中：当年预算282.48万元；上年结转0.00万元。2024年当年预算比2023年预算增加（减少）-27.13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282.48万元，其中：本年收入282.48万元，占100%；上年结转0万元，占0%。本年收入中，一般公共预算拨款收入282.48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2024年支出预算282.48万元，其中：基本支出282.48万元，占100%；项目支出0万元，占0%；事业单位经营支出0万元，占0%；上缴上级支出0万元，占0%；对附属单位补助支出0万元，占0%。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282.48万元，其中：本年收入282.48万元，上年结转0万元。支出包括：一般公共服务支出0万元，国防支出0万元，公共安全支出0万元，教育支出208.4万元，科学技术支出0万元，文化旅游体育与传媒支出0万元，社会保障和就业支出39.01万元，社会保险基金支出0万元，卫生健康支出12.47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2024年一般公共预算拨款282.48万元，其中：基本支出282.48万元，占100%；项目支出0万元，占0%。基本支出中，人员经费266.16万元，占94%；公用经费16.32万元，占6%。</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教育（类）支出208.4万元，占74%，主要用于发展教育事业支出。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社会保障和就业（类）支出39.01万元，占14%，主要用于教职工社会保障支出。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2024年一般公共预算基本支出282.48万元，其中：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人员经费266.16万元，主要包括：基本工资、津贴补贴、奖金、社会保障缴费、其他工资福利支出、离休费、退休费、抚恤金、生活补助、助学金、住房公积金、采暖补贴、其他对个人和家庭的补助支出。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16.32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2024年部门项目支出0万元，其中：一级项目1个，二级项目1个；使用本年拨款0万元，财政拨款结转0万元。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9B4307D"/>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B76860"/>
    <w:rsid w:val="6ACC5E47"/>
    <w:rsid w:val="6AD43ED1"/>
    <w:rsid w:val="6B11024D"/>
    <w:rsid w:val="6B7D5B36"/>
    <w:rsid w:val="6CF120A8"/>
    <w:rsid w:val="6DF8337A"/>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2024-01-29T04:18:25Z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