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通榆县向海蒙古族乡向海学校学校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实施中小学义务教育，促进基础教育发展。中小学学历教育及相关社会服务。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通榆县向海蒙古族乡向海学校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1101.49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1101.49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208.27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208.27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114.73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114.73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67.04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67.04</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1491.53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1491.98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1491.53</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1491.53</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1491.98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1491.53</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1491.53</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通榆县向海蒙古族乡向海学校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1491.98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1491.53</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1491.53</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1470.51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1080.46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1080.46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1096.89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1080.46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教育费附加安排的支出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其他教育费附加安排的支出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77"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15"/>
        <w:gridCol w:w="921"/>
        <w:gridCol w:w="888"/>
        <w:gridCol w:w="701"/>
        <w:gridCol w:w="1777"/>
        <w:gridCol w:w="921"/>
        <w:gridCol w:w="858"/>
        <w:gridCol w:w="585"/>
        <w:gridCol w:w="605"/>
        <w:gridCol w:w="6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9577"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4" w:hRule="atLeast"/>
        </w:trPr>
        <w:tc>
          <w:tcPr>
            <w:tcW w:w="9577"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6" w:hRule="atLeast"/>
        </w:trPr>
        <w:tc>
          <w:tcPr>
            <w:tcW w:w="4225"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52"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4" w:hRule="atLeast"/>
        </w:trPr>
        <w:tc>
          <w:tcPr>
            <w:tcW w:w="17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2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7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7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2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4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1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1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7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w:t>
            </w:r>
            <w:r>
              <w:rPr>
                <w:rFonts w:hint="eastAsia" w:ascii="仿宋_GB2312" w:hAnsi="Arial" w:cs="仿宋_GB2312"/>
                <w:i w:val="0"/>
                <w:color w:val="auto"/>
                <w:kern w:val="0"/>
                <w:sz w:val="16"/>
                <w:szCs w:val="16"/>
                <w:u w:val="none"/>
                <w:lang w:val="en-US" w:eastAsia="zh-CN" w:bidi="ar-SA"/>
              </w:rPr>
              <w:t>98</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tabs>
                <w:tab w:val="left" w:pos="333"/>
                <w:tab w:val="right" w:pos="836"/>
              </w:tabs>
              <w:jc w:val="center"/>
              <w:textAlignment w:val="center"/>
              <w:rPr>
                <w:rFonts w:hint="eastAsia" w:ascii="仿宋_GB2312" w:hAnsi="Arial" w:eastAsia="仿宋_GB2312" w:cs="仿宋_GB2312"/>
                <w:i w:val="0"/>
                <w:color w:val="auto"/>
                <w:sz w:val="16"/>
                <w:szCs w:val="16"/>
                <w:u w:val="none"/>
              </w:rPr>
            </w:pPr>
            <w:r>
              <w:rPr>
                <w:rFonts w:hint="eastAsia" w:ascii="仿宋_GB2312" w:hAnsi="Arial" w:cs="仿宋_GB2312"/>
                <w:i w:val="0"/>
                <w:color w:val="auto"/>
                <w:kern w:val="0"/>
                <w:sz w:val="16"/>
                <w:szCs w:val="16"/>
                <w:u w:val="none"/>
                <w:lang w:val="en-US" w:eastAsia="zh-CN" w:bidi="ar-SA"/>
              </w:rPr>
              <w:t>0.45</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w:t>
            </w:r>
            <w:r>
              <w:rPr>
                <w:rFonts w:hint="eastAsia" w:ascii="仿宋_GB2312" w:hAnsi="Arial" w:cs="仿宋_GB2312"/>
                <w:i w:val="0"/>
                <w:color w:val="auto"/>
                <w:kern w:val="0"/>
                <w:sz w:val="16"/>
                <w:szCs w:val="16"/>
                <w:u w:val="none"/>
                <w:lang w:val="en-US" w:eastAsia="zh-CN" w:bidi="ar-SA"/>
              </w:rPr>
              <w:t>98</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lang w:val="en-US" w:eastAsia="zh-CN"/>
              </w:rPr>
            </w:pPr>
            <w:r>
              <w:rPr>
                <w:rFonts w:hint="eastAsia" w:ascii="仿宋_GB2312" w:hAnsi="Arial" w:cs="仿宋_GB2312"/>
                <w:i w:val="0"/>
                <w:color w:val="auto"/>
                <w:sz w:val="16"/>
                <w:szCs w:val="16"/>
                <w:u w:val="none"/>
                <w:lang w:val="en-US" w:eastAsia="zh-CN"/>
              </w:rPr>
              <w:t>0.45</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w:t>
            </w:r>
            <w:r>
              <w:rPr>
                <w:rFonts w:hint="eastAsia" w:ascii="仿宋_GB2312" w:hAnsi="Arial" w:cs="仿宋_GB2312"/>
                <w:i w:val="0"/>
                <w:color w:val="auto"/>
                <w:kern w:val="0"/>
                <w:sz w:val="16"/>
                <w:szCs w:val="16"/>
                <w:u w:val="none"/>
                <w:lang w:val="en-US" w:eastAsia="zh-CN" w:bidi="ar-SA"/>
              </w:rPr>
              <w:t>.</w:t>
            </w:r>
            <w:r>
              <w:rPr>
                <w:rFonts w:hint="eastAsia" w:ascii="仿宋_GB2312" w:hAnsi="Arial" w:eastAsia="仿宋_GB2312" w:cs="仿宋_GB2312"/>
                <w:i w:val="0"/>
                <w:color w:val="auto"/>
                <w:kern w:val="0"/>
                <w:sz w:val="16"/>
                <w:szCs w:val="16"/>
                <w:u w:val="none"/>
                <w:lang w:val="en-US" w:eastAsia="zh-CN" w:bidi="ar-SA"/>
              </w:rPr>
              <w:t>9</w:t>
            </w:r>
            <w:r>
              <w:rPr>
                <w:rFonts w:hint="eastAsia" w:ascii="仿宋_GB2312" w:hAnsi="Arial" w:cs="仿宋_GB2312"/>
                <w:i w:val="0"/>
                <w:color w:val="auto"/>
                <w:kern w:val="0"/>
                <w:sz w:val="16"/>
                <w:szCs w:val="16"/>
                <w:u w:val="none"/>
                <w:lang w:val="en-US" w:eastAsia="zh-CN" w:bidi="ar-SA"/>
              </w:rPr>
              <w:t>4</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1101</w:t>
            </w:r>
            <w:r>
              <w:rPr>
                <w:rFonts w:hint="eastAsia" w:ascii="仿宋_GB2312" w:hAnsi="Arial" w:cs="仿宋_GB2312"/>
                <w:i w:val="0"/>
                <w:color w:val="auto"/>
                <w:kern w:val="0"/>
                <w:sz w:val="16"/>
                <w:szCs w:val="16"/>
                <w:u w:val="none"/>
                <w:lang w:val="en-US" w:eastAsia="zh-CN" w:bidi="ar-SA"/>
              </w:rPr>
              <w:t>.</w:t>
            </w:r>
            <w:r>
              <w:rPr>
                <w:rFonts w:hint="eastAsia" w:ascii="仿宋_GB2312" w:hAnsi="Arial" w:eastAsia="仿宋_GB2312" w:cs="仿宋_GB2312"/>
                <w:i w:val="0"/>
                <w:color w:val="auto"/>
                <w:kern w:val="0"/>
                <w:sz w:val="16"/>
                <w:szCs w:val="16"/>
                <w:u w:val="none"/>
                <w:lang w:val="en-US" w:eastAsia="zh-CN" w:bidi="ar-SA"/>
              </w:rPr>
              <w:t>9</w:t>
            </w:r>
            <w:r>
              <w:rPr>
                <w:rFonts w:hint="eastAsia" w:ascii="仿宋_GB2312" w:hAnsi="Arial" w:cs="仿宋_GB2312"/>
                <w:i w:val="0"/>
                <w:color w:val="auto"/>
                <w:kern w:val="0"/>
                <w:sz w:val="16"/>
                <w:szCs w:val="16"/>
                <w:u w:val="none"/>
                <w:lang w:val="en-US" w:eastAsia="zh-CN" w:bidi="ar-SA"/>
              </w:rPr>
              <w:t>4</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208.27</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208.27</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67.04</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67.04</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114.73</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114.73</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w:t>
            </w:r>
            <w:r>
              <w:rPr>
                <w:rFonts w:hint="eastAsia" w:ascii="仿宋_GB2312" w:hAnsi="Arial" w:cs="仿宋_GB2312"/>
                <w:i w:val="0"/>
                <w:color w:val="auto"/>
                <w:kern w:val="0"/>
                <w:sz w:val="16"/>
                <w:szCs w:val="16"/>
                <w:u w:val="none"/>
                <w:lang w:val="en-US" w:eastAsia="zh-CN" w:bidi="ar-SA"/>
              </w:rPr>
              <w:t>98</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cs="仿宋_GB2312"/>
                <w:i w:val="0"/>
                <w:color w:val="auto"/>
                <w:sz w:val="16"/>
                <w:szCs w:val="16"/>
                <w:u w:val="none"/>
                <w:lang w:val="en-US" w:eastAsia="zh-CN"/>
              </w:rPr>
              <w:t>0.45</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1491.98</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1491.98</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w:t>
            </w:r>
            <w:r>
              <w:rPr>
                <w:rFonts w:hint="eastAsia" w:ascii="仿宋_GB2312" w:hAnsi="Arial" w:cs="仿宋_GB2312"/>
                <w:i w:val="0"/>
                <w:color w:val="auto"/>
                <w:kern w:val="0"/>
                <w:sz w:val="16"/>
                <w:szCs w:val="16"/>
                <w:u w:val="none"/>
                <w:lang w:val="en-US" w:eastAsia="zh-CN" w:bidi="ar-SA"/>
              </w:rPr>
              <w:t>98</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1491.53</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cs="仿宋_GB2312"/>
                <w:i w:val="0"/>
                <w:color w:val="auto"/>
                <w:sz w:val="16"/>
                <w:szCs w:val="16"/>
                <w:u w:val="none"/>
                <w:lang w:val="en-US" w:eastAsia="zh-CN"/>
              </w:rPr>
              <w:t>0.45</w:t>
            </w:r>
          </w:p>
        </w:tc>
        <w:tc>
          <w:tcPr>
            <w:tcW w:w="17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1491.98</w:t>
            </w:r>
          </w:p>
        </w:tc>
        <w:tc>
          <w:tcPr>
            <w:tcW w:w="8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1491.98</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1491.98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1470.51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1470.51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1101.94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1080.46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1080.46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1101.49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1080.46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1080.46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1096.89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1080.46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1080.46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161.62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161.62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161.62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67.04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1470.51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1470.51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1452.36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1452.36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543.5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543.5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127.59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127.59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107.7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107.7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271.91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271.91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161.62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161.62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65.02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65.02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114.73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114.73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139</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1"/>
        <w:gridCol w:w="701"/>
        <w:gridCol w:w="275"/>
        <w:gridCol w:w="426"/>
        <w:gridCol w:w="700"/>
        <w:gridCol w:w="551"/>
        <w:gridCol w:w="150"/>
        <w:gridCol w:w="700"/>
        <w:gridCol w:w="761"/>
        <w:gridCol w:w="70"/>
        <w:gridCol w:w="630"/>
        <w:gridCol w:w="700"/>
        <w:gridCol w:w="701"/>
        <w:gridCol w:w="239"/>
        <w:gridCol w:w="462"/>
        <w:gridCol w:w="700"/>
        <w:gridCol w:w="701"/>
        <w:gridCol w:w="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312" w:hRule="atLeast"/>
        </w:trPr>
        <w:tc>
          <w:tcPr>
            <w:tcW w:w="9168" w:type="dxa"/>
            <w:gridSpan w:val="17"/>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312" w:hRule="atLeast"/>
        </w:trPr>
        <w:tc>
          <w:tcPr>
            <w:tcW w:w="9168" w:type="dxa"/>
            <w:gridSpan w:val="17"/>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1" w:type="dxa"/>
            <w:gridSpan w:val="2"/>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1" w:type="dxa"/>
            <w:gridSpan w:val="2"/>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1" w:type="dxa"/>
            <w:gridSpan w:val="4"/>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3" w:type="dxa"/>
            <w:gridSpan w:val="6"/>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2"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1"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1" w:type="dxa"/>
            <w:gridSpan w:val="4"/>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2" w:type="dxa"/>
            <w:gridSpan w:val="4"/>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312" w:hRule="atLeast"/>
        </w:trPr>
        <w:tc>
          <w:tcPr>
            <w:tcW w:w="701"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1"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1"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312" w:hRule="atLeast"/>
        </w:trPr>
        <w:tc>
          <w:tcPr>
            <w:tcW w:w="701"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312" w:hRule="atLeast"/>
        </w:trPr>
        <w:tc>
          <w:tcPr>
            <w:tcW w:w="701"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312" w:hRule="atLeast"/>
        </w:trPr>
        <w:tc>
          <w:tcPr>
            <w:tcW w:w="701"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21.02</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21.02</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教育局2023年部门预算（调剂）</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通榆县向海蒙古族乡向海学校2023年公用经费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0.45</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通榆县向海蒙古族乡向海学校2024年辅助岗位人员工资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11.42</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1" w:type="dxa"/>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gridSpan w:val="2"/>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gridSpan w:val="2"/>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nil"/>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352" w:type="dxa"/>
          <w:trHeight w:val="90" w:hRule="atLeast"/>
        </w:trPr>
        <w:tc>
          <w:tcPr>
            <w:tcW w:w="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0"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kern w:val="0"/>
                <w:sz w:val="16"/>
                <w:szCs w:val="16"/>
                <w:u w:val="none"/>
                <w:lang w:val="en-US" w:eastAsia="zh-CN" w:bidi="ar-SA"/>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944" w:hRule="atLeast"/>
        </w:trPr>
        <w:tc>
          <w:tcPr>
            <w:tcW w:w="9520" w:type="dxa"/>
            <w:gridSpan w:val="18"/>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bdr w:val="none" w:color="auto" w:sz="0" w:space="0"/>
                <w:lang w:val="en-US" w:eastAsia="zh-CN" w:bidi="ar-SA"/>
              </w:rPr>
              <w:t>项目支出绩效目标表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5035" w:type="dxa"/>
            <w:gridSpan w:val="10"/>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项目名称</w:t>
            </w:r>
          </w:p>
        </w:tc>
        <w:tc>
          <w:tcPr>
            <w:tcW w:w="4485"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通榆县向海蒙古族乡向海学校2024年幼儿园办公经费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5035" w:type="dxa"/>
            <w:gridSpan w:val="10"/>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项目级次</w:t>
            </w:r>
          </w:p>
        </w:tc>
        <w:tc>
          <w:tcPr>
            <w:tcW w:w="4485"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二级项目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项目资金</w:t>
            </w:r>
          </w:p>
        </w:tc>
        <w:tc>
          <w:tcPr>
            <w:tcW w:w="3358" w:type="dxa"/>
            <w:gridSpan w:val="7"/>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年度资金总额</w:t>
            </w:r>
          </w:p>
        </w:tc>
        <w:tc>
          <w:tcPr>
            <w:tcW w:w="4485"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4.60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(万元）</w:t>
            </w:r>
          </w:p>
        </w:tc>
        <w:tc>
          <w:tcPr>
            <w:tcW w:w="3358" w:type="dxa"/>
            <w:gridSpan w:val="7"/>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其中：财政拨款</w:t>
            </w:r>
          </w:p>
        </w:tc>
        <w:tc>
          <w:tcPr>
            <w:tcW w:w="4485"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4.60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3358" w:type="dxa"/>
            <w:gridSpan w:val="7"/>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xml:space="preserve">      其他资金</w:t>
            </w:r>
          </w:p>
        </w:tc>
        <w:tc>
          <w:tcPr>
            <w:tcW w:w="4485" w:type="dxa"/>
            <w:gridSpan w:val="8"/>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年度绩效</w:t>
            </w:r>
          </w:p>
        </w:tc>
        <w:tc>
          <w:tcPr>
            <w:tcW w:w="7843" w:type="dxa"/>
            <w:gridSpan w:val="15"/>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保障幼儿园的正常运行</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目标</w:t>
            </w:r>
          </w:p>
        </w:tc>
        <w:tc>
          <w:tcPr>
            <w:tcW w:w="7843" w:type="dxa"/>
            <w:gridSpan w:val="15"/>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绩效指标</w:t>
            </w:r>
          </w:p>
        </w:tc>
        <w:tc>
          <w:tcPr>
            <w:tcW w:w="1677"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一级指标</w:t>
            </w:r>
          </w:p>
        </w:tc>
        <w:tc>
          <w:tcPr>
            <w:tcW w:w="1681"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二级指标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三级指标</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指标值</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产出指标</w:t>
            </w:r>
          </w:p>
        </w:tc>
        <w:tc>
          <w:tcPr>
            <w:tcW w:w="1681" w:type="dxa"/>
            <w:gridSpan w:val="4"/>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数量指标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收取保教费月数</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12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81" w:type="dxa"/>
            <w:gridSpan w:val="4"/>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幼儿园学生数</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32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81"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质量指标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保障标准符合率</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98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81"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成本指标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幼儿园保收取教费标准</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450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81"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时效指标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保教费使用率</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100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效果指标</w:t>
            </w:r>
          </w:p>
        </w:tc>
        <w:tc>
          <w:tcPr>
            <w:tcW w:w="1681"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经济效益指标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81"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社会效益指标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政策知晓率</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98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81"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生态效益指标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38"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81"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可持续影响指标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0" w:type="dxa"/>
            <w:bottom w:w="0" w:type="dxa"/>
            <w:right w:w="0" w:type="dxa"/>
          </w:tblCellMar>
        </w:tblPrEx>
        <w:trPr>
          <w:trHeight w:val="675" w:hRule="atLeast"/>
        </w:trPr>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77"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81"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满意度指标</w:t>
            </w:r>
          </w:p>
        </w:tc>
        <w:tc>
          <w:tcPr>
            <w:tcW w:w="2270"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师生满意度</w:t>
            </w:r>
          </w:p>
        </w:tc>
        <w:tc>
          <w:tcPr>
            <w:tcW w:w="2215"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98</w:t>
            </w:r>
          </w:p>
        </w:tc>
      </w:tr>
    </w:tbl>
    <w:tbl>
      <w:tblPr>
        <w:tblStyle w:val="11"/>
        <w:tblpPr w:leftFromText="180" w:rightFromText="180" w:vertAnchor="text" w:horzAnchor="page" w:tblpX="1197" w:tblpY="52"/>
        <w:tblOverlap w:val="never"/>
        <w:tblW w:w="9440" w:type="dxa"/>
        <w:tblInd w:w="-15" w:type="dxa"/>
        <w:tblLayout w:type="fixed"/>
        <w:tblCellMar>
          <w:top w:w="0" w:type="dxa"/>
          <w:left w:w="0" w:type="dxa"/>
          <w:bottom w:w="0" w:type="dxa"/>
          <w:right w:w="0" w:type="dxa"/>
        </w:tblCellMar>
      </w:tblPr>
      <w:tblGrid>
        <w:gridCol w:w="1704"/>
        <w:gridCol w:w="1704"/>
        <w:gridCol w:w="1708"/>
        <w:gridCol w:w="2308"/>
        <w:gridCol w:w="2016"/>
      </w:tblGrid>
      <w:tr>
        <w:tblPrEx>
          <w:tblLayout w:type="fixed"/>
          <w:tblCellMar>
            <w:top w:w="0" w:type="dxa"/>
            <w:left w:w="0" w:type="dxa"/>
            <w:bottom w:w="0" w:type="dxa"/>
            <w:right w:w="0" w:type="dxa"/>
          </w:tblCellMar>
        </w:tblPrEx>
        <w:trPr>
          <w:trHeight w:val="962" w:hRule="atLeast"/>
        </w:trPr>
        <w:tc>
          <w:tcPr>
            <w:tcW w:w="94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Layout w:type="fixed"/>
          <w:tblCellMar>
            <w:top w:w="0" w:type="dxa"/>
            <w:left w:w="0" w:type="dxa"/>
            <w:bottom w:w="0" w:type="dxa"/>
            <w:right w:w="0" w:type="dxa"/>
          </w:tblCellMar>
        </w:tblPrEx>
        <w:trPr>
          <w:trHeight w:val="662" w:hRule="atLeast"/>
        </w:trPr>
        <w:tc>
          <w:tcPr>
            <w:tcW w:w="51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43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通榆县向海蒙古族乡向海学校2023年公用经费</w:t>
            </w:r>
          </w:p>
        </w:tc>
      </w:tr>
      <w:tr>
        <w:tblPrEx>
          <w:tblLayout w:type="fixed"/>
          <w:tblCellMar>
            <w:top w:w="0" w:type="dxa"/>
            <w:left w:w="0" w:type="dxa"/>
            <w:bottom w:w="0" w:type="dxa"/>
            <w:right w:w="0" w:type="dxa"/>
          </w:tblCellMar>
        </w:tblPrEx>
        <w:trPr>
          <w:trHeight w:val="662" w:hRule="atLeast"/>
        </w:trPr>
        <w:tc>
          <w:tcPr>
            <w:tcW w:w="51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43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Layout w:type="fixed"/>
          <w:tblCellMar>
            <w:top w:w="0" w:type="dxa"/>
            <w:left w:w="0" w:type="dxa"/>
            <w:bottom w:w="0" w:type="dxa"/>
            <w:right w:w="0" w:type="dxa"/>
          </w:tblCellMar>
        </w:tblPrEx>
        <w:trPr>
          <w:trHeight w:val="662"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4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43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0.45</w:t>
            </w:r>
          </w:p>
        </w:tc>
      </w:tr>
      <w:tr>
        <w:tblPrEx>
          <w:tblLayout w:type="fixed"/>
          <w:tblCellMar>
            <w:top w:w="0" w:type="dxa"/>
            <w:left w:w="0" w:type="dxa"/>
            <w:bottom w:w="0" w:type="dxa"/>
            <w:right w:w="0" w:type="dxa"/>
          </w:tblCellMar>
        </w:tblPrEx>
        <w:trPr>
          <w:trHeight w:val="662"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4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43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0.45</w:t>
            </w:r>
          </w:p>
        </w:tc>
      </w:tr>
      <w:tr>
        <w:tblPrEx>
          <w:tblLayout w:type="fixed"/>
          <w:tblCellMar>
            <w:top w:w="0" w:type="dxa"/>
            <w:left w:w="0" w:type="dxa"/>
            <w:bottom w:w="0" w:type="dxa"/>
            <w:right w:w="0" w:type="dxa"/>
          </w:tblCellMar>
        </w:tblPrEx>
        <w:trPr>
          <w:trHeight w:val="662"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41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43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Layout w:type="fixed"/>
          <w:tblCellMar>
            <w:top w:w="0" w:type="dxa"/>
            <w:left w:w="0" w:type="dxa"/>
            <w:bottom w:w="0" w:type="dxa"/>
            <w:right w:w="0" w:type="dxa"/>
          </w:tblCellMar>
        </w:tblPrEx>
        <w:trPr>
          <w:trHeight w:val="662"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73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用于日常公用经费的支出</w:t>
            </w:r>
          </w:p>
        </w:tc>
      </w:tr>
      <w:tr>
        <w:tblPrEx>
          <w:tblLayout w:type="fixed"/>
          <w:tblCellMar>
            <w:top w:w="0" w:type="dxa"/>
            <w:left w:w="0" w:type="dxa"/>
            <w:bottom w:w="0" w:type="dxa"/>
            <w:right w:w="0" w:type="dxa"/>
          </w:tblCellMar>
        </w:tblPrEx>
        <w:trPr>
          <w:trHeight w:val="662"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73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662" w:hRule="atLeast"/>
        </w:trPr>
        <w:tc>
          <w:tcPr>
            <w:tcW w:w="1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Layout w:type="fixed"/>
          <w:tblCellMar>
            <w:top w:w="0" w:type="dxa"/>
            <w:left w:w="0" w:type="dxa"/>
            <w:bottom w:w="0" w:type="dxa"/>
            <w:right w:w="0" w:type="dxa"/>
          </w:tblCellMar>
        </w:tblPrEx>
        <w:trPr>
          <w:trHeight w:val="662"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申请经费资金次数</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w:t>
            </w:r>
          </w:p>
        </w:tc>
      </w:tr>
      <w:tr>
        <w:tblPrEx>
          <w:tblLayout w:type="fixed"/>
          <w:tblCellMar>
            <w:top w:w="0" w:type="dxa"/>
            <w:left w:w="0" w:type="dxa"/>
            <w:bottom w:w="0" w:type="dxa"/>
            <w:right w:w="0" w:type="dxa"/>
          </w:tblCellMar>
        </w:tblPrEx>
        <w:trPr>
          <w:trHeight w:val="662"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Layout w:type="fixed"/>
          <w:tblCellMar>
            <w:top w:w="0" w:type="dxa"/>
            <w:left w:w="0" w:type="dxa"/>
            <w:bottom w:w="0" w:type="dxa"/>
            <w:right w:w="0" w:type="dxa"/>
          </w:tblCellMar>
        </w:tblPrEx>
        <w:trPr>
          <w:trHeight w:val="662"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申请经费资金标准</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4500</w:t>
            </w:r>
          </w:p>
        </w:tc>
      </w:tr>
      <w:tr>
        <w:tblPrEx>
          <w:tblLayout w:type="fixed"/>
          <w:tblCellMar>
            <w:top w:w="0" w:type="dxa"/>
            <w:left w:w="0" w:type="dxa"/>
            <w:bottom w:w="0" w:type="dxa"/>
            <w:right w:w="0" w:type="dxa"/>
          </w:tblCellMar>
        </w:tblPrEx>
        <w:trPr>
          <w:trHeight w:val="662"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资金使用及时率</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Layout w:type="fixed"/>
          <w:tblCellMar>
            <w:top w:w="0" w:type="dxa"/>
            <w:left w:w="0" w:type="dxa"/>
            <w:bottom w:w="0" w:type="dxa"/>
            <w:right w:w="0" w:type="dxa"/>
          </w:tblCellMar>
        </w:tblPrEx>
        <w:trPr>
          <w:trHeight w:val="662"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效益指标</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662"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Layout w:type="fixed"/>
          <w:tblCellMar>
            <w:top w:w="0" w:type="dxa"/>
            <w:left w:w="0" w:type="dxa"/>
            <w:bottom w:w="0" w:type="dxa"/>
            <w:right w:w="0" w:type="dxa"/>
          </w:tblCellMar>
        </w:tblPrEx>
        <w:trPr>
          <w:trHeight w:val="662"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662"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709"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23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20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W w:w="9600" w:type="dxa"/>
        <w:tblInd w:w="-15" w:type="dxa"/>
        <w:shd w:val="clear" w:color="auto" w:fill="auto"/>
        <w:tblLayout w:type="fixed"/>
        <w:tblCellMar>
          <w:top w:w="0" w:type="dxa"/>
          <w:left w:w="0" w:type="dxa"/>
          <w:bottom w:w="0" w:type="dxa"/>
          <w:right w:w="0" w:type="dxa"/>
        </w:tblCellMar>
      </w:tblPr>
      <w:tblGrid>
        <w:gridCol w:w="1734"/>
        <w:gridCol w:w="1734"/>
        <w:gridCol w:w="1736"/>
        <w:gridCol w:w="2345"/>
        <w:gridCol w:w="2051"/>
      </w:tblGrid>
      <w:tr>
        <w:tblPrEx>
          <w:shd w:val="clear" w:color="auto" w:fill="auto"/>
          <w:tblLayout w:type="fixed"/>
          <w:tblCellMar>
            <w:top w:w="0" w:type="dxa"/>
            <w:left w:w="0" w:type="dxa"/>
            <w:bottom w:w="0" w:type="dxa"/>
            <w:right w:w="0" w:type="dxa"/>
          </w:tblCellMar>
        </w:tblPrEx>
        <w:trPr>
          <w:trHeight w:val="948" w:hRule="atLeast"/>
        </w:trPr>
        <w:tc>
          <w:tcPr>
            <w:tcW w:w="96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bdr w:val="none" w:color="auto" w:sz="0" w:space="0"/>
                <w:lang w:val="en-US" w:eastAsia="zh-CN" w:bidi="ar-SA"/>
              </w:rPr>
              <w:t>项目支出绩效目标表</w:t>
            </w:r>
          </w:p>
        </w:tc>
      </w:tr>
      <w:tr>
        <w:tblPrEx>
          <w:tblLayout w:type="fixed"/>
          <w:tblCellMar>
            <w:top w:w="0" w:type="dxa"/>
            <w:left w:w="0" w:type="dxa"/>
            <w:bottom w:w="0" w:type="dxa"/>
            <w:right w:w="0" w:type="dxa"/>
          </w:tblCellMar>
        </w:tblPrEx>
        <w:trPr>
          <w:trHeight w:val="639" w:hRule="atLeast"/>
        </w:trPr>
        <w:tc>
          <w:tcPr>
            <w:tcW w:w="520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项目名称</w:t>
            </w:r>
          </w:p>
        </w:tc>
        <w:tc>
          <w:tcPr>
            <w:tcW w:w="43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通榆县向海蒙古族乡向海学校2024年辅助岗位人员工资</w:t>
            </w:r>
            <w:r>
              <w:rPr>
                <w:rFonts w:hint="eastAsia" w:ascii="仿宋_GB2312" w:hAnsi="宋体" w:eastAsia="仿宋_GB2312" w:cs="仿宋_GB2312"/>
                <w:i w:val="0"/>
                <w:color w:val="000000"/>
                <w:kern w:val="0"/>
                <w:sz w:val="20"/>
                <w:szCs w:val="20"/>
                <w:u w:val="none"/>
                <w:bdr w:val="none" w:color="auto" w:sz="0" w:space="0"/>
                <w:lang w:val="en-US" w:eastAsia="zh-CN" w:bidi="ar-SA"/>
              </w:rPr>
              <w:t xml:space="preserve"> </w:t>
            </w:r>
          </w:p>
        </w:tc>
      </w:tr>
      <w:tr>
        <w:tblPrEx>
          <w:tblLayout w:type="fixed"/>
          <w:tblCellMar>
            <w:top w:w="0" w:type="dxa"/>
            <w:left w:w="0" w:type="dxa"/>
            <w:bottom w:w="0" w:type="dxa"/>
            <w:right w:w="0" w:type="dxa"/>
          </w:tblCellMar>
        </w:tblPrEx>
        <w:trPr>
          <w:trHeight w:val="639" w:hRule="atLeast"/>
        </w:trPr>
        <w:tc>
          <w:tcPr>
            <w:tcW w:w="520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项目级次</w:t>
            </w:r>
          </w:p>
        </w:tc>
        <w:tc>
          <w:tcPr>
            <w:tcW w:w="43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二级项目</w:t>
            </w:r>
          </w:p>
        </w:tc>
      </w:tr>
      <w:tr>
        <w:tblPrEx>
          <w:tblLayout w:type="fixed"/>
          <w:tblCellMar>
            <w:top w:w="0" w:type="dxa"/>
            <w:left w:w="0" w:type="dxa"/>
            <w:bottom w:w="0" w:type="dxa"/>
            <w:right w:w="0" w:type="dxa"/>
          </w:tblCellMar>
        </w:tblPrEx>
        <w:trPr>
          <w:trHeight w:val="639" w:hRule="atLeast"/>
        </w:trPr>
        <w:tc>
          <w:tcPr>
            <w:tcW w:w="173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项目资金</w:t>
            </w:r>
          </w:p>
        </w:tc>
        <w:tc>
          <w:tcPr>
            <w:tcW w:w="347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年度资金总额</w:t>
            </w:r>
          </w:p>
        </w:tc>
        <w:tc>
          <w:tcPr>
            <w:tcW w:w="43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11.42</w:t>
            </w:r>
          </w:p>
        </w:tc>
      </w:tr>
      <w:tr>
        <w:tblPrEx>
          <w:tblLayout w:type="fixed"/>
          <w:tblCellMar>
            <w:top w:w="0" w:type="dxa"/>
            <w:left w:w="0" w:type="dxa"/>
            <w:bottom w:w="0" w:type="dxa"/>
            <w:right w:w="0" w:type="dxa"/>
          </w:tblCellMar>
        </w:tblPrEx>
        <w:trPr>
          <w:trHeight w:val="639" w:hRule="atLeast"/>
        </w:trPr>
        <w:tc>
          <w:tcPr>
            <w:tcW w:w="173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(万元）</w:t>
            </w:r>
          </w:p>
        </w:tc>
        <w:tc>
          <w:tcPr>
            <w:tcW w:w="347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其中：财政拨款</w:t>
            </w:r>
          </w:p>
        </w:tc>
        <w:tc>
          <w:tcPr>
            <w:tcW w:w="43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11.42</w:t>
            </w:r>
          </w:p>
        </w:tc>
      </w:tr>
      <w:tr>
        <w:tblPrEx>
          <w:tblLayout w:type="fixed"/>
          <w:tblCellMar>
            <w:top w:w="0" w:type="dxa"/>
            <w:left w:w="0" w:type="dxa"/>
            <w:bottom w:w="0" w:type="dxa"/>
            <w:right w:w="0" w:type="dxa"/>
          </w:tblCellMar>
        </w:tblPrEx>
        <w:trPr>
          <w:trHeight w:val="639" w:hRule="atLeast"/>
        </w:trPr>
        <w:tc>
          <w:tcPr>
            <w:tcW w:w="173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347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xml:space="preserve">      其他资金</w:t>
            </w:r>
          </w:p>
        </w:tc>
        <w:tc>
          <w:tcPr>
            <w:tcW w:w="43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0</w:t>
            </w:r>
          </w:p>
        </w:tc>
      </w:tr>
      <w:tr>
        <w:tblPrEx>
          <w:tblLayout w:type="fixed"/>
          <w:tblCellMar>
            <w:top w:w="0" w:type="dxa"/>
            <w:left w:w="0" w:type="dxa"/>
            <w:bottom w:w="0" w:type="dxa"/>
            <w:right w:w="0" w:type="dxa"/>
          </w:tblCellMar>
        </w:tblPrEx>
        <w:trPr>
          <w:trHeight w:val="639" w:hRule="atLeast"/>
        </w:trPr>
        <w:tc>
          <w:tcPr>
            <w:tcW w:w="173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年度绩效</w:t>
            </w:r>
          </w:p>
        </w:tc>
        <w:tc>
          <w:tcPr>
            <w:tcW w:w="786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保障辅助岗人员工资发放</w:t>
            </w:r>
          </w:p>
        </w:tc>
      </w:tr>
      <w:tr>
        <w:tblPrEx>
          <w:tblLayout w:type="fixed"/>
          <w:tblCellMar>
            <w:top w:w="0" w:type="dxa"/>
            <w:left w:w="0" w:type="dxa"/>
            <w:bottom w:w="0" w:type="dxa"/>
            <w:right w:w="0" w:type="dxa"/>
          </w:tblCellMar>
        </w:tblPrEx>
        <w:trPr>
          <w:trHeight w:val="639" w:hRule="atLeast"/>
        </w:trPr>
        <w:tc>
          <w:tcPr>
            <w:tcW w:w="173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目标</w:t>
            </w:r>
          </w:p>
        </w:tc>
        <w:tc>
          <w:tcPr>
            <w:tcW w:w="786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639" w:hRule="atLeast"/>
        </w:trPr>
        <w:tc>
          <w:tcPr>
            <w:tcW w:w="173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绩效指标</w:t>
            </w:r>
          </w:p>
        </w:tc>
        <w:tc>
          <w:tcPr>
            <w:tcW w:w="17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一级指标</w:t>
            </w:r>
          </w:p>
        </w:tc>
        <w:tc>
          <w:tcPr>
            <w:tcW w:w="173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二级指标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三级指标</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指标值</w:t>
            </w:r>
          </w:p>
        </w:tc>
      </w:tr>
      <w:tr>
        <w:tblPrEx>
          <w:tblLayout w:type="fixed"/>
          <w:tblCellMar>
            <w:top w:w="0" w:type="dxa"/>
            <w:left w:w="0" w:type="dxa"/>
            <w:bottom w:w="0" w:type="dxa"/>
            <w:right w:w="0" w:type="dxa"/>
          </w:tblCellMar>
        </w:tblPrEx>
        <w:trPr>
          <w:trHeight w:val="639"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产出指标</w:t>
            </w:r>
          </w:p>
        </w:tc>
        <w:tc>
          <w:tcPr>
            <w:tcW w:w="173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数量指标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工资发放月数</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12</w:t>
            </w:r>
          </w:p>
        </w:tc>
      </w:tr>
      <w:tr>
        <w:tblPrEx>
          <w:tblLayout w:type="fixed"/>
          <w:tblCellMar>
            <w:top w:w="0" w:type="dxa"/>
            <w:left w:w="0" w:type="dxa"/>
            <w:bottom w:w="0" w:type="dxa"/>
            <w:right w:w="0" w:type="dxa"/>
          </w:tblCellMar>
        </w:tblPrEx>
        <w:trPr>
          <w:trHeight w:val="639"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辅助岗人数</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3</w:t>
            </w:r>
          </w:p>
        </w:tc>
      </w:tr>
      <w:tr>
        <w:tblPrEx>
          <w:tblLayout w:type="fixed"/>
          <w:tblCellMar>
            <w:top w:w="0" w:type="dxa"/>
            <w:left w:w="0" w:type="dxa"/>
            <w:bottom w:w="0" w:type="dxa"/>
            <w:right w:w="0" w:type="dxa"/>
          </w:tblCellMar>
        </w:tblPrEx>
        <w:trPr>
          <w:trHeight w:val="639"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质量指标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保障标准符合率</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98</w:t>
            </w:r>
          </w:p>
        </w:tc>
      </w:tr>
      <w:tr>
        <w:tblPrEx>
          <w:tblLayout w:type="fixed"/>
          <w:tblCellMar>
            <w:top w:w="0" w:type="dxa"/>
            <w:left w:w="0" w:type="dxa"/>
            <w:bottom w:w="0" w:type="dxa"/>
            <w:right w:w="0" w:type="dxa"/>
          </w:tblCellMar>
        </w:tblPrEx>
        <w:trPr>
          <w:trHeight w:val="639"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成本指标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辅助岗工资发放标准</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3172.67</w:t>
            </w:r>
          </w:p>
        </w:tc>
      </w:tr>
      <w:tr>
        <w:tblPrEx>
          <w:tblLayout w:type="fixed"/>
          <w:tblCellMar>
            <w:top w:w="0" w:type="dxa"/>
            <w:left w:w="0" w:type="dxa"/>
            <w:bottom w:w="0" w:type="dxa"/>
            <w:right w:w="0" w:type="dxa"/>
          </w:tblCellMar>
        </w:tblPrEx>
        <w:trPr>
          <w:trHeight w:val="639"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时效指标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辅助岗工资发放及时率</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100</w:t>
            </w:r>
          </w:p>
        </w:tc>
      </w:tr>
      <w:tr>
        <w:tblPrEx>
          <w:tblLayout w:type="fixed"/>
          <w:tblCellMar>
            <w:top w:w="0" w:type="dxa"/>
            <w:left w:w="0" w:type="dxa"/>
            <w:bottom w:w="0" w:type="dxa"/>
            <w:right w:w="0" w:type="dxa"/>
          </w:tblCellMar>
        </w:tblPrEx>
        <w:trPr>
          <w:trHeight w:val="639"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效益指标</w:t>
            </w:r>
          </w:p>
        </w:tc>
        <w:tc>
          <w:tcPr>
            <w:tcW w:w="173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经济效益指标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639"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社会效益指标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政策知晓率</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98</w:t>
            </w:r>
          </w:p>
        </w:tc>
      </w:tr>
      <w:tr>
        <w:tblPrEx>
          <w:tblLayout w:type="fixed"/>
          <w:tblCellMar>
            <w:top w:w="0" w:type="dxa"/>
            <w:left w:w="0" w:type="dxa"/>
            <w:bottom w:w="0" w:type="dxa"/>
            <w:right w:w="0" w:type="dxa"/>
          </w:tblCellMar>
        </w:tblPrEx>
        <w:trPr>
          <w:trHeight w:val="639"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生态效益指标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639"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可持续影响指标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677" w:hRule="atLeast"/>
        </w:trPr>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满意度指标</w:t>
            </w:r>
          </w:p>
        </w:tc>
        <w:tc>
          <w:tcPr>
            <w:tcW w:w="23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辅助岗人员满意度</w:t>
            </w:r>
          </w:p>
        </w:tc>
        <w:tc>
          <w:tcPr>
            <w:tcW w:w="20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SA"/>
              </w:rPr>
              <w:t>98</w:t>
            </w:r>
          </w:p>
        </w:tc>
      </w:tr>
    </w:tbl>
    <w:tbl>
      <w:tblPr>
        <w:tblStyle w:val="11"/>
        <w:tblpPr w:leftFromText="180" w:rightFromText="180" w:vertAnchor="text" w:horzAnchor="page" w:tblpX="1184" w:tblpY="164"/>
        <w:tblOverlap w:val="never"/>
        <w:tblW w:w="9417" w:type="dxa"/>
        <w:tblInd w:w="-15" w:type="dxa"/>
        <w:tblLayout w:type="fixed"/>
        <w:tblCellMar>
          <w:top w:w="0" w:type="dxa"/>
          <w:left w:w="0" w:type="dxa"/>
          <w:bottom w:w="0" w:type="dxa"/>
          <w:right w:w="0" w:type="dxa"/>
        </w:tblCellMar>
      </w:tblPr>
      <w:tblGrid>
        <w:gridCol w:w="1702"/>
        <w:gridCol w:w="1702"/>
        <w:gridCol w:w="1700"/>
        <w:gridCol w:w="2303"/>
        <w:gridCol w:w="2010"/>
      </w:tblGrid>
      <w:tr>
        <w:tblPrEx>
          <w:tblLayout w:type="fixed"/>
          <w:tblCellMar>
            <w:top w:w="0" w:type="dxa"/>
            <w:left w:w="0" w:type="dxa"/>
            <w:bottom w:w="0" w:type="dxa"/>
            <w:right w:w="0" w:type="dxa"/>
          </w:tblCellMar>
        </w:tblPrEx>
        <w:trPr>
          <w:trHeight w:val="850" w:hRule="atLeast"/>
        </w:trPr>
        <w:tc>
          <w:tcPr>
            <w:tcW w:w="9417"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Layout w:type="fixed"/>
          <w:tblCellMar>
            <w:top w:w="0" w:type="dxa"/>
            <w:left w:w="0" w:type="dxa"/>
            <w:bottom w:w="0" w:type="dxa"/>
            <w:right w:w="0" w:type="dxa"/>
          </w:tblCellMar>
        </w:tblPrEx>
        <w:trPr>
          <w:trHeight w:val="567" w:hRule="atLeast"/>
        </w:trPr>
        <w:tc>
          <w:tcPr>
            <w:tcW w:w="510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431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通榆县向海蒙古族乡向海学校2024年营养餐雇工工资</w:t>
            </w:r>
          </w:p>
        </w:tc>
      </w:tr>
      <w:tr>
        <w:tblPrEx>
          <w:tblLayout w:type="fixed"/>
          <w:tblCellMar>
            <w:top w:w="0" w:type="dxa"/>
            <w:left w:w="0" w:type="dxa"/>
            <w:bottom w:w="0" w:type="dxa"/>
            <w:right w:w="0" w:type="dxa"/>
          </w:tblCellMar>
        </w:tblPrEx>
        <w:trPr>
          <w:trHeight w:val="567" w:hRule="atLeast"/>
        </w:trPr>
        <w:tc>
          <w:tcPr>
            <w:tcW w:w="510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431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Layout w:type="fixed"/>
          <w:tblCellMar>
            <w:top w:w="0" w:type="dxa"/>
            <w:left w:w="0" w:type="dxa"/>
            <w:bottom w:w="0" w:type="dxa"/>
            <w:right w:w="0" w:type="dxa"/>
          </w:tblCellMar>
        </w:tblPrEx>
        <w:trPr>
          <w:trHeight w:val="567" w:hRule="atLeast"/>
        </w:trPr>
        <w:tc>
          <w:tcPr>
            <w:tcW w:w="1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40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431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5.00</w:t>
            </w:r>
          </w:p>
        </w:tc>
      </w:tr>
      <w:tr>
        <w:tblPrEx>
          <w:tblLayout w:type="fixed"/>
          <w:tblCellMar>
            <w:top w:w="0" w:type="dxa"/>
            <w:left w:w="0" w:type="dxa"/>
            <w:bottom w:w="0" w:type="dxa"/>
            <w:right w:w="0" w:type="dxa"/>
          </w:tblCellMar>
        </w:tblPrEx>
        <w:trPr>
          <w:trHeight w:val="567" w:hRule="atLeast"/>
        </w:trPr>
        <w:tc>
          <w:tcPr>
            <w:tcW w:w="1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40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431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5.00</w:t>
            </w:r>
          </w:p>
        </w:tc>
      </w:tr>
      <w:tr>
        <w:tblPrEx>
          <w:tblLayout w:type="fixed"/>
          <w:tblCellMar>
            <w:top w:w="0" w:type="dxa"/>
            <w:left w:w="0" w:type="dxa"/>
            <w:bottom w:w="0" w:type="dxa"/>
            <w:right w:w="0" w:type="dxa"/>
          </w:tblCellMar>
        </w:tblPrEx>
        <w:trPr>
          <w:trHeight w:val="567" w:hRule="atLeast"/>
        </w:trPr>
        <w:tc>
          <w:tcPr>
            <w:tcW w:w="1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40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431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Layout w:type="fixed"/>
          <w:tblCellMar>
            <w:top w:w="0" w:type="dxa"/>
            <w:left w:w="0" w:type="dxa"/>
            <w:bottom w:w="0" w:type="dxa"/>
            <w:right w:w="0" w:type="dxa"/>
          </w:tblCellMar>
        </w:tblPrEx>
        <w:trPr>
          <w:trHeight w:val="567" w:hRule="atLeast"/>
        </w:trPr>
        <w:tc>
          <w:tcPr>
            <w:tcW w:w="1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715"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根据学校发展需求，为保证学生营养膳食的正常运行，提高学生的身体素质</w:t>
            </w:r>
          </w:p>
        </w:tc>
      </w:tr>
      <w:tr>
        <w:tblPrEx>
          <w:tblLayout w:type="fixed"/>
          <w:tblCellMar>
            <w:top w:w="0" w:type="dxa"/>
            <w:left w:w="0" w:type="dxa"/>
            <w:bottom w:w="0" w:type="dxa"/>
            <w:right w:w="0" w:type="dxa"/>
          </w:tblCellMar>
        </w:tblPrEx>
        <w:trPr>
          <w:trHeight w:val="567" w:hRule="atLeast"/>
        </w:trPr>
        <w:tc>
          <w:tcPr>
            <w:tcW w:w="1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715"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567" w:hRule="atLeast"/>
        </w:trPr>
        <w:tc>
          <w:tcPr>
            <w:tcW w:w="1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食堂服务人员人数</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食堂雇工工资发放月数</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w:t>
            </w:r>
          </w:p>
        </w:tc>
      </w:tr>
      <w:tr>
        <w:tblPrEx>
          <w:tblLayout w:type="fixed"/>
          <w:tblCellMar>
            <w:top w:w="0" w:type="dxa"/>
            <w:left w:w="0" w:type="dxa"/>
            <w:bottom w:w="0" w:type="dxa"/>
            <w:right w:w="0" w:type="dxa"/>
          </w:tblCellMar>
        </w:tblPrEx>
        <w:trPr>
          <w:trHeight w:val="904"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食堂服务员工资发放标准</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1500</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效益指标</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567"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596" w:hRule="atLeast"/>
        </w:trPr>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23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20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bookmarkStart w:id="0" w:name="_GoBack"/>
      <w:bookmarkEnd w:id="0"/>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1491.53万元，其中：当年预算1491.53万元；上年结转0.00万元。2024年当年预算比2023年预算增加（减少）-144.45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1491.98万元，其中：本年收入1491.53万元，占100%；上年结转0万元，占0%。本年收入中，一般公共预算拨款收入1491.53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2024年支出预算1491.98万元，其中：基本支出1470.51万元，占99%；项目支出21.47万元，占1%；事业单位经营支出0万元，占0%；上缴上级支出0万元，占0%；对附属单位补助支出0万元，占0%。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1491.53万元，其中：本年收入1491.53万元，上年结转0万元。支出包括：一般公共服务支出0万元，国防支出0万元，公共安全支出0万元，教育支出1101.94万元，科学技术支出0万元，文化旅游体育与传媒支出0万元，社会保障和就业支出208.27万元，社会保险基金支出0万元，卫生健康支出67.04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2024年一般公共预算拨款1491.98万元，其中：基本支出1470.51万元，占99%；项目支出21.47万元，占1%。基本支出中，人员经费1470.51万元，占100%；公用经费0万元，占0%。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教育（类）支出1101.94万元，占74%，主要用于发展教育事业支出。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社会保障和就业（类）支出1096.89万元，占74%，主要用于教职工社会保障支出。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2024年一般公共预算基本支出1470.51万元，其中：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人员经费1470.51万元，主要包括：基本工资、津贴补贴、奖金、社会保障缴费、其他工资福利支出、离休费、退休费、抚恤金、生活补助、助学金、住房公积金、采暖补贴、其他对个人和家庭的补助支出。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2024年部门项目支出21.47万元，其中：一级项目1个，二级项目1个；使用本年拨款21.47万元，财政拨款结转0万元。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B179DA"/>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774870"/>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2AD71E9"/>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E5A469D"/>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2024-01-29T02:57:15Z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