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eastAsia="zh-CN"/>
        </w:rPr>
        <w:t>通榆县八面学校</w:t>
      </w:r>
      <w:r>
        <w:rPr>
          <w:rFonts w:eastAsia="方正小标宋简体"/>
          <w:sz w:val="44"/>
          <w:szCs w:val="44"/>
          <w:u w:val="single"/>
        </w:rPr>
        <w:br/>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实施义务教育，促进基础教育发展。为中小学学历教育及相关社会服务。</w:t>
      </w:r>
    </w:p>
    <w:p>
      <w:pPr>
        <w:ind w:firstLine="640" w:firstLineChars="200"/>
        <w:rPr>
          <w:rFonts w:hint="eastAsia" w:ascii="仿宋_GB2312" w:hAnsi="仿宋_GB2312" w:eastAsia="仿宋_GB2312" w:cs="仿宋_GB2312"/>
          <w:color w:val="000000"/>
          <w:szCs w:val="32"/>
        </w:rPr>
      </w:pPr>
    </w:p>
    <w:p>
      <w:pPr>
        <w:ind w:firstLine="640" w:firstLineChars="200"/>
      </w:pPr>
      <w:r>
        <w:rPr>
          <w:rFonts w:eastAsia="楷体_GB2312"/>
        </w:rPr>
        <w:t>二、机构设置</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通榆县八面学校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pPr>
        <w:pStyle w:val="44"/>
        <w:ind w:firstLine="640" w:firstLineChars="200"/>
        <w:rPr>
          <w:rFonts w:eastAsia="楷体"/>
        </w:rPr>
      </w:pPr>
    </w:p>
    <w:p>
      <w:pPr>
        <w:pStyle w:val="44"/>
        <w:ind w:firstLine="640" w:firstLineChars="200"/>
        <w:rPr>
          <w:rFonts w:hAnsi="楷体" w:eastAsia="楷体"/>
        </w:rPr>
      </w:pPr>
    </w:p>
    <w:p>
      <w:pPr>
        <w:pStyle w:val="44"/>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11"/>
        <w:tblW w:w="9215"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692"/>
        <w:gridCol w:w="997"/>
        <w:gridCol w:w="958"/>
        <w:gridCol w:w="956"/>
        <w:gridCol w:w="1752"/>
        <w:gridCol w:w="958"/>
        <w:gridCol w:w="49"/>
        <w:gridCol w:w="898"/>
        <w:gridCol w:w="9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215" w:type="dxa"/>
            <w:gridSpan w:val="9"/>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收支总表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3647"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956" w:type="dxa"/>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71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1902"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4603" w:type="dxa"/>
            <w:gridSpan w:val="4"/>
            <w:tcBorders>
              <w:top w:val="single" w:color="auto" w:sz="4" w:space="0"/>
              <w:left w:val="single" w:color="auto" w:sz="4" w:space="0"/>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收       入</w:t>
            </w:r>
          </w:p>
        </w:tc>
        <w:tc>
          <w:tcPr>
            <w:tcW w:w="4612" w:type="dxa"/>
            <w:gridSpan w:val="5"/>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100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8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一、财政拨款收入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1915.47</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1915.47</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一、一般公共服务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1915.47</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1915.47</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二、公共安全支出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三、城乡社区支出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四、教育支出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1413.65</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1413.65</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二、财政专户管理资金收入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五、科学技术支出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三、单位资金收入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六、文化体育与传媒支出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七、社会保障和就业支出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267.72</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267.72</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事业单位经营收入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八、农林水支出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上级补助收入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九、住房保障支出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147.99</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147.99</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附属单位上缴收入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十、医疗卫生和计划生育支出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86.11</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86.11</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十一、其他支出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1915.47</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1915.47</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1915.47</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1915.47</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  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其他收入结转结余</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1915.47</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1915.47</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1915.47</w:t>
            </w:r>
          </w:p>
        </w:tc>
        <w:tc>
          <w:tcPr>
            <w:tcW w:w="4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98"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1915.47</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eastAsia="楷体_GB2312"/>
          <w:strike w:val="0"/>
          <w:lang w:val="en-US" w:eastAsia="zh-CN"/>
        </w:rPr>
      </w:pPr>
    </w:p>
    <w:p>
      <w:pPr>
        <w:ind w:firstLine="645"/>
        <w:rPr>
          <w:rFonts w:hAnsi="楷体" w:eastAsia="楷体"/>
        </w:rPr>
      </w:pPr>
    </w:p>
    <w:p>
      <w:pPr>
        <w:ind w:firstLine="645"/>
        <w:rPr>
          <w:rFonts w:eastAsia="楷体"/>
        </w:rPr>
      </w:pPr>
      <w:r>
        <w:rPr>
          <w:rFonts w:hAnsi="楷体" w:eastAsia="楷体"/>
        </w:rPr>
        <w:br w:type="page"/>
      </w:r>
    </w:p>
    <w:tbl>
      <w:tblPr>
        <w:tblStyle w:val="11"/>
        <w:tblW w:w="948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80"/>
        <w:gridCol w:w="440"/>
        <w:gridCol w:w="840"/>
        <w:gridCol w:w="760"/>
        <w:gridCol w:w="720"/>
        <w:gridCol w:w="400"/>
        <w:gridCol w:w="400"/>
        <w:gridCol w:w="400"/>
        <w:gridCol w:w="400"/>
        <w:gridCol w:w="400"/>
        <w:gridCol w:w="400"/>
        <w:gridCol w:w="400"/>
        <w:gridCol w:w="400"/>
        <w:gridCol w:w="400"/>
        <w:gridCol w:w="400"/>
        <w:gridCol w:w="400"/>
        <w:gridCol w:w="400"/>
        <w:gridCol w:w="400"/>
        <w:gridCol w:w="440"/>
        <w:gridCol w:w="4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480" w:type="dxa"/>
            <w:gridSpan w:val="2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收入总表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68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760" w:type="dxa"/>
            <w:gridSpan w:val="9"/>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200" w:type="dxa"/>
            <w:gridSpan w:val="3"/>
            <w:tcBorders>
              <w:top w:val="nil"/>
              <w:left w:val="nil"/>
              <w:bottom w:val="nil"/>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800" w:type="dxa"/>
            <w:gridSpan w:val="2"/>
            <w:tcBorders>
              <w:top w:val="nil"/>
              <w:left w:val="nil"/>
              <w:bottom w:val="single" w:color="000000"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640" w:type="dxa"/>
            <w:gridSpan w:val="4"/>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120" w:type="dxa"/>
            <w:gridSpan w:val="2"/>
            <w:vMerge w:val="restart"/>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部门       （单位）</w:t>
            </w:r>
          </w:p>
        </w:tc>
        <w:tc>
          <w:tcPr>
            <w:tcW w:w="84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4680" w:type="dxa"/>
            <w:gridSpan w:val="10"/>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当年预算</w:t>
            </w:r>
          </w:p>
        </w:tc>
        <w:tc>
          <w:tcPr>
            <w:tcW w:w="2840" w:type="dxa"/>
            <w:gridSpan w:val="7"/>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上年结转结余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小计</w:t>
            </w:r>
          </w:p>
        </w:tc>
        <w:tc>
          <w:tcPr>
            <w:tcW w:w="72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共预算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管理资金</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补助</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上缴收入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400" w:type="dxa"/>
            <w:vMerge w:val="restart"/>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小计</w:t>
            </w:r>
          </w:p>
        </w:tc>
        <w:tc>
          <w:tcPr>
            <w:tcW w:w="400" w:type="dxa"/>
            <w:vMerge w:val="restart"/>
            <w:tcBorders>
              <w:top w:val="nil"/>
              <w:left w:val="single" w:color="000000" w:sz="4" w:space="0"/>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财政专户管理资金结转结余</w:t>
            </w:r>
          </w:p>
        </w:tc>
        <w:tc>
          <w:tcPr>
            <w:tcW w:w="440" w:type="dxa"/>
            <w:vMerge w:val="restart"/>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单位资金结转结余</w:t>
            </w:r>
          </w:p>
        </w:tc>
        <w:tc>
          <w:tcPr>
            <w:tcW w:w="400" w:type="dxa"/>
            <w:vMerge w:val="restart"/>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用事业基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1915.47</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1915.47</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1915.47</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通榆县教育局</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1915.47</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1915.47</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1915.47</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通榆县八面学校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1915.47</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1915.47</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1915.47</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bl>
    <w:p>
      <w:pPr>
        <w:ind w:firstLine="640" w:firstLineChars="200"/>
        <w:rPr>
          <w:rFonts w:eastAsia="楷体"/>
        </w:rPr>
      </w:pPr>
      <w:r>
        <w:rPr>
          <w:rFonts w:hAnsi="楷体" w:eastAsia="楷体"/>
        </w:rPr>
        <w:br w:type="page"/>
      </w:r>
    </w:p>
    <w:tbl>
      <w:tblPr>
        <w:tblStyle w:val="11"/>
        <w:tblW w:w="98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60"/>
        <w:gridCol w:w="134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800" w:type="dxa"/>
            <w:gridSpan w:val="7"/>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支出总表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5780" w:type="dxa"/>
            <w:gridSpan w:val="4"/>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76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功能分类</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科目名称</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基本</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支出</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项目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事业单位</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经营支出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上缴                                            上级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对附属                                           单位补                                      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76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1915.47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1895.07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20.41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1413.65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1393.24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20.41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普通教育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1413.65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1393.24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20.41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学前教育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初中教育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1408.65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1393.24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15.41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267.72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267.72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267.72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267.72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207.77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207.77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50.81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50.81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9.14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9.14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86.11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86.11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86.11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86.11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83.52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83.52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147.99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147.99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147.99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147.99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147.99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147.99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hAnsi="楷体" w:eastAsia="楷体"/>
          <w:sz w:val="24"/>
          <w:szCs w:val="24"/>
          <w:lang w:val="en-US" w:eastAsia="zh-CN"/>
        </w:rPr>
      </w:pPr>
    </w:p>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rPr>
          <w:rFonts w:hAnsi="楷体" w:eastAsia="楷体"/>
          <w:sz w:val="24"/>
          <w:szCs w:val="24"/>
        </w:rPr>
      </w:pPr>
    </w:p>
    <w:tbl>
      <w:tblPr>
        <w:tblStyle w:val="11"/>
        <w:tblW w:w="9118"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633"/>
        <w:gridCol w:w="875"/>
        <w:gridCol w:w="956"/>
        <w:gridCol w:w="557"/>
        <w:gridCol w:w="1692"/>
        <w:gridCol w:w="876"/>
        <w:gridCol w:w="816"/>
        <w:gridCol w:w="558"/>
        <w:gridCol w:w="578"/>
        <w:gridCol w:w="5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7" w:hRule="atLeast"/>
        </w:trPr>
        <w:tc>
          <w:tcPr>
            <w:tcW w:w="9118" w:type="dxa"/>
            <w:gridSpan w:val="1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财政拨款收支预算表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7" w:hRule="atLeast"/>
        </w:trPr>
        <w:tc>
          <w:tcPr>
            <w:tcW w:w="9118" w:type="dxa"/>
            <w:gridSpan w:val="10"/>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5" w:hRule="atLeast"/>
        </w:trPr>
        <w:tc>
          <w:tcPr>
            <w:tcW w:w="4021" w:type="dxa"/>
            <w:gridSpan w:val="4"/>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收      入</w:t>
            </w:r>
          </w:p>
        </w:tc>
        <w:tc>
          <w:tcPr>
            <w:tcW w:w="5097" w:type="dxa"/>
            <w:gridSpan w:val="6"/>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2" w:hRule="atLeast"/>
        </w:trPr>
        <w:tc>
          <w:tcPr>
            <w:tcW w:w="163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875"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95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57"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69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87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137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w:t>
            </w:r>
          </w:p>
        </w:tc>
        <w:tc>
          <w:tcPr>
            <w:tcW w:w="1155"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2" w:hRule="atLeast"/>
        </w:trPr>
        <w:tc>
          <w:tcPr>
            <w:tcW w:w="163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75"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5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55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16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  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6" w:hRule="atLeast"/>
        </w:trPr>
        <w:tc>
          <w:tcPr>
            <w:tcW w:w="16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一、本年收入</w:t>
            </w:r>
          </w:p>
        </w:tc>
        <w:tc>
          <w:tcPr>
            <w:tcW w:w="8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1915.47</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1915.47</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一、一般公共服务支出</w:t>
            </w:r>
          </w:p>
        </w:tc>
        <w:tc>
          <w:tcPr>
            <w:tcW w:w="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6" w:hRule="atLeast"/>
        </w:trPr>
        <w:tc>
          <w:tcPr>
            <w:tcW w:w="16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一般公共预算拨款</w:t>
            </w:r>
          </w:p>
        </w:tc>
        <w:tc>
          <w:tcPr>
            <w:tcW w:w="8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1915.47</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1915.47</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二、公共安全支出</w:t>
            </w:r>
          </w:p>
        </w:tc>
        <w:tc>
          <w:tcPr>
            <w:tcW w:w="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6" w:hRule="atLeast"/>
        </w:trPr>
        <w:tc>
          <w:tcPr>
            <w:tcW w:w="16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政府性基金预算拨款</w:t>
            </w:r>
          </w:p>
        </w:tc>
        <w:tc>
          <w:tcPr>
            <w:tcW w:w="8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三、教育支出</w:t>
            </w:r>
          </w:p>
        </w:tc>
        <w:tc>
          <w:tcPr>
            <w:tcW w:w="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1413.65</w:t>
            </w:r>
          </w:p>
        </w:tc>
        <w:tc>
          <w:tcPr>
            <w:tcW w:w="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1413.65</w:t>
            </w:r>
          </w:p>
        </w:tc>
        <w:tc>
          <w:tcPr>
            <w:tcW w:w="5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6" w:hRule="atLeast"/>
        </w:trPr>
        <w:tc>
          <w:tcPr>
            <w:tcW w:w="16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国有资本经营预算拨款</w:t>
            </w:r>
          </w:p>
        </w:tc>
        <w:tc>
          <w:tcPr>
            <w:tcW w:w="8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四、科学技术支出</w:t>
            </w:r>
          </w:p>
        </w:tc>
        <w:tc>
          <w:tcPr>
            <w:tcW w:w="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6" w:hRule="atLeast"/>
        </w:trPr>
        <w:tc>
          <w:tcPr>
            <w:tcW w:w="16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五、文化体育与传媒支出</w:t>
            </w:r>
          </w:p>
        </w:tc>
        <w:tc>
          <w:tcPr>
            <w:tcW w:w="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6" w:hRule="atLeast"/>
        </w:trPr>
        <w:tc>
          <w:tcPr>
            <w:tcW w:w="16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六、社会保障和就业支出</w:t>
            </w:r>
          </w:p>
        </w:tc>
        <w:tc>
          <w:tcPr>
            <w:tcW w:w="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267.72</w:t>
            </w:r>
          </w:p>
        </w:tc>
        <w:tc>
          <w:tcPr>
            <w:tcW w:w="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267.72</w:t>
            </w:r>
          </w:p>
        </w:tc>
        <w:tc>
          <w:tcPr>
            <w:tcW w:w="5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6" w:hRule="atLeast"/>
        </w:trPr>
        <w:tc>
          <w:tcPr>
            <w:tcW w:w="16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七、医疗卫生和计划生育支出</w:t>
            </w:r>
          </w:p>
        </w:tc>
        <w:tc>
          <w:tcPr>
            <w:tcW w:w="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86.11</w:t>
            </w:r>
          </w:p>
        </w:tc>
        <w:tc>
          <w:tcPr>
            <w:tcW w:w="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86.11</w:t>
            </w:r>
          </w:p>
        </w:tc>
        <w:tc>
          <w:tcPr>
            <w:tcW w:w="5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6" w:hRule="atLeast"/>
        </w:trPr>
        <w:tc>
          <w:tcPr>
            <w:tcW w:w="16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八、节能环保支出</w:t>
            </w:r>
          </w:p>
        </w:tc>
        <w:tc>
          <w:tcPr>
            <w:tcW w:w="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6" w:hRule="atLeast"/>
        </w:trPr>
        <w:tc>
          <w:tcPr>
            <w:tcW w:w="16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九、城乡社区事务</w:t>
            </w:r>
          </w:p>
        </w:tc>
        <w:tc>
          <w:tcPr>
            <w:tcW w:w="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6" w:hRule="atLeast"/>
        </w:trPr>
        <w:tc>
          <w:tcPr>
            <w:tcW w:w="16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十、农林水事务</w:t>
            </w:r>
          </w:p>
        </w:tc>
        <w:tc>
          <w:tcPr>
            <w:tcW w:w="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6" w:hRule="atLeast"/>
        </w:trPr>
        <w:tc>
          <w:tcPr>
            <w:tcW w:w="16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十一、交通运输</w:t>
            </w:r>
          </w:p>
        </w:tc>
        <w:tc>
          <w:tcPr>
            <w:tcW w:w="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6" w:hRule="atLeast"/>
        </w:trPr>
        <w:tc>
          <w:tcPr>
            <w:tcW w:w="16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十二、资源勘探电力信息等事务</w:t>
            </w:r>
          </w:p>
        </w:tc>
        <w:tc>
          <w:tcPr>
            <w:tcW w:w="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6" w:hRule="atLeast"/>
        </w:trPr>
        <w:tc>
          <w:tcPr>
            <w:tcW w:w="16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十三、商业服务业等事务</w:t>
            </w:r>
          </w:p>
        </w:tc>
        <w:tc>
          <w:tcPr>
            <w:tcW w:w="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6" w:hRule="atLeast"/>
        </w:trPr>
        <w:tc>
          <w:tcPr>
            <w:tcW w:w="16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十四、金融监管等事务支出</w:t>
            </w:r>
          </w:p>
        </w:tc>
        <w:tc>
          <w:tcPr>
            <w:tcW w:w="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6" w:hRule="atLeast"/>
        </w:trPr>
        <w:tc>
          <w:tcPr>
            <w:tcW w:w="16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十五、国土资源气象等事务</w:t>
            </w:r>
          </w:p>
        </w:tc>
        <w:tc>
          <w:tcPr>
            <w:tcW w:w="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6" w:hRule="atLeast"/>
        </w:trPr>
        <w:tc>
          <w:tcPr>
            <w:tcW w:w="16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十六、住房保障支出</w:t>
            </w:r>
          </w:p>
        </w:tc>
        <w:tc>
          <w:tcPr>
            <w:tcW w:w="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147.99</w:t>
            </w:r>
          </w:p>
        </w:tc>
        <w:tc>
          <w:tcPr>
            <w:tcW w:w="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147.99</w:t>
            </w:r>
          </w:p>
        </w:tc>
        <w:tc>
          <w:tcPr>
            <w:tcW w:w="5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6" w:hRule="atLeast"/>
        </w:trPr>
        <w:tc>
          <w:tcPr>
            <w:tcW w:w="16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十七、粮油物资管理事务</w:t>
            </w:r>
          </w:p>
        </w:tc>
        <w:tc>
          <w:tcPr>
            <w:tcW w:w="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6" w:hRule="atLeast"/>
        </w:trPr>
        <w:tc>
          <w:tcPr>
            <w:tcW w:w="16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十八、储备事务支出</w:t>
            </w:r>
          </w:p>
        </w:tc>
        <w:tc>
          <w:tcPr>
            <w:tcW w:w="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6" w:hRule="atLeast"/>
        </w:trPr>
        <w:tc>
          <w:tcPr>
            <w:tcW w:w="16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十九、国债还本付息支出</w:t>
            </w:r>
          </w:p>
        </w:tc>
        <w:tc>
          <w:tcPr>
            <w:tcW w:w="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46" w:hRule="atLeast"/>
        </w:trPr>
        <w:tc>
          <w:tcPr>
            <w:tcW w:w="16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二十、其他支出</w:t>
            </w:r>
          </w:p>
        </w:tc>
        <w:tc>
          <w:tcPr>
            <w:tcW w:w="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6" w:hRule="atLeast"/>
        </w:trPr>
        <w:tc>
          <w:tcPr>
            <w:tcW w:w="16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8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1915.47</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1915.47</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1915.47</w:t>
            </w:r>
          </w:p>
        </w:tc>
        <w:tc>
          <w:tcPr>
            <w:tcW w:w="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1915.47</w:t>
            </w:r>
          </w:p>
        </w:tc>
        <w:tc>
          <w:tcPr>
            <w:tcW w:w="5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6" w:hRule="atLeast"/>
        </w:trPr>
        <w:tc>
          <w:tcPr>
            <w:tcW w:w="16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8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w:t>
            </w:r>
          </w:p>
        </w:tc>
        <w:tc>
          <w:tcPr>
            <w:tcW w:w="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6" w:hRule="atLeast"/>
        </w:trPr>
        <w:tc>
          <w:tcPr>
            <w:tcW w:w="16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w:t>
            </w:r>
          </w:p>
        </w:tc>
        <w:tc>
          <w:tcPr>
            <w:tcW w:w="8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6" w:hRule="atLeast"/>
        </w:trPr>
        <w:tc>
          <w:tcPr>
            <w:tcW w:w="16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w:t>
            </w:r>
          </w:p>
        </w:tc>
        <w:tc>
          <w:tcPr>
            <w:tcW w:w="8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6" w:hRule="atLeast"/>
        </w:trPr>
        <w:tc>
          <w:tcPr>
            <w:tcW w:w="16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w:t>
            </w:r>
          </w:p>
        </w:tc>
        <w:tc>
          <w:tcPr>
            <w:tcW w:w="8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2" w:hRule="atLeast"/>
        </w:trPr>
        <w:tc>
          <w:tcPr>
            <w:tcW w:w="16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87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1915.47</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1915.47</w:t>
            </w:r>
          </w:p>
        </w:tc>
        <w:tc>
          <w:tcPr>
            <w:tcW w:w="5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1915.47</w:t>
            </w:r>
          </w:p>
        </w:tc>
        <w:tc>
          <w:tcPr>
            <w:tcW w:w="8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1915.47</w:t>
            </w:r>
          </w:p>
        </w:tc>
        <w:tc>
          <w:tcPr>
            <w:tcW w:w="5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Ansi="楷体" w:eastAsia="楷体"/>
          <w:sz w:val="24"/>
          <w:szCs w:val="24"/>
        </w:rPr>
      </w:pPr>
      <w:r>
        <w:rPr>
          <w:rFonts w:hAnsi="楷体" w:eastAsia="楷体"/>
          <w:sz w:val="24"/>
          <w:szCs w:val="24"/>
        </w:rPr>
        <w:t>注：功能科目填列至项级。没有一般公共预算拨款的，公开空表，不得删除。</w:t>
      </w:r>
    </w:p>
    <w:tbl>
      <w:tblPr>
        <w:tblStyle w:val="11"/>
        <w:tblW w:w="93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2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320" w:type="dxa"/>
            <w:gridSpan w:val="6"/>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320" w:type="dxa"/>
            <w:gridSpan w:val="6"/>
            <w:tcBorders>
              <w:top w:val="nil"/>
              <w:left w:val="nil"/>
              <w:bottom w:val="single" w:color="000000"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2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功能分类科目名称</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总计</w:t>
            </w:r>
          </w:p>
        </w:tc>
        <w:tc>
          <w:tcPr>
            <w:tcW w:w="4020"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基本支出</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                                                               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4020"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人员经费</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公用经费</w:t>
            </w: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合计</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1915.47</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1895.07</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1895.07</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一、教育支出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1413.65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1393.24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1393.24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普通教育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1413.65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1393.24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1393.24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学前教育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二、社会保障和就业支出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1408.65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1393.24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1393.24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267.72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267.72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267.72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267.72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267.72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267.72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207.77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207.77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207.77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50.81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50.81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50.81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三、卫生健康支出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9.14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9.14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9.14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86.11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86.11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86.11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86.11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86.11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86.11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83.52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83.52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83.52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四、住房保障支出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147.99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147.99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147.99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147.99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147.99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147.99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bl>
    <w:p>
      <w:pPr>
        <w:rPr>
          <w:rFonts w:hAnsi="楷体" w:eastAsia="楷体"/>
        </w:rPr>
      </w:pPr>
    </w:p>
    <w:p>
      <w:pPr>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480" w:firstLineChars="200"/>
        <w:rPr>
          <w:rFonts w:hint="eastAsia" w:ascii="楷体" w:hAnsi="楷体" w:eastAsia="楷体" w:cs="楷体"/>
          <w:sz w:val="24"/>
          <w:szCs w:val="24"/>
        </w:rPr>
      </w:pPr>
    </w:p>
    <w:tbl>
      <w:tblPr>
        <w:tblStyle w:val="11"/>
        <w:tblW w:w="91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60"/>
        <w:gridCol w:w="2300"/>
        <w:gridCol w:w="2100"/>
        <w:gridCol w:w="20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100" w:type="dxa"/>
            <w:gridSpan w:val="4"/>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一般公共预算基本支出表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6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30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414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经济分类科目</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人员经费</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合计</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1895.07</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1895.07</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1863.09</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1863.09</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基本工资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693.63</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693.63</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津贴补贴</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156.42</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156.42</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奖金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139.4</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139.4</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绩效工资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356.84</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356.84</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机关事业单位基本养老保险缴费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207.77</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207.77</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职业年金缴费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50.81</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50.81</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职工基本医疗保险缴费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83.52</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83.52</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其他社会保障缴费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11.74</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11.74</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住房公积金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147.99</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147.99</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14.97</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14.97</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二、对个人及家庭的补助</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31.98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31.98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退休费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26.99</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26.99</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生活补助</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4.99</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4.99</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ind w:firstLine="480" w:firstLineChars="200"/>
        <w:rPr>
          <w:rFonts w:hint="eastAsia" w:ascii="楷体" w:hAnsi="楷体" w:eastAsia="楷体" w:cs="楷体"/>
          <w:sz w:val="24"/>
          <w:szCs w:val="24"/>
        </w:rPr>
      </w:pPr>
    </w:p>
    <w:p>
      <w:pPr>
        <w:ind w:firstLine="636"/>
        <w:rPr>
          <w:rFonts w:eastAsia="楷体"/>
        </w:rPr>
      </w:pPr>
      <w:r>
        <w:rPr>
          <w:rFonts w:hAnsi="楷体" w:eastAsia="楷体"/>
        </w:rPr>
        <w:br w:type="page"/>
      </w:r>
    </w:p>
    <w:tbl>
      <w:tblPr>
        <w:tblStyle w:val="11"/>
        <w:tblW w:w="95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016"/>
        <w:gridCol w:w="2175"/>
        <w:gridCol w:w="2275"/>
        <w:gridCol w:w="20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21" w:hRule="atLeast"/>
          <w:jc w:val="center"/>
        </w:trPr>
        <w:tc>
          <w:tcPr>
            <w:tcW w:w="9545" w:type="dxa"/>
            <w:gridSpan w:val="4"/>
            <w:tcBorders>
              <w:top w:val="nil"/>
              <w:left w:val="nil"/>
              <w:right w:val="nil"/>
            </w:tcBorders>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1" w:hRule="atLeast"/>
          <w:jc w:val="center"/>
        </w:trPr>
        <w:tc>
          <w:tcPr>
            <w:tcW w:w="9545" w:type="dxa"/>
            <w:gridSpan w:val="4"/>
            <w:tcBorders>
              <w:bottom w:val="single" w:color="auto" w:sz="4" w:space="0"/>
            </w:tcBorders>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54" w:hRule="atLeast"/>
          <w:jc w:val="center"/>
        </w:trPr>
        <w:tc>
          <w:tcPr>
            <w:tcW w:w="3016"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21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lang w:eastAsia="zh-CN"/>
              </w:rPr>
              <w:t>202</w:t>
            </w:r>
            <w:r>
              <w:rPr>
                <w:rFonts w:hint="eastAsia" w:eastAsia="华文细黑"/>
                <w:color w:val="000000"/>
                <w:kern w:val="0"/>
                <w:sz w:val="20"/>
                <w:lang w:val="en-US" w:eastAsia="zh-CN"/>
              </w:rPr>
              <w:t>4</w:t>
            </w:r>
            <w:r>
              <w:rPr>
                <w:rFonts w:hAnsi="华文细黑" w:eastAsia="华文细黑"/>
                <w:color w:val="000000"/>
                <w:kern w:val="0"/>
                <w:sz w:val="20"/>
              </w:rPr>
              <w:t>年预算数</w:t>
            </w:r>
          </w:p>
        </w:tc>
        <w:tc>
          <w:tcPr>
            <w:tcW w:w="22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2079"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color w:val="000000"/>
                <w:kern w:val="0"/>
                <w:sz w:val="20"/>
              </w:rPr>
              <w:t>合    计</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4"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2079" w:type="dxa"/>
          <w:trHeight w:val="2206" w:hRule="atLeast"/>
          <w:jc w:val="center"/>
        </w:trPr>
        <w:tc>
          <w:tcPr>
            <w:tcW w:w="7466" w:type="dxa"/>
            <w:gridSpan w:val="3"/>
            <w:tcBorders>
              <w:top w:val="single" w:color="auto" w:sz="4" w:space="0"/>
              <w:left w:val="nil"/>
              <w:bottom w:val="nil"/>
              <w:right w:val="nil"/>
            </w:tcBorders>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192</w:t>
            </w:r>
            <w:bookmarkStart w:id="0" w:name="_GoBack"/>
            <w:bookmarkEnd w:id="0"/>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131</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61</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rPr>
          <w:rFonts w:eastAsia="楷体"/>
          <w:kern w:val="0"/>
          <w:szCs w:val="32"/>
        </w:rPr>
      </w:pPr>
      <w:r>
        <w:rPr>
          <w:rFonts w:eastAsia="楷体"/>
          <w:kern w:val="0"/>
          <w:szCs w:val="32"/>
        </w:rPr>
        <w:t xml:space="preserve">    </w:t>
      </w:r>
    </w:p>
    <w:p>
      <w:pPr>
        <w:rPr>
          <w:rFonts w:eastAsia="楷体"/>
          <w:kern w:val="0"/>
          <w:szCs w:val="32"/>
        </w:rPr>
      </w:pPr>
    </w:p>
    <w:p>
      <w:pPr>
        <w:rPr>
          <w:rFonts w:eastAsia="楷体"/>
          <w:kern w:val="0"/>
          <w:szCs w:val="32"/>
        </w:rPr>
      </w:pPr>
    </w:p>
    <w:tbl>
      <w:tblPr>
        <w:tblStyle w:val="11"/>
        <w:tblpPr w:leftFromText="180" w:rightFromText="180" w:vertAnchor="page" w:horzAnchor="page" w:tblpX="1284" w:tblpY="1513"/>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43"/>
        <w:gridCol w:w="2175"/>
        <w:gridCol w:w="2175"/>
        <w:gridCol w:w="25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35" w:hRule="atLeast"/>
        </w:trPr>
        <w:tc>
          <w:tcPr>
            <w:tcW w:w="9225" w:type="dxa"/>
            <w:gridSpan w:val="4"/>
            <w:tcBorders>
              <w:bottom w:val="single" w:color="000000" w:sz="4" w:space="0"/>
            </w:tcBorders>
            <w:vAlign w:val="center"/>
          </w:tcPr>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66" w:hRule="atLeast"/>
        </w:trPr>
        <w:tc>
          <w:tcPr>
            <w:tcW w:w="2343" w:type="dxa"/>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75" w:type="dxa"/>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532"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bl>
    <w:p>
      <w:pPr>
        <w:spacing w:line="240" w:lineRule="auto"/>
        <w:rPr>
          <w:rFonts w:eastAsia="楷体"/>
          <w:kern w:val="0"/>
          <w:szCs w:val="32"/>
        </w:rPr>
      </w:pPr>
      <w:r>
        <w:rPr>
          <w:rFonts w:hint="eastAsia" w:ascii="楷体" w:hAnsi="楷体" w:eastAsia="楷体" w:cs="楷体"/>
          <w:kern w:val="0"/>
          <w:sz w:val="24"/>
          <w:szCs w:val="24"/>
        </w:rPr>
        <w:t>注：功能科目列至项级。没有政府性基金预算拨款的公开空表，不得删除。</w:t>
      </w:r>
    </w:p>
    <w:tbl>
      <w:tblPr>
        <w:tblStyle w:val="11"/>
        <w:tblpPr w:leftFromText="180" w:rightFromText="180" w:vertAnchor="page" w:horzAnchor="page" w:tblpX="1322" w:tblpY="8459"/>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bl>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p>
    <w:p>
      <w:pPr>
        <w:spacing w:line="700" w:lineRule="exact"/>
        <w:rPr>
          <w:rFonts w:hint="eastAsia" w:ascii="黑体" w:hAnsi="黑体" w:eastAsia="黑体" w:cs="黑体"/>
          <w:b/>
          <w:bCs/>
          <w:kern w:val="0"/>
          <w:sz w:val="36"/>
          <w:szCs w:val="36"/>
        </w:rPr>
      </w:pPr>
      <w:r>
        <w:rPr>
          <w:rFonts w:eastAsia="楷体"/>
          <w:kern w:val="0"/>
          <w:szCs w:val="32"/>
        </w:rPr>
        <w:br w:type="page"/>
      </w:r>
    </w:p>
    <w:tbl>
      <w:tblPr>
        <w:tblStyle w:val="11"/>
        <w:tblW w:w="93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864"/>
        <w:gridCol w:w="1864"/>
        <w:gridCol w:w="1864"/>
        <w:gridCol w:w="1864"/>
        <w:gridCol w:w="18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36" w:hRule="atLeast"/>
        </w:trPr>
        <w:tc>
          <w:tcPr>
            <w:tcW w:w="932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17" w:hRule="atLeast"/>
        </w:trPr>
        <w:tc>
          <w:tcPr>
            <w:tcW w:w="5592"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72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通榆县八面学校2024年幼儿园办公经费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1" w:hRule="atLeast"/>
        </w:trPr>
        <w:tc>
          <w:tcPr>
            <w:tcW w:w="5592"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72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1" w:hRule="atLeast"/>
        </w:trPr>
        <w:tc>
          <w:tcPr>
            <w:tcW w:w="186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72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72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1" w:hRule="atLeast"/>
        </w:trPr>
        <w:tc>
          <w:tcPr>
            <w:tcW w:w="186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72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72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1" w:hRule="atLeast"/>
        </w:trPr>
        <w:tc>
          <w:tcPr>
            <w:tcW w:w="186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72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72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1" w:hRule="atLeast"/>
        </w:trPr>
        <w:tc>
          <w:tcPr>
            <w:tcW w:w="186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456"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2024年幼儿园办公经费收入5万元。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1" w:hRule="atLeast"/>
        </w:trPr>
        <w:tc>
          <w:tcPr>
            <w:tcW w:w="186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456"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1" w:hRule="atLeast"/>
        </w:trPr>
        <w:tc>
          <w:tcPr>
            <w:tcW w:w="186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8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8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8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8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1" w:hRule="atLeast"/>
        </w:trPr>
        <w:tc>
          <w:tcPr>
            <w:tcW w:w="186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8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8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学生缴费月数</w:t>
            </w:r>
          </w:p>
        </w:tc>
        <w:tc>
          <w:tcPr>
            <w:tcW w:w="18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91" w:hRule="atLeast"/>
        </w:trPr>
        <w:tc>
          <w:tcPr>
            <w:tcW w:w="186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8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保障标准符合率</w:t>
            </w:r>
          </w:p>
        </w:tc>
        <w:tc>
          <w:tcPr>
            <w:tcW w:w="18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56" w:hRule="atLeast"/>
        </w:trPr>
        <w:tc>
          <w:tcPr>
            <w:tcW w:w="186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8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幼儿园收取保教标准</w:t>
            </w:r>
          </w:p>
        </w:tc>
        <w:tc>
          <w:tcPr>
            <w:tcW w:w="18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450元/月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91" w:hRule="atLeast"/>
        </w:trPr>
        <w:tc>
          <w:tcPr>
            <w:tcW w:w="186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8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经费使用率</w:t>
            </w:r>
          </w:p>
        </w:tc>
        <w:tc>
          <w:tcPr>
            <w:tcW w:w="18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1" w:hRule="atLeast"/>
        </w:trPr>
        <w:tc>
          <w:tcPr>
            <w:tcW w:w="186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8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8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1" w:hRule="atLeast"/>
        </w:trPr>
        <w:tc>
          <w:tcPr>
            <w:tcW w:w="186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8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有效服务学生指数</w:t>
            </w:r>
          </w:p>
        </w:tc>
        <w:tc>
          <w:tcPr>
            <w:tcW w:w="18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1" w:hRule="atLeast"/>
        </w:trPr>
        <w:tc>
          <w:tcPr>
            <w:tcW w:w="186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8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1" w:hRule="atLeast"/>
        </w:trPr>
        <w:tc>
          <w:tcPr>
            <w:tcW w:w="186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8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3" w:hRule="atLeast"/>
        </w:trPr>
        <w:tc>
          <w:tcPr>
            <w:tcW w:w="186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8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学校师生满意度</w:t>
            </w:r>
          </w:p>
        </w:tc>
        <w:tc>
          <w:tcPr>
            <w:tcW w:w="18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both"/>
        <w:rPr>
          <w:rFonts w:hint="eastAsia" w:ascii="黑体" w:hAnsi="黑体" w:eastAsia="黑体" w:cs="黑体"/>
          <w:b/>
          <w:bCs/>
          <w:kern w:val="0"/>
          <w:sz w:val="36"/>
          <w:szCs w:val="36"/>
        </w:rPr>
      </w:pPr>
    </w:p>
    <w:tbl>
      <w:tblPr>
        <w:tblStyle w:val="11"/>
        <w:tblW w:w="948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896"/>
        <w:gridCol w:w="1896"/>
        <w:gridCol w:w="1896"/>
        <w:gridCol w:w="1896"/>
        <w:gridCol w:w="18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55" w:hRule="atLeast"/>
        </w:trPr>
        <w:tc>
          <w:tcPr>
            <w:tcW w:w="948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39" w:hRule="atLeast"/>
        </w:trPr>
        <w:tc>
          <w:tcPr>
            <w:tcW w:w="5688"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79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通榆县八面学校2024年辅岗位人员工资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4" w:hRule="atLeast"/>
        </w:trPr>
        <w:tc>
          <w:tcPr>
            <w:tcW w:w="5688"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79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4" w:hRule="atLeast"/>
        </w:trPr>
        <w:tc>
          <w:tcPr>
            <w:tcW w:w="189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79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79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4" w:hRule="atLeast"/>
        </w:trPr>
        <w:tc>
          <w:tcPr>
            <w:tcW w:w="189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79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79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4" w:hRule="atLeast"/>
        </w:trPr>
        <w:tc>
          <w:tcPr>
            <w:tcW w:w="189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79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79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4" w:hRule="atLeast"/>
        </w:trPr>
        <w:tc>
          <w:tcPr>
            <w:tcW w:w="189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584"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2024年有辅助岗1人，按实际月份发放工资。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4" w:hRule="atLeast"/>
        </w:trPr>
        <w:tc>
          <w:tcPr>
            <w:tcW w:w="189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584"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4" w:hRule="atLeast"/>
        </w:trPr>
        <w:tc>
          <w:tcPr>
            <w:tcW w:w="189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4" w:hRule="atLeast"/>
        </w:trPr>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工资发放月数</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12" w:hRule="atLeast"/>
        </w:trPr>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保障标准符合率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79" w:hRule="atLeast"/>
        </w:trPr>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辅助岗工资发放标准</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3172.67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79" w:hRule="atLeast"/>
        </w:trPr>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辅助岗工资发放及时率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4" w:hRule="atLeast"/>
        </w:trPr>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4" w:hRule="atLeast"/>
        </w:trPr>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政策知晓率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4" w:hRule="atLeast"/>
        </w:trPr>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4" w:hRule="atLeast"/>
        </w:trPr>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8" w:hRule="atLeast"/>
        </w:trPr>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辅助岗人员满意度</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both"/>
        <w:rPr>
          <w:rFonts w:hint="eastAsia" w:ascii="黑体" w:hAnsi="黑体" w:eastAsia="黑体" w:cs="黑体"/>
          <w:b/>
          <w:bCs/>
          <w:kern w:val="0"/>
          <w:sz w:val="36"/>
          <w:szCs w:val="36"/>
        </w:rPr>
      </w:pPr>
    </w:p>
    <w:tbl>
      <w:tblPr>
        <w:tblStyle w:val="11"/>
        <w:tblW w:w="95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900"/>
        <w:gridCol w:w="1900"/>
        <w:gridCol w:w="1900"/>
        <w:gridCol w:w="1900"/>
        <w:gridCol w:w="19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39" w:hRule="atLeast"/>
        </w:trPr>
        <w:tc>
          <w:tcPr>
            <w:tcW w:w="950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60" w:hRule="atLeast"/>
        </w:trPr>
        <w:tc>
          <w:tcPr>
            <w:tcW w:w="5700"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8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通榆县八面学校2024年驻村工作队生活补贴资金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3" w:hRule="atLeast"/>
        </w:trPr>
        <w:tc>
          <w:tcPr>
            <w:tcW w:w="5700"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8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3" w:hRule="atLeast"/>
        </w:trPr>
        <w:tc>
          <w:tcPr>
            <w:tcW w:w="19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8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8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3" w:hRule="atLeast"/>
        </w:trPr>
        <w:tc>
          <w:tcPr>
            <w:tcW w:w="19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8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8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3" w:hRule="atLeast"/>
        </w:trPr>
        <w:tc>
          <w:tcPr>
            <w:tcW w:w="19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8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8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3" w:hRule="atLeast"/>
        </w:trPr>
        <w:tc>
          <w:tcPr>
            <w:tcW w:w="19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600"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通榆县八面学校申请并发放2024年驻村工作队生活补贴资金36000元。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3" w:hRule="atLeast"/>
        </w:trPr>
        <w:tc>
          <w:tcPr>
            <w:tcW w:w="19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600"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3" w:hRule="atLeast"/>
        </w:trPr>
        <w:tc>
          <w:tcPr>
            <w:tcW w:w="19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3" w:hRule="atLeast"/>
        </w:trPr>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驻村天数</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360天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60" w:hRule="atLeast"/>
        </w:trPr>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补助对象资格符合率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95" w:hRule="atLeast"/>
        </w:trPr>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驻村补助发放标准</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100元/人/天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95" w:hRule="atLeast"/>
        </w:trPr>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补助发放及时率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3" w:hRule="atLeast"/>
        </w:trPr>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3" w:hRule="atLeast"/>
        </w:trPr>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政策知晓率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3" w:hRule="atLeast"/>
        </w:trPr>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3" w:hRule="atLeast"/>
        </w:trPr>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6" w:hRule="atLeast"/>
        </w:trPr>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驻村干部满意度</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both"/>
        <w:rPr>
          <w:rFonts w:hint="eastAsia" w:ascii="黑体" w:hAnsi="黑体" w:eastAsia="黑体" w:cs="黑体"/>
          <w:b/>
          <w:bCs/>
          <w:kern w:val="0"/>
          <w:sz w:val="36"/>
          <w:szCs w:val="36"/>
        </w:rPr>
      </w:pPr>
    </w:p>
    <w:p>
      <w:pPr>
        <w:spacing w:line="700" w:lineRule="exact"/>
        <w:jc w:val="center"/>
        <w:rPr>
          <w:rFonts w:hint="eastAsia"/>
          <w:kern w:val="0"/>
          <w:szCs w:val="32"/>
        </w:rPr>
      </w:pPr>
      <w:r>
        <w:rPr>
          <w:rFonts w:hint="eastAsia" w:ascii="黑体" w:hAnsi="黑体" w:eastAsia="黑体" w:cs="黑体"/>
          <w:b/>
          <w:bCs/>
          <w:kern w:val="0"/>
          <w:sz w:val="36"/>
          <w:szCs w:val="36"/>
        </w:rPr>
        <w:t>第三部分 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一、2024年收支预算总体情况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2024年收支总预算1915.47万元，其中：当年预算1915.47万元；上年结转0.00万元。2024年当年预算比2023年预算增加（减少）-130.17万元，主要原因是根据单位事业发展需要减少预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注：收入和支出中包括的具体内容，按本部门《收支总表》反映的实际情况取舍。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二、2024年收入预算情况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收入预算1915.47万元，其中：本年收入1915.47万元，占100%；上年结转0万元，占0%。本年收入中，一般公共预算拨款收入1915.47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0万元，占0%；政府性基金预算拨款结转0万元，占0%；国有资本经营预算拨款结转0万元，占0%；财政专户管理资金结转结余0万元，占0%；单位资金结转0万元，占0%；用事业基金弥补收支差额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注：收入中包括的具体内容，按本部门《收入总表》反映的实际情况取舍。未涉及到的资金填“0”。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三、2024年支出预算情况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2024年支出预算1915.47万元，其中：基本支出1895.07万元，占99%；项目支出20.41万元，占1%；事业单位经营支出0万元，占0%；上缴上级支出0万元，占0%；对附属单位补助支出0万元，占0%。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注：支出中包括的具体内容，按本部门《支出总表》反映的实际情况取舍。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四、2024年财政拨款收支预算情况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财政拨款收支总预算1915.47万元，其中：本年收入1915.47万元，上年结转0万元。支出包括：一般公共服务支出0万元，国防支出0万元，公共安全支出0万元，教育支出1413.65万元，科学技术支出0万元，文化旅游体育与传媒支出0万元，社会保障和就业支出267.72万元，社会保险基金支出0万元，卫生健康支出86.11万元，节能环保支出0万元，城乡社区支出0万元，农林水支出0万元，交通运输支出0万元，资源勘探信息等支出0万元，商业服务业等支出0万元，金融支出0万元，援助其他地区支出0万元，自然资源海洋气象等支出0万元，住房保障支出0万元，粮油物资储备支出0万元，灾害防治及应急管理支出0万元，其他支出0万元，结转下年支出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注：财政拨款收支中包括的具体内容，按本部门《财政拨款收支总表》反映的实际情况取舍。未涉及到的资金填“0”。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五、2024年一般公共预算支出情况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2024年一般公共预算拨款1915.47万元，其中：基本支出1895.07万元，占99%；项目支出20.41万元，占1%。基本支出中，人员经费1895.07万元，占100%；公用经费0万元，占0%。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一般公共服务（类）支出0万元，占0%，主要用于________________。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国防（类）支出0万元，占0%，主要用于_____________________。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教育（类）支出1413.65万元，占74%，主要用于发展教育事业支出。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社会保障和就业（类）支出1408.65万元，占74%，主要用于教职工社会保障支出。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住房保障（类）支出0万元，占0%，主要用于_____________________。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注：一般公共预算拨款中包括的具体内容，按本部门《一般公共预算支出表》反映的实际情况取舍。没有一般公共预算拨款的，直接表述为“本部门无一般公共预算拨款”，不得直接删除。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六、2024年一般公共预算基本支出情况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2024年一般公共预算基本支出1895.07万元，其中：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人员经费1895.07万元，主要包括：基本工资、津贴补贴、奖金、社会保障缴费、其他工资福利支出、离休费、退休费、抚恤金、生活补助、助学金、住房公积金、采暖补贴、其他对个人和家庭的补助支出。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注：一般公共预算基本支出中包括的具体内容，按本部门《一般公共预算基本支出表》反映的基本支出实际情况取舍。没有一般公共预算拨款的，直接表述为“本部门无一般公共预算拨款”，不得直接删除。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七、2024年一般公共预算财政拨款“三公”经费情况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2024年“三公”经费预算数为0万元，其中:当年预算0万元；上年结转0万元。2024年当年预算数比2023年预算数增加（减少）0万元。其中：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1.因公出国（境）费0万元，其中：当年预算0万元；上年结转0万元。2024年当年预算数比2023年预算数增加（减少）0万元，主要原因是_______________。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2.公务接待费0万元，其中：当年预算0万元；上年结转0万元。2024年当年预算数比2023年预算数增加（减少）0万元，主要原因是__________________。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3.公务用车购置及运行费0万元，其中：当年预算0万元；上年结转0万元。2024年当年预算数比2023年预算数增加（减少）0万元。公务用车运行维护费0万元，其中：当年预算0万元；上年结转0万元。2024年当年预算数比2023年预算数增加（减少）0万元，主要原因是0；公务用车购置费0万元，其中：当年预算0万元；上年结转0万元。2024年当年预算数比2023年预算数增加（减少）0万元，主要原因是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三公”经费中包括的具体内容，按本部门《一般公共预算“三公”经费支出表》反映的实际情况填写。2024年预算数要与当年公开数额保持一致。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八、2024年政府性基金预算支出情况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2024年政府性基金预算支出0万元，其中：基本支出0万元，占0%；项目支出0万元，占0%。基本支出中，人员经费0万元，占0%；公用经费0万元，占0%。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注：政府性基金预算支出中包括的具体内容，按本部门《政府性基金预算支出表》反映的实际情况取舍。没有政府性基金预算拨款的，直接表述为“本部门无政府性基金预算拨款”，不得直接删除。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九、2024年国有资本经营预算支出情况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2024年国有资本经营预算支出0万元，其中：基本支出0万元，占0%；项目支出0万元，占0%。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解决历史遗留问题及改革（款）支出0万元，占0%，主要用于_________。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国有企业资本金注入（款）支出0万元，占0%，主要用于____________。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国有企业政策性补贴（款）支出0万元，占0%，主要用于____________。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其他国有资本经营预算（款）支出0万元，占0%，主要用于_____________。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注：国有资本经营预算支出中包括的具体内容，按本部门《国有资本经营预算支出表》反映的实际情况取舍。没有国有资本经营预算拨款的，直接表述为“本部门无国有资本经营预算拨款”，不得直接删除。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十、其他重要事项的说明情况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（一）机关运行经费</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2024年部门本级、_______等0家行政单位以及_______等0家参公管理事业单位的机关运行经费财政拨款预算0万元，比2023年预算增加（减少）0万元，增长（下降）0%，主要原因是_______________。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（二）政府采购情况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2024年政府采购预算总额0万元，其中：政府采购货物预算0万元、政府采购工程预算0万元、政府采购服务预算0万元。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（三）国有资产占有使用情况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截至2023年8月底，部门本级和所属各预算单位共有车辆0辆，土地_______平方米，房屋_______平方米，单价50万元及以上的通用设备0台/套，单价100万元及以上的专用设备实有数0台/套。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2024年部门预算安排购置车辆0辆，安排购置土地0平方米，安排购置房屋0平方米，计划新增单价50万元及以上的通用设备0台/套，计划新增单价100万元及以上的专用设备实有数0台/套。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(四）项目支出情况说明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2024年部门项目支出20.41万元，其中：一级项目1个，二级项目1个；使用本年拨款20.41万元，财政拨款结转0万元。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（五）项目支出绩效目标情况说明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按照全面实施预算绩效管理的要求，结合本部门职能和重点工作，2024年确定0个一级项目支出的绩效目标和指标向社会公开，涉及金额0万元。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注：没有需要按规定说明情况的，直接表述为“本部门无______”，不得直接删除。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第四部分 名词解释</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 xml:space="preserve"> </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（一）一般公共预算拨款收入：指省级财政通过当年一般公共预算拨付的资金。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（二）政府性基金预算拨款收入：指省级财政通过当年政府性基金预算拨付的资金。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（三）国有资本经营预算拨款收入：指省级财政通过当年国有资本经营预算拨付的资金。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（四）财政专户管理资金收入：指未纳入预算并实行财政专户管理的资金收入。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（五）事业收入：指事业单位开展专业业务活动及辅助活动所取得的收入。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（六）上级补助收入：指预算单位从主管部门或上级单位取得的非财政拨款补助收入。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（八）事业单位经营收入：指事业单位在专业业务活动及其辅助活动之外开展非独立核算经营活动取得的收入。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（九）其他收入：指除上述“一般公共预算拨款收入”、“政府性基金预算拨款收入”、“事业收入”、“事业单位经营收入”等以外的收入。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（十一）上年结转：指以前年度尚未完成、结转到本年仍按原规定用途继续使用的资金。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（十二）结转下年：指以前年度预算安排、因客观条件发生变化无法按原计划实施，需延迟到以后年度按原规定用途继续使用的资金。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（十三）基本支出：指为保障机构正常运转、完成日常工作任务而发生的人员支出和公用支出。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（十四）项目支出：指在基本支出之外为完成特定行政任务和事业发展目标所发生的支出。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（十五）上缴上级支出：指附属单位上缴上级的支出。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（十六）事业单位经营支出：指事业单位在专业业务活动及其辅助活动之外开展非独立核算经营活动发生的支出。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（十七）对附属单位补助支出：指对附属单位补助发生的支出。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（二十）项目支出绩效目标：项目支出绩效目标是指部门预算安排的项目支出在一定期限内预期达到的产出和效果。</w:t>
      </w:r>
    </w:p>
    <w:p>
      <w:pPr>
        <w:widowControl w:val="0"/>
        <w:wordWrap/>
        <w:adjustRightInd/>
        <w:snapToGrid/>
        <w:spacing w:line="700" w:lineRule="exact"/>
        <w:ind w:firstLine="640" w:firstLineChars="200"/>
        <w:textAlignment w:val="auto"/>
        <w:rPr>
          <w:rFonts w:hint="eastAsia"/>
          <w:kern w:val="0"/>
          <w:szCs w:val="32"/>
        </w:rPr>
      </w:pPr>
    </w:p>
    <w:sectPr>
      <w:headerReference r:id="rId4" w:type="default"/>
      <w:footerReference r:id="rId6" w:type="default"/>
      <w:headerReference r:id="rId5" w:type="even"/>
      <w:footerReference r:id="rId7" w:type="even"/>
      <w:type w:val="evenPage"/>
      <w:pgSz w:w="11849" w:h="16781"/>
      <w:pgMar w:top="1474" w:right="1134" w:bottom="1474" w:left="1134" w:header="851" w:footer="1587" w:gutter="0"/>
      <w:paperSrc w:first="0" w:other="0"/>
      <w:pgBorders>
        <w:top w:val="none" w:color="auto" w:sz="0" w:space="0"/>
        <w:left w:val="none" w:color="auto" w:sz="0" w:space="0"/>
        <w:bottom w:val="none" w:color="auto" w:sz="0" w:space="0"/>
        <w:right w:val="none" w:color="auto" w:sz="0" w:space="0"/>
      </w:pgBorders>
      <w:pgNumType w:start="0"/>
      <w:cols w:space="720" w:num="1"/>
      <w:titlePg/>
      <w:rtlGutter w:val="0"/>
      <w:docGrid w:type="lines" w:linePitch="60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 w:name="华文细黑">
    <w:altName w:val="宋体"/>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Calibri">
    <w:panose1 w:val="020F0502020204030204"/>
    <w:charset w:val="00"/>
    <w:family w:val="auto"/>
    <w:pitch w:val="default"/>
    <w:sig w:usb0="A00002EF" w:usb1="4000207B" w:usb2="00000000" w:usb3="00000000" w:csb0="2000009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Verdana">
    <w:panose1 w:val="020B0604030504040204"/>
    <w:charset w:val="00"/>
    <w:family w:val="auto"/>
    <w:pitch w:val="default"/>
    <w:sig w:usb0="00000287" w:usb1="00000000"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page" w:x="5372" w:y="-73"/>
      <w:rPr>
        <w:rStyle w:val="10"/>
        <w:sz w:val="28"/>
      </w:rPr>
    </w:pPr>
    <w:r>
      <w:rPr>
        <w:rStyle w:val="10"/>
        <w:rFonts w:hint="eastAsia"/>
        <w:sz w:val="28"/>
      </w:rPr>
      <w:t>—</w:t>
    </w:r>
    <w:r>
      <w:rPr>
        <w:sz w:val="28"/>
      </w:rPr>
      <w:fldChar w:fldCharType="begin"/>
    </w:r>
    <w:r>
      <w:rPr>
        <w:rStyle w:val="10"/>
        <w:sz w:val="28"/>
      </w:rPr>
      <w:instrText xml:space="preserve">PAGE  </w:instrText>
    </w:r>
    <w:r>
      <w:rPr>
        <w:sz w:val="28"/>
      </w:rPr>
      <w:fldChar w:fldCharType="separate"/>
    </w:r>
    <w:r>
      <w:rPr>
        <w:rStyle w:val="10"/>
        <w:sz w:val="28"/>
      </w:rPr>
      <w:t>4</w:t>
    </w:r>
    <w:r>
      <w:rPr>
        <w:sz w:val="28"/>
      </w:rPr>
      <w:fldChar w:fldCharType="end"/>
    </w:r>
    <w:r>
      <w:rPr>
        <w:rStyle w:val="10"/>
        <w:rFonts w:hint="eastAsia"/>
        <w:sz w:val="28"/>
      </w:rPr>
      <w:t>—</w:t>
    </w:r>
  </w:p>
  <w:p>
    <w:pPr>
      <w:pStyle w:val="6"/>
      <w:framePr w:wrap="around" w:vAnchor="text" w:hAnchor="margin" w:xAlign="center" w:y="1"/>
      <w:ind w:right="360"/>
      <w:rPr>
        <w:rStyle w:val="10"/>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margin" w:xAlign="right" w:y="1"/>
      <w:rPr>
        <w:rStyle w:val="10"/>
      </w:rPr>
    </w:pPr>
    <w:r>
      <w:fldChar w:fldCharType="begin"/>
    </w:r>
    <w:r>
      <w:rPr>
        <w:rStyle w:val="10"/>
      </w:rPr>
      <w:instrText xml:space="preserve">PAGE  </w:instrText>
    </w:r>
    <w:r>
      <w:fldChar w:fldCharType="separate"/>
    </w:r>
    <w:r>
      <w:rPr>
        <w:rStyle w:val="10"/>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attachedTemplate r:id="rId1"/>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MTNlNTA3MTJmMmVjZGVlZjUwYWI3YjE4NjJlMzAwMTA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7013ED"/>
    <w:rsid w:val="09A0082A"/>
    <w:rsid w:val="0A334D52"/>
    <w:rsid w:val="0ABA06FE"/>
    <w:rsid w:val="0B5F5ADA"/>
    <w:rsid w:val="0B710869"/>
    <w:rsid w:val="0C2A5C84"/>
    <w:rsid w:val="0D4E5761"/>
    <w:rsid w:val="0DA001B0"/>
    <w:rsid w:val="0DB6446C"/>
    <w:rsid w:val="0DEB170B"/>
    <w:rsid w:val="0E4C7841"/>
    <w:rsid w:val="0E706946"/>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B8D746D"/>
    <w:rsid w:val="1BEC3B34"/>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8E63FAA"/>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F23324"/>
    <w:rsid w:val="3E0A7715"/>
    <w:rsid w:val="3EA14040"/>
    <w:rsid w:val="3EE8108D"/>
    <w:rsid w:val="405745EF"/>
    <w:rsid w:val="40B80EFF"/>
    <w:rsid w:val="40FF5F74"/>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5F6541A7"/>
    <w:rsid w:val="6042091D"/>
    <w:rsid w:val="614125C2"/>
    <w:rsid w:val="624C5C52"/>
    <w:rsid w:val="63952BB5"/>
    <w:rsid w:val="63DF08E4"/>
    <w:rsid w:val="64127E15"/>
    <w:rsid w:val="64C04AFD"/>
    <w:rsid w:val="661A7B69"/>
    <w:rsid w:val="664909C1"/>
    <w:rsid w:val="66C63EB5"/>
    <w:rsid w:val="673E5F3E"/>
    <w:rsid w:val="674364F6"/>
    <w:rsid w:val="677772D0"/>
    <w:rsid w:val="677D5A7C"/>
    <w:rsid w:val="679461D3"/>
    <w:rsid w:val="6858287E"/>
    <w:rsid w:val="69157114"/>
    <w:rsid w:val="691A443E"/>
    <w:rsid w:val="6A80735F"/>
    <w:rsid w:val="6ACC5E47"/>
    <w:rsid w:val="6AD43ED1"/>
    <w:rsid w:val="6B11024D"/>
    <w:rsid w:val="6B7D5B36"/>
    <w:rsid w:val="6CF120A8"/>
    <w:rsid w:val="714213DD"/>
    <w:rsid w:val="715541A3"/>
    <w:rsid w:val="717F272E"/>
    <w:rsid w:val="728027C6"/>
    <w:rsid w:val="72D54D7C"/>
    <w:rsid w:val="737664E0"/>
    <w:rsid w:val="73FE7ACC"/>
    <w:rsid w:val="74053F35"/>
    <w:rsid w:val="74556746"/>
    <w:rsid w:val="74AB7A24"/>
    <w:rsid w:val="76C17E06"/>
    <w:rsid w:val="76CA67BD"/>
    <w:rsid w:val="774E6400"/>
    <w:rsid w:val="775B0046"/>
    <w:rsid w:val="78796248"/>
    <w:rsid w:val="79700BEF"/>
    <w:rsid w:val="79F85634"/>
    <w:rsid w:val="7A090695"/>
    <w:rsid w:val="7AE175F4"/>
    <w:rsid w:val="7B417685"/>
    <w:rsid w:val="7B5220F0"/>
    <w:rsid w:val="7BA169C0"/>
    <w:rsid w:val="7BE95D3C"/>
    <w:rsid w:val="7BF47832"/>
    <w:rsid w:val="7CAD595B"/>
    <w:rsid w:val="7CF65D07"/>
    <w:rsid w:val="7D2975D1"/>
    <w:rsid w:val="7DCC0CD6"/>
    <w:rsid w:val="7FFD0387"/>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9">
    <w:name w:val="Default Paragraph Font"/>
    <w:qFormat/>
    <w:uiPriority w:val="0"/>
  </w:style>
  <w:style w:type="table" w:default="1" w:styleId="11">
    <w:name w:val="Normal Table"/>
    <w:unhideWhenUsed/>
    <w:uiPriority w:val="99"/>
    <w:tblPr>
      <w:tblStyle w:val="11"/>
      <w:tblLayout w:type="fixed"/>
      <w:tblCellMar>
        <w:top w:w="0" w:type="dxa"/>
        <w:left w:w="108" w:type="dxa"/>
        <w:bottom w:w="0" w:type="dxa"/>
        <w:right w:w="108" w:type="dxa"/>
      </w:tblCellMar>
    </w:tblPr>
    <w:tcPr>
      <w:textDirection w:val="lrTb"/>
    </w:tc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character" w:styleId="10">
    <w:name w:val="page number"/>
    <w:basedOn w:val="9"/>
    <w:qFormat/>
    <w:uiPriority w:val="0"/>
    <w:rPr/>
  </w:style>
  <w:style w:type="table" w:styleId="12">
    <w:name w:val="Table Grid"/>
    <w:basedOn w:val="11"/>
    <w:qFormat/>
    <w:uiPriority w:val="59"/>
    <w:pPr/>
    <w:rPr>
      <w:rFonts w:ascii="Calibri" w:hAnsi="Calibri" w:eastAsia="宋体" w:cs="Times New Roman"/>
      <w:kern w:val="2"/>
      <w:sz w:val="21"/>
      <w:szCs w:val="22"/>
    </w:rPr>
    <w:tblPr>
      <w:tblStyle w:val="1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tcPr>
      <w:textDirection w:val="lrTb"/>
    </w:tcPr>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9"/>
    <w:uiPriority w:val="0"/>
    <w:rPr>
      <w:rFonts w:hint="default" w:ascii="Times New Roman" w:hAnsi="Times New Roman" w:cs="Times New Roman"/>
      <w:color w:val="auto"/>
      <w:sz w:val="36"/>
      <w:szCs w:val="36"/>
      <w:u w:val="none"/>
    </w:rPr>
  </w:style>
  <w:style w:type="character" w:customStyle="1" w:styleId="84">
    <w:name w:val="font101"/>
    <w:basedOn w:val="9"/>
    <w:uiPriority w:val="0"/>
    <w:rPr>
      <w:rFonts w:hint="default" w:ascii="Times New Roman" w:hAnsi="Times New Roman" w:cs="Times New Roman"/>
      <w:color w:val="auto"/>
      <w:sz w:val="32"/>
      <w:szCs w:val="32"/>
      <w:u w:val="none"/>
    </w:rPr>
  </w:style>
  <w:style w:type="character" w:customStyle="1" w:styleId="85">
    <w:name w:val="font111"/>
    <w:basedOn w:val="9"/>
    <w:uiPriority w:val="0"/>
    <w:rPr>
      <w:rFonts w:hint="default" w:ascii="monospace" w:hAnsi="monospace" w:eastAsia="monospace" w:cs="monospace"/>
      <w:color w:val="auto"/>
      <w:sz w:val="32"/>
      <w:szCs w:val="32"/>
      <w:u w:val="none"/>
    </w:rPr>
  </w:style>
  <w:style w:type="character" w:customStyle="1" w:styleId="86">
    <w:name w:val="font81"/>
    <w:basedOn w:val="9"/>
    <w:uiPriority w:val="0"/>
    <w:rPr>
      <w:rFonts w:hint="eastAsia" w:ascii="黑体" w:eastAsia="黑体" w:cs="黑体"/>
      <w:color w:val="auto"/>
      <w:sz w:val="32"/>
      <w:szCs w:val="32"/>
      <w:u w:val="none"/>
    </w:rPr>
  </w:style>
  <w:style w:type="character" w:customStyle="1" w:styleId="87">
    <w:name w:val="font91"/>
    <w:basedOn w:val="9"/>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 2020&#24180;&#37096;&#38376;&#39044;&#31639;&#20449;&#24687;&#20844;&#24320;&#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ScaleCrop>false</ScaleCrop>
  <LinksUpToDate>false</LinksUpToDate>
  <CharactersWithSpaces>0</CharactersWithSpaces>
  <Application>WPS Office_9.1.0.5041_{F1E327BC-269C-435d-A152-05C5408002CA}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2024-01-29T02:05:51Z</dcterms:modified>
  <dc:title>主  持  词</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2052-9.1.0.5041</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ies>
</file>