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line="700" w:lineRule="exact"/>
        <w:rPr>
          <w:rFonts w:eastAsia="黑体"/>
        </w:rPr>
      </w:pPr>
      <w:r>
        <w:rPr>
          <w:rFonts w:eastAsia="黑体"/>
        </w:rPr>
        <w:t>附件1：</w:t>
      </w:r>
    </w:p>
    <w:p>
      <w:pPr>
        <w:spacing w:line="700" w:lineRule="exact"/>
        <w:rPr>
          <w:rFonts w:eastAsia="黑体"/>
        </w:rPr>
      </w:pPr>
    </w:p>
    <w:p>
      <w:pPr>
        <w:spacing w:line="700" w:lineRule="exact"/>
        <w:rPr>
          <w:rFonts w:eastAsia="黑体"/>
        </w:rPr>
      </w:pPr>
    </w:p>
    <w:p>
      <w:pPr>
        <w:spacing w:line="700" w:lineRule="exact"/>
        <w:rPr>
          <w:rFonts w:eastAsia="黑体"/>
        </w:rPr>
      </w:pPr>
    </w:p>
    <w:p>
      <w:pPr>
        <w:spacing w:line="700" w:lineRule="exact"/>
        <w:rPr>
          <w:rFonts w:eastAsia="黑体"/>
        </w:rPr>
      </w:pPr>
    </w:p>
    <w:p>
      <w:pPr>
        <w:jc w:val="center"/>
        <w:rPr>
          <w:rFonts w:hint="eastAsia" w:eastAsia="方正小标宋简体"/>
          <w:sz w:val="44"/>
          <w:szCs w:val="44"/>
          <w:u w:val="single"/>
          <w:lang w:eastAsia="zh-CN"/>
        </w:rPr>
      </w:pPr>
      <w:r>
        <w:rPr>
          <w:rFonts w:hint="eastAsia" w:eastAsia="方正小标宋简体"/>
          <w:sz w:val="44"/>
          <w:szCs w:val="44"/>
          <w:u w:val="single"/>
          <w:lang w:eastAsia="zh-CN"/>
        </w:rPr>
        <w:t>通榆县第五中学校</w:t>
      </w:r>
    </w:p>
    <w:p>
      <w:pPr>
        <w:jc w:val="center"/>
        <w:rPr>
          <w:rFonts w:eastAsia="方正小标宋简体"/>
          <w:sz w:val="44"/>
          <w:szCs w:val="44"/>
        </w:rPr>
      </w:pPr>
      <w:r>
        <w:rPr>
          <w:rFonts w:eastAsia="方正小标宋简体"/>
          <w:sz w:val="44"/>
          <w:szCs w:val="44"/>
        </w:rPr>
        <w:t>20</w:t>
      </w:r>
      <w:r>
        <w:rPr>
          <w:rFonts w:hint="eastAsia" w:eastAsia="方正小标宋简体"/>
          <w:sz w:val="44"/>
          <w:szCs w:val="44"/>
        </w:rPr>
        <w:t>2</w:t>
      </w:r>
      <w:r>
        <w:rPr>
          <w:rFonts w:hint="eastAsia" w:eastAsia="方正小标宋简体"/>
          <w:sz w:val="44"/>
          <w:szCs w:val="44"/>
          <w:lang w:val="en-US" w:eastAsia="zh-CN"/>
        </w:rPr>
        <w:t>4</w:t>
      </w:r>
      <w:r>
        <w:rPr>
          <w:rFonts w:eastAsia="方正小标宋简体"/>
          <w:sz w:val="44"/>
          <w:szCs w:val="44"/>
        </w:rPr>
        <w:t>年部门预算</w:t>
      </w:r>
    </w:p>
    <w:p>
      <w:pPr>
        <w:jc w:val="left"/>
      </w:pPr>
      <w:r>
        <w:tab/>
      </w:r>
      <w:r>
        <w:tab/>
      </w:r>
      <w:r>
        <w:tab/>
      </w:r>
      <w:r>
        <w:tab/>
      </w:r>
      <w:r>
        <w:tab/>
      </w:r>
      <w:r>
        <w:tab/>
      </w:r>
    </w:p>
    <w:p>
      <w:pPr>
        <w:jc w:val="left"/>
      </w:pPr>
    </w:p>
    <w:p>
      <w:pPr>
        <w:jc w:val="left"/>
      </w:pPr>
    </w:p>
    <w:p>
      <w:pPr>
        <w:jc w:val="left"/>
      </w:pPr>
    </w:p>
    <w:p>
      <w:pPr>
        <w:jc w:val="left"/>
      </w:pPr>
    </w:p>
    <w:p>
      <w:pPr>
        <w:jc w:val="center"/>
      </w:pPr>
      <w:r>
        <w:rPr>
          <w:rFonts w:hint="eastAsia" w:ascii="黑体" w:hAnsi="黑体" w:eastAsia="黑体" w:cs="黑体"/>
          <w:lang w:val="en-US" w:eastAsia="zh-CN"/>
        </w:rPr>
        <w:t>2024年1月30日</w:t>
      </w:r>
    </w:p>
    <w:p>
      <w:pPr>
        <w:jc w:val="left"/>
      </w:pPr>
    </w:p>
    <w:p>
      <w:pPr>
        <w:jc w:val="left"/>
      </w:pPr>
    </w:p>
    <w:p>
      <w:pPr>
        <w:jc w:val="left"/>
      </w:pPr>
    </w:p>
    <w:p>
      <w:pPr>
        <w:rPr>
          <w:rFonts w:eastAsia="黑体"/>
        </w:rPr>
      </w:pPr>
    </w:p>
    <w:p>
      <w:pPr>
        <w:ind w:firstLine="640" w:firstLineChars="200"/>
        <w:rPr>
          <w:rFonts w:eastAsia="黑体"/>
        </w:rPr>
      </w:pPr>
    </w:p>
    <w:p>
      <w:pPr>
        <w:ind w:firstLine="640" w:firstLineChars="200"/>
        <w:rPr>
          <w:rFonts w:eastAsia="黑体"/>
        </w:rPr>
      </w:pPr>
      <w:r>
        <w:rPr>
          <w:rFonts w:eastAsia="黑体"/>
        </w:rPr>
        <w:br w:type="page"/>
      </w:r>
    </w:p>
    <w:p>
      <w:pPr>
        <w:ind w:firstLine="640" w:firstLineChars="200"/>
        <w:rPr>
          <w:rFonts w:eastAsia="黑体"/>
        </w:rPr>
      </w:pPr>
    </w:p>
    <w:p>
      <w:pPr>
        <w:jc w:val="center"/>
        <w:rPr>
          <w:rFonts w:eastAsia="方正小标宋简体"/>
          <w:sz w:val="44"/>
          <w:szCs w:val="44"/>
        </w:rPr>
      </w:pPr>
      <w:r>
        <w:rPr>
          <w:rFonts w:eastAsia="方正小标宋简体"/>
          <w:sz w:val="44"/>
          <w:szCs w:val="44"/>
        </w:rPr>
        <w:t>目  录</w:t>
      </w:r>
    </w:p>
    <w:p>
      <w:pPr>
        <w:rPr>
          <w:rFonts w:eastAsia="黑体"/>
        </w:rPr>
      </w:pPr>
      <w:r>
        <w:rPr>
          <w:rFonts w:eastAsia="黑体"/>
        </w:rPr>
        <w:tab/>
      </w:r>
      <w:r>
        <w:rPr>
          <w:rFonts w:eastAsia="黑体"/>
        </w:rPr>
        <w:tab/>
      </w:r>
      <w:r>
        <w:rPr>
          <w:rFonts w:eastAsia="黑体"/>
        </w:rPr>
        <w:tab/>
      </w:r>
      <w:r>
        <w:rPr>
          <w:rFonts w:eastAsia="黑体"/>
        </w:rPr>
        <w:tab/>
      </w:r>
      <w:r>
        <w:rPr>
          <w:rFonts w:eastAsia="黑体"/>
        </w:rPr>
        <w:tab/>
      </w:r>
    </w:p>
    <w:p>
      <w:pPr>
        <w:rPr>
          <w:rFonts w:eastAsia="黑体"/>
        </w:rPr>
      </w:pPr>
      <w:r>
        <w:rPr>
          <w:rFonts w:eastAsia="黑体"/>
        </w:rPr>
        <w:t>第一部分  部门概况</w:t>
      </w:r>
      <w:r>
        <w:rPr>
          <w:rFonts w:eastAsia="黑体"/>
        </w:rPr>
        <w:tab/>
      </w:r>
      <w:r>
        <w:rPr>
          <w:rFonts w:eastAsia="黑体"/>
        </w:rPr>
        <w:tab/>
      </w:r>
      <w:r>
        <w:rPr>
          <w:rFonts w:eastAsia="黑体"/>
        </w:rPr>
        <w:tab/>
      </w:r>
      <w:r>
        <w:rPr>
          <w:rFonts w:eastAsia="黑体"/>
        </w:rPr>
        <w:tab/>
      </w:r>
      <w:r>
        <w:rPr>
          <w:rFonts w:eastAsia="黑体"/>
        </w:rPr>
        <w:tab/>
      </w:r>
    </w:p>
    <w:p>
      <w:pPr>
        <w:ind w:left="320" w:leftChars="100" w:firstLine="320" w:firstLineChars="100"/>
      </w:pPr>
      <w:r>
        <w:t>一、主要职能</w:t>
      </w:r>
    </w:p>
    <w:p>
      <w:pPr>
        <w:ind w:left="320" w:leftChars="100" w:firstLine="320" w:firstLineChars="100"/>
      </w:pPr>
      <w:r>
        <w:t>二、机构设置</w:t>
      </w:r>
    </w:p>
    <w:p>
      <w:pPr>
        <w:rPr>
          <w:rFonts w:eastAsia="黑体"/>
        </w:rPr>
      </w:pPr>
      <w:r>
        <w:rPr>
          <w:rFonts w:eastAsia="黑体"/>
        </w:rPr>
        <w:t>第二部分  预算表格</w:t>
      </w:r>
    </w:p>
    <w:p>
      <w:pPr>
        <w:ind w:left="320" w:leftChars="100" w:firstLine="320" w:firstLineChars="100"/>
      </w:pPr>
      <w:r>
        <w:t>一、收支</w:t>
      </w:r>
      <w:r>
        <w:rPr>
          <w:rFonts w:hint="eastAsia"/>
        </w:rPr>
        <w:t>总</w:t>
      </w:r>
      <w:r>
        <w:t>表</w:t>
      </w:r>
    </w:p>
    <w:p>
      <w:pPr>
        <w:ind w:left="320" w:leftChars="100" w:firstLine="320" w:firstLineChars="100"/>
      </w:pPr>
      <w:r>
        <w:t>二、收入</w:t>
      </w:r>
      <w:r>
        <w:rPr>
          <w:rFonts w:hint="eastAsia"/>
        </w:rPr>
        <w:t>总</w:t>
      </w:r>
      <w:r>
        <w:t>表</w:t>
      </w:r>
    </w:p>
    <w:p>
      <w:pPr>
        <w:ind w:left="320" w:leftChars="100" w:firstLine="320" w:firstLineChars="100"/>
      </w:pPr>
      <w:r>
        <w:t>三、支出</w:t>
      </w:r>
      <w:r>
        <w:rPr>
          <w:rFonts w:hint="eastAsia"/>
        </w:rPr>
        <w:t>总</w:t>
      </w:r>
      <w:r>
        <w:t>表</w:t>
      </w:r>
    </w:p>
    <w:p>
      <w:pPr>
        <w:ind w:left="320" w:leftChars="100" w:firstLine="320" w:firstLineChars="100"/>
      </w:pPr>
      <w:r>
        <w:t>四、财政拨款收支</w:t>
      </w:r>
      <w:r>
        <w:rPr>
          <w:rFonts w:hint="eastAsia"/>
        </w:rPr>
        <w:t>总</w:t>
      </w:r>
      <w:r>
        <w:t>表</w:t>
      </w:r>
    </w:p>
    <w:p>
      <w:pPr>
        <w:ind w:left="320" w:leftChars="100" w:firstLine="320" w:firstLineChars="100"/>
        <w:rPr>
          <w:rFonts w:hint="eastAsia"/>
        </w:rPr>
      </w:pPr>
      <w:r>
        <w:t>五、</w:t>
      </w:r>
      <w:r>
        <w:rPr>
          <w:rFonts w:hint="eastAsia"/>
        </w:rPr>
        <w:t>一般公共预算支出表</w:t>
      </w:r>
    </w:p>
    <w:p>
      <w:pPr>
        <w:ind w:left="320" w:leftChars="100" w:firstLine="320" w:firstLineChars="100"/>
        <w:rPr>
          <w:rFonts w:hint="eastAsia"/>
        </w:rPr>
      </w:pPr>
      <w:r>
        <w:t>六、</w:t>
      </w:r>
      <w:r>
        <w:rPr>
          <w:rFonts w:hint="eastAsia"/>
        </w:rPr>
        <w:t>一般公共预算基本支出表</w:t>
      </w:r>
    </w:p>
    <w:p>
      <w:pPr>
        <w:ind w:left="320" w:leftChars="100" w:firstLine="320" w:firstLineChars="100"/>
      </w:pPr>
      <w:r>
        <w:t>七、一般公共预算“三公”经费支出表</w:t>
      </w:r>
    </w:p>
    <w:p>
      <w:pPr>
        <w:ind w:left="320" w:leftChars="100" w:firstLine="320" w:firstLineChars="100"/>
      </w:pPr>
      <w:r>
        <w:t>八、政府性基金预算支出表</w:t>
      </w:r>
    </w:p>
    <w:p>
      <w:pPr>
        <w:ind w:left="320" w:leftChars="100" w:firstLine="320" w:firstLineChars="100"/>
        <w:rPr>
          <w:rFonts w:hint="eastAsia"/>
        </w:rPr>
      </w:pPr>
      <w:r>
        <w:rPr>
          <w:rFonts w:hint="eastAsia"/>
        </w:rPr>
        <w:t>九、国有资本经营</w:t>
      </w:r>
      <w:r>
        <w:t>预算支出表</w:t>
      </w:r>
    </w:p>
    <w:p>
      <w:pPr>
        <w:ind w:left="320" w:leftChars="100" w:firstLine="320" w:firstLineChars="100"/>
        <w:rPr>
          <w:rFonts w:hint="eastAsia"/>
        </w:rPr>
      </w:pPr>
      <w:r>
        <w:rPr>
          <w:rFonts w:hint="eastAsia"/>
        </w:rPr>
        <w:t>十、项目支出表</w:t>
      </w:r>
    </w:p>
    <w:p>
      <w:pPr>
        <w:ind w:left="320" w:leftChars="100" w:firstLine="320" w:firstLineChars="100"/>
        <w:rPr>
          <w:rFonts w:hint="eastAsia"/>
        </w:rPr>
      </w:pPr>
      <w:r>
        <w:rPr>
          <w:rFonts w:hint="eastAsia"/>
        </w:rPr>
        <w:t>十一、项目支出绩效目标表</w:t>
      </w:r>
    </w:p>
    <w:p>
      <w:pPr>
        <w:rPr>
          <w:rFonts w:eastAsia="黑体"/>
        </w:rPr>
      </w:pPr>
      <w:r>
        <w:rPr>
          <w:rFonts w:eastAsia="黑体"/>
        </w:rPr>
        <w:t>第三部分  情况说明</w:t>
      </w:r>
    </w:p>
    <w:p>
      <w:pPr>
        <w:rPr>
          <w:rFonts w:eastAsia="黑体"/>
        </w:rPr>
      </w:pPr>
      <w:r>
        <w:rPr>
          <w:rFonts w:eastAsia="黑体"/>
        </w:rPr>
        <w:t>第四部分  名词解释</w:t>
      </w:r>
    </w:p>
    <w:p>
      <w:pPr>
        <w:rPr>
          <w:rFonts w:eastAsia="黑体"/>
        </w:rPr>
      </w:pPr>
      <w:r>
        <w:rPr>
          <w:rFonts w:eastAsia="黑体"/>
        </w:rPr>
        <w:br w:type="page"/>
      </w:r>
    </w:p>
    <w:p>
      <w:pPr>
        <w:ind w:firstLine="720" w:firstLineChars="200"/>
        <w:jc w:val="center"/>
        <w:rPr>
          <w:rFonts w:eastAsia="黑体"/>
          <w:sz w:val="36"/>
          <w:szCs w:val="36"/>
        </w:rPr>
      </w:pPr>
      <w:r>
        <w:rPr>
          <w:rFonts w:eastAsia="黑体"/>
          <w:sz w:val="36"/>
          <w:szCs w:val="36"/>
        </w:rPr>
        <w:t>第一部分 部门概况</w:t>
      </w:r>
    </w:p>
    <w:p>
      <w:pPr>
        <w:ind w:firstLine="640" w:firstLineChars="200"/>
        <w:rPr>
          <w:rFonts w:eastAsia="楷体_GB2312"/>
        </w:rPr>
      </w:pPr>
    </w:p>
    <w:p>
      <w:pPr>
        <w:ind w:firstLine="640" w:firstLineChars="200"/>
        <w:rPr>
          <w:rFonts w:eastAsia="楷体_GB2312"/>
        </w:rPr>
      </w:pPr>
      <w:r>
        <w:rPr>
          <w:rFonts w:eastAsia="楷体_GB2312"/>
        </w:rPr>
        <w:t>一、主要职能</w:t>
      </w:r>
    </w:p>
    <w:p>
      <w:pPr>
        <w:ind w:firstLine="640" w:firstLineChars="200"/>
        <w:rPr>
          <w:rFonts w:hint="eastAsia" w:ascii="仿宋_GB2312" w:hAnsi="仿宋_GB2312" w:eastAsia="仿宋_GB2312" w:cs="仿宋_GB2312"/>
          <w:color w:val="000000"/>
          <w:szCs w:val="32"/>
        </w:rPr>
      </w:pPr>
      <w:r>
        <w:rPr>
          <w:rFonts w:hint="eastAsia" w:ascii="仿宋_GB2312" w:hAnsi="仿宋_GB2312" w:eastAsia="仿宋_GB2312" w:cs="仿宋_GB2312"/>
          <w:color w:val="000000"/>
          <w:szCs w:val="32"/>
        </w:rPr>
        <w:t>实施初中义务教育，促进基础教育发展。初中学历教育及相关社会服务。</w:t>
      </w:r>
    </w:p>
    <w:p>
      <w:pPr>
        <w:ind w:firstLine="640" w:firstLineChars="200"/>
        <w:rPr>
          <w:rFonts w:hint="eastAsia" w:ascii="仿宋_GB2312" w:hAnsi="仿宋_GB2312" w:eastAsia="仿宋_GB2312" w:cs="仿宋_GB2312"/>
          <w:color w:val="000000"/>
          <w:szCs w:val="32"/>
        </w:rPr>
      </w:pPr>
    </w:p>
    <w:p>
      <w:pPr>
        <w:ind w:firstLine="640" w:firstLineChars="200"/>
      </w:pPr>
      <w:r>
        <w:rPr>
          <w:rFonts w:eastAsia="楷体_GB2312"/>
        </w:rPr>
        <w:t>二、机构设置</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根据上述职责，</w:t>
      </w:r>
      <w:r>
        <w:rPr>
          <w:rFonts w:hint="eastAsia" w:ascii="仿宋_GB2312" w:hAnsi="仿宋_GB2312" w:eastAsia="仿宋_GB2312" w:cs="仿宋_GB2312"/>
          <w:u w:val="single"/>
          <w:lang w:eastAsia="zh-CN"/>
        </w:rPr>
        <w:t>通榆县第五中学校</w:t>
      </w:r>
      <w:r>
        <w:rPr>
          <w:rFonts w:hint="eastAsia" w:ascii="仿宋_GB2312" w:hAnsi="仿宋_GB2312" w:eastAsia="仿宋_GB2312" w:cs="仿宋_GB2312"/>
        </w:rPr>
        <w:t>内设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个机构，分别为</w:t>
      </w:r>
      <w:r>
        <w:rPr>
          <w:rFonts w:hint="eastAsia" w:ascii="仿宋_GB2312" w:hAnsi="仿宋_GB2312" w:eastAsia="仿宋_GB2312" w:cs="仿宋_GB2312"/>
          <w:lang w:eastAsia="zh-CN"/>
        </w:rPr>
        <w:t>教导处、总务处</w:t>
      </w:r>
      <w:r>
        <w:rPr>
          <w:rFonts w:hint="eastAsia" w:ascii="仿宋_GB2312" w:hAnsi="仿宋_GB2312" w:eastAsia="仿宋_GB2312" w:cs="仿宋_GB2312"/>
        </w:rPr>
        <w:t>。</w:t>
      </w:r>
    </w:p>
    <w:p>
      <w:pPr>
        <w:pStyle w:val="44"/>
        <w:ind w:firstLine="640" w:firstLineChars="200"/>
        <w:rPr>
          <w:rFonts w:hint="eastAsia" w:ascii="仿宋_GB2312" w:hAnsi="仿宋_GB2312" w:eastAsia="仿宋_GB2312" w:cs="仿宋_GB2312"/>
        </w:rPr>
      </w:pPr>
      <w:r>
        <w:rPr>
          <w:rFonts w:hint="eastAsia" w:ascii="仿宋_GB2312" w:hAnsi="仿宋_GB2312" w:eastAsia="仿宋_GB2312" w:cs="仿宋_GB2312"/>
        </w:rPr>
        <w:t>下设</w:t>
      </w:r>
      <w:r>
        <w:rPr>
          <w:rFonts w:hint="eastAsia" w:ascii="仿宋_GB2312" w:hAnsi="仿宋_GB2312" w:eastAsia="仿宋_GB2312" w:cs="仿宋_GB2312"/>
          <w:u w:val="single"/>
        </w:rPr>
        <w:t xml:space="preserve"> </w:t>
      </w:r>
      <w:r>
        <w:rPr>
          <w:rFonts w:hint="eastAsia" w:ascii="仿宋_GB2312" w:hAnsi="仿宋_GB2312" w:eastAsia="仿宋_GB2312" w:cs="仿宋_GB2312"/>
          <w:u w:val="single"/>
          <w:lang w:val="en-US" w:eastAsia="zh-CN"/>
        </w:rPr>
        <w:t>0</w:t>
      </w:r>
      <w:r>
        <w:rPr>
          <w:rFonts w:hint="eastAsia" w:ascii="仿宋_GB2312" w:hAnsi="仿宋_GB2312" w:eastAsia="仿宋_GB2312" w:cs="仿宋_GB2312"/>
          <w:u w:val="single"/>
        </w:rPr>
        <w:t xml:space="preserve"> </w:t>
      </w:r>
      <w:r>
        <w:rPr>
          <w:rFonts w:hint="eastAsia" w:ascii="仿宋_GB2312" w:hAnsi="仿宋_GB2312" w:eastAsia="仿宋_GB2312" w:cs="仿宋_GB2312"/>
        </w:rPr>
        <w:t>家预算单位。</w:t>
      </w:r>
    </w:p>
    <w:p>
      <w:pPr>
        <w:pStyle w:val="44"/>
        <w:ind w:firstLine="640" w:firstLineChars="200"/>
        <w:rPr>
          <w:rFonts w:eastAsia="楷体"/>
        </w:rPr>
      </w:pPr>
    </w:p>
    <w:p>
      <w:pPr>
        <w:pStyle w:val="44"/>
        <w:ind w:firstLine="640" w:firstLineChars="200"/>
        <w:rPr>
          <w:rFonts w:eastAsia="楷体"/>
        </w:rPr>
      </w:pPr>
    </w:p>
    <w:p>
      <w:pPr>
        <w:pStyle w:val="44"/>
        <w:ind w:firstLine="640" w:firstLineChars="200"/>
        <w:rPr>
          <w:rFonts w:hAnsi="楷体" w:eastAsia="楷体"/>
        </w:rPr>
      </w:pPr>
    </w:p>
    <w:p>
      <w:pPr>
        <w:pStyle w:val="44"/>
        <w:ind w:firstLine="640" w:firstLineChars="200"/>
        <w:rPr>
          <w:rFonts w:hAnsi="楷体" w:eastAsia="楷体"/>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jc w:val="both"/>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p>
    <w:p>
      <w:pPr>
        <w:ind w:firstLine="720" w:firstLineChars="200"/>
        <w:jc w:val="center"/>
        <w:rPr>
          <w:rFonts w:eastAsia="黑体"/>
          <w:sz w:val="36"/>
          <w:szCs w:val="36"/>
        </w:rPr>
      </w:pPr>
      <w:r>
        <w:rPr>
          <w:rFonts w:eastAsia="黑体"/>
          <w:sz w:val="36"/>
          <w:szCs w:val="36"/>
        </w:rPr>
        <w:t>第二部分 预算表格</w:t>
      </w:r>
    </w:p>
    <w:tbl>
      <w:tblPr>
        <w:tblStyle w:val="11"/>
        <w:tblW w:w="92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0"/>
        <w:gridCol w:w="1000"/>
        <w:gridCol w:w="960"/>
        <w:gridCol w:w="960"/>
        <w:gridCol w:w="1760"/>
        <w:gridCol w:w="960"/>
        <w:gridCol w:w="20"/>
        <w:gridCol w:w="900"/>
        <w:gridCol w:w="96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220" w:type="dxa"/>
            <w:gridSpan w:val="9"/>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收支总表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366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960" w:type="dxa"/>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720"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1880" w:type="dxa"/>
            <w:gridSpan w:val="3"/>
            <w:tcBorders>
              <w:top w:val="nil"/>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4620" w:type="dxa"/>
            <w:gridSpan w:val="4"/>
            <w:tcBorders>
              <w:top w:val="single" w:color="auto" w:sz="4" w:space="0"/>
              <w:left w:val="single" w:color="auto" w:sz="4" w:space="0"/>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收       入</w:t>
            </w:r>
          </w:p>
        </w:tc>
        <w:tc>
          <w:tcPr>
            <w:tcW w:w="4600" w:type="dxa"/>
            <w:gridSpan w:val="5"/>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8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预算数</w:t>
            </w:r>
          </w:p>
        </w:tc>
        <w:tc>
          <w:tcPr>
            <w:tcW w:w="9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一、财政拨款收入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一、一般公共服务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二、公共安全支出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三、城乡社区支出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四、教育支出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597.08</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597.08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二、财政专户管理资金收入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五、科学技术支出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三、单位资金收入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六、文化体育与传媒支出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七、社会保障和就业支出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116.29</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116.29</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事业单位经营收入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八、农林水支出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上级补助收入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九、住房保障支出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64.21</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64.21</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附属单位上缴收入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十、医疗卫生和计划生育支出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37.3</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37.3</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十一、其他支出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814.88</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814.88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  支出</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其他收入结转结余</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10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814.88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814.88</w:t>
            </w:r>
          </w:p>
        </w:tc>
        <w:tc>
          <w:tcPr>
            <w:tcW w:w="960"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814.88</w:t>
            </w:r>
          </w:p>
        </w:tc>
        <w:tc>
          <w:tcPr>
            <w:tcW w:w="920" w:type="dxa"/>
            <w:gridSpan w:val="2"/>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000000"/>
                <w:kern w:val="0"/>
                <w:sz w:val="16"/>
                <w:szCs w:val="16"/>
                <w:u w:val="none"/>
                <w:lang w:val="en-US" w:eastAsia="zh-CN" w:bidi="ar-SA"/>
              </w:rPr>
              <w:t>814.88</w:t>
            </w:r>
          </w:p>
        </w:tc>
        <w:tc>
          <w:tcPr>
            <w:tcW w:w="9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eastAsia="楷体_GB2312"/>
          <w:strike w:val="0"/>
          <w:lang w:val="en-US" w:eastAsia="zh-CN"/>
        </w:rPr>
      </w:pPr>
    </w:p>
    <w:p>
      <w:pPr>
        <w:ind w:firstLine="645"/>
        <w:rPr>
          <w:rFonts w:hAnsi="楷体" w:eastAsia="楷体"/>
        </w:rPr>
      </w:pPr>
    </w:p>
    <w:p>
      <w:pPr>
        <w:ind w:firstLine="645"/>
        <w:rPr>
          <w:rFonts w:eastAsia="楷体"/>
        </w:rPr>
      </w:pPr>
      <w:r>
        <w:rPr>
          <w:rFonts w:hAnsi="楷体" w:eastAsia="楷体"/>
        </w:rPr>
        <w:br w:type="page"/>
      </w:r>
    </w:p>
    <w:tbl>
      <w:tblPr>
        <w:tblStyle w:val="11"/>
        <w:tblW w:w="948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680"/>
        <w:gridCol w:w="440"/>
        <w:gridCol w:w="840"/>
        <w:gridCol w:w="760"/>
        <w:gridCol w:w="720"/>
        <w:gridCol w:w="400"/>
        <w:gridCol w:w="400"/>
        <w:gridCol w:w="400"/>
        <w:gridCol w:w="400"/>
        <w:gridCol w:w="400"/>
        <w:gridCol w:w="400"/>
        <w:gridCol w:w="400"/>
        <w:gridCol w:w="400"/>
        <w:gridCol w:w="400"/>
        <w:gridCol w:w="400"/>
        <w:gridCol w:w="400"/>
        <w:gridCol w:w="400"/>
        <w:gridCol w:w="400"/>
        <w:gridCol w:w="440"/>
        <w:gridCol w:w="4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80" w:type="dxa"/>
            <w:gridSpan w:val="2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收入总表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68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760" w:type="dxa"/>
            <w:gridSpan w:val="9"/>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200" w:type="dxa"/>
            <w:gridSpan w:val="3"/>
            <w:tcBorders>
              <w:top w:val="nil"/>
              <w:left w:val="nil"/>
              <w:bottom w:val="nil"/>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800" w:type="dxa"/>
            <w:gridSpan w:val="2"/>
            <w:tcBorders>
              <w:top w:val="nil"/>
              <w:left w:val="nil"/>
              <w:bottom w:val="single" w:color="000000"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640" w:type="dxa"/>
            <w:gridSpan w:val="4"/>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120" w:type="dxa"/>
            <w:gridSpan w:val="2"/>
            <w:vMerge w:val="restart"/>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部门       （单位）</w:t>
            </w:r>
          </w:p>
        </w:tc>
        <w:tc>
          <w:tcPr>
            <w:tcW w:w="84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4680" w:type="dxa"/>
            <w:gridSpan w:val="10"/>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当年预算</w:t>
            </w:r>
          </w:p>
        </w:tc>
        <w:tc>
          <w:tcPr>
            <w:tcW w:w="2840" w:type="dxa"/>
            <w:gridSpan w:val="7"/>
            <w:tcBorders>
              <w:top w:val="single" w:color="000000" w:sz="4" w:space="0"/>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上年结转结余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小计</w:t>
            </w:r>
          </w:p>
        </w:tc>
        <w:tc>
          <w:tcPr>
            <w:tcW w:w="72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共预算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经营预算</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管理资金</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事业单位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经营收入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上级</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补助</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附属单位</w:t>
            </w:r>
            <w:r>
              <w:rPr>
                <w:rFonts w:hint="eastAsia" w:ascii="仿宋_GB2312" w:hAnsi="Arial" w:eastAsia="仿宋_GB2312" w:cs="仿宋_GB2312"/>
                <w:i w:val="0"/>
                <w:color w:val="auto"/>
                <w:kern w:val="0"/>
                <w:sz w:val="16"/>
                <w:szCs w:val="16"/>
                <w:u w:val="none"/>
                <w:lang w:val="en-US" w:eastAsia="zh-CN" w:bidi="ar-SA"/>
              </w:rPr>
              <w:br/>
            </w:r>
            <w:r>
              <w:rPr>
                <w:rFonts w:hint="eastAsia" w:ascii="仿宋_GB2312" w:hAnsi="Arial" w:eastAsia="仿宋_GB2312" w:cs="仿宋_GB2312"/>
                <w:i w:val="0"/>
                <w:color w:val="auto"/>
                <w:kern w:val="0"/>
                <w:sz w:val="16"/>
                <w:szCs w:val="16"/>
                <w:u w:val="none"/>
                <w:lang w:val="en-US" w:eastAsia="zh-CN" w:bidi="ar-SA"/>
              </w:rPr>
              <w:t>上缴收入</w:t>
            </w:r>
          </w:p>
        </w:tc>
        <w:tc>
          <w:tcPr>
            <w:tcW w:w="400"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其他收入</w:t>
            </w:r>
          </w:p>
        </w:tc>
        <w:tc>
          <w:tcPr>
            <w:tcW w:w="400" w:type="dxa"/>
            <w:vMerge w:val="restart"/>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小计</w:t>
            </w:r>
          </w:p>
        </w:tc>
        <w:tc>
          <w:tcPr>
            <w:tcW w:w="400" w:type="dxa"/>
            <w:vMerge w:val="restart"/>
            <w:tcBorders>
              <w:top w:val="nil"/>
              <w:left w:val="single" w:color="000000" w:sz="4" w:space="0"/>
              <w:bottom w:val="nil"/>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国有资本经营预算拨款结转</w:t>
            </w:r>
          </w:p>
        </w:tc>
        <w:tc>
          <w:tcPr>
            <w:tcW w:w="40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财政专户管理资金结转结余</w:t>
            </w:r>
          </w:p>
        </w:tc>
        <w:tc>
          <w:tcPr>
            <w:tcW w:w="440" w:type="dxa"/>
            <w:vMerge w:val="restart"/>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单位资金结转结余</w:t>
            </w:r>
          </w:p>
        </w:tc>
        <w:tc>
          <w:tcPr>
            <w:tcW w:w="400" w:type="dxa"/>
            <w:vMerge w:val="restart"/>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用事业基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vMerge w:val="continue"/>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84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76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72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nil"/>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400" w:type="dxa"/>
            <w:vMerge w:val="continue"/>
            <w:tcBorders>
              <w:top w:val="nil"/>
              <w:left w:val="single" w:color="000000" w:sz="4" w:space="0"/>
              <w:bottom w:val="nil"/>
              <w:right w:val="nil"/>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40" w:type="dxa"/>
            <w:vMerge w:val="continue"/>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400" w:type="dxa"/>
            <w:vMerge w:val="continue"/>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nil"/>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814.88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814.88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814.88</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通榆县教育局</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814.88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814.88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814.88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通榆县第五中学校</w:t>
            </w:r>
          </w:p>
        </w:tc>
        <w:tc>
          <w:tcPr>
            <w:tcW w:w="84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814.88</w:t>
            </w:r>
          </w:p>
        </w:tc>
        <w:tc>
          <w:tcPr>
            <w:tcW w:w="76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814.88</w:t>
            </w:r>
          </w:p>
        </w:tc>
        <w:tc>
          <w:tcPr>
            <w:tcW w:w="72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814.88</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120" w:type="dxa"/>
            <w:gridSpan w:val="2"/>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6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72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4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400" w:type="dxa"/>
            <w:tcBorders>
              <w:top w:val="nil"/>
              <w:left w:val="nil"/>
              <w:bottom w:val="single" w:color="000000" w:sz="4" w:space="0"/>
              <w:right w:val="single" w:color="000000"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bl>
    <w:p>
      <w:pPr>
        <w:ind w:firstLine="640" w:firstLineChars="200"/>
        <w:rPr>
          <w:rFonts w:eastAsia="楷体"/>
        </w:rPr>
      </w:pPr>
      <w:r>
        <w:rPr>
          <w:rFonts w:hAnsi="楷体" w:eastAsia="楷体"/>
        </w:rPr>
        <w:br w:type="page"/>
      </w:r>
    </w:p>
    <w:tbl>
      <w:tblPr>
        <w:tblStyle w:val="11"/>
        <w:tblW w:w="98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60"/>
        <w:gridCol w:w="134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800" w:type="dxa"/>
            <w:gridSpan w:val="7"/>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支出总表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5780" w:type="dxa"/>
            <w:gridSpan w:val="4"/>
            <w:tcBorders>
              <w:top w:val="nil"/>
              <w:left w:val="nil"/>
              <w:bottom w:val="nil"/>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nil"/>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1760" w:type="dxa"/>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功能分类</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科目名称</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总计</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基本</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项目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事业单位</w:t>
            </w:r>
            <w:r>
              <w:rPr>
                <w:rFonts w:hint="eastAsia" w:ascii="仿宋_GB2312" w:hAnsi="Arial" w:eastAsia="仿宋_GB2312" w:cs="仿宋_GB2312"/>
                <w:i w:val="0"/>
                <w:color w:val="000000"/>
                <w:kern w:val="0"/>
                <w:sz w:val="16"/>
                <w:szCs w:val="16"/>
                <w:u w:val="none"/>
                <w:lang w:val="en-US" w:eastAsia="zh-CN" w:bidi="ar-SA"/>
              </w:rPr>
              <w:br/>
            </w:r>
            <w:r>
              <w:rPr>
                <w:rFonts w:hint="eastAsia" w:ascii="仿宋_GB2312" w:hAnsi="Arial" w:eastAsia="仿宋_GB2312" w:cs="仿宋_GB2312"/>
                <w:i w:val="0"/>
                <w:color w:val="000000"/>
                <w:kern w:val="0"/>
                <w:sz w:val="16"/>
                <w:szCs w:val="16"/>
                <w:u w:val="none"/>
                <w:lang w:val="en-US" w:eastAsia="zh-CN" w:bidi="ar-SA"/>
              </w:rPr>
              <w:t>经营支出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上缴                                            上级                                                         支出</w:t>
            </w:r>
          </w:p>
        </w:tc>
        <w:tc>
          <w:tcPr>
            <w:tcW w:w="1340" w:type="dxa"/>
            <w:vMerge w:val="restart"/>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对附属                                           单位补                                      助支出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1760" w:type="dxa"/>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c>
          <w:tcPr>
            <w:tcW w:w="1340" w:type="dxa"/>
            <w:vMerge w:val="continue"/>
            <w:tcBorders>
              <w:top w:val="single" w:color="auto" w:sz="4" w:space="0"/>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16"/>
                <w:szCs w:val="1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812.88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597.08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595.08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597.08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595.08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597.08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595.08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176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rPr>
          <w:rFonts w:hint="eastAsia" w:hAnsi="楷体" w:eastAsia="楷体"/>
          <w:sz w:val="24"/>
          <w:szCs w:val="24"/>
          <w:lang w:val="en-US" w:eastAsia="zh-CN"/>
        </w:rPr>
      </w:pPr>
    </w:p>
    <w:p>
      <w:pPr>
        <w:rPr>
          <w:rFonts w:hAnsi="楷体" w:eastAsia="楷体"/>
          <w:sz w:val="24"/>
          <w:szCs w:val="24"/>
        </w:rPr>
      </w:pPr>
      <w:r>
        <w:rPr>
          <w:rFonts w:hint="eastAsia" w:hAnsi="楷体" w:eastAsia="楷体"/>
          <w:sz w:val="24"/>
          <w:szCs w:val="24"/>
          <w:lang w:val="en-US" w:eastAsia="zh-CN"/>
        </w:rPr>
        <w:t>注：</w:t>
      </w:r>
      <w:r>
        <w:rPr>
          <w:rFonts w:hAnsi="楷体" w:eastAsia="楷体"/>
          <w:sz w:val="24"/>
          <w:szCs w:val="24"/>
        </w:rPr>
        <w:t>功能科目填列至项级。</w:t>
      </w:r>
    </w:p>
    <w:p>
      <w:pPr>
        <w:rPr>
          <w:rFonts w:hAnsi="楷体" w:eastAsia="楷体"/>
          <w:sz w:val="24"/>
          <w:szCs w:val="24"/>
        </w:rPr>
      </w:pPr>
    </w:p>
    <w:tbl>
      <w:tblPr>
        <w:tblStyle w:val="11"/>
        <w:tblW w:w="95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708"/>
        <w:gridCol w:w="917"/>
        <w:gridCol w:w="999"/>
        <w:gridCol w:w="584"/>
        <w:gridCol w:w="1771"/>
        <w:gridCol w:w="916"/>
        <w:gridCol w:w="854"/>
        <w:gridCol w:w="583"/>
        <w:gridCol w:w="604"/>
        <w:gridCol w:w="6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8" w:hRule="atLeast"/>
        </w:trPr>
        <w:tc>
          <w:tcPr>
            <w:tcW w:w="9540" w:type="dxa"/>
            <w:gridSpan w:val="10"/>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财政拨款收支预算表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9540" w:type="dxa"/>
            <w:gridSpan w:val="10"/>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59" w:hRule="atLeast"/>
        </w:trPr>
        <w:tc>
          <w:tcPr>
            <w:tcW w:w="4208" w:type="dxa"/>
            <w:gridSpan w:val="4"/>
            <w:tcBorders>
              <w:top w:val="single" w:color="auto" w:sz="4" w:space="0"/>
              <w:left w:val="nil"/>
              <w:bottom w:val="single" w:color="auto" w:sz="4" w:space="0"/>
              <w:right w:val="single" w:color="000000" w:sz="4" w:space="0"/>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收      入</w:t>
            </w:r>
          </w:p>
        </w:tc>
        <w:tc>
          <w:tcPr>
            <w:tcW w:w="5332" w:type="dxa"/>
            <w:gridSpan w:val="6"/>
            <w:tcBorders>
              <w:top w:val="single" w:color="auto" w:sz="4" w:space="0"/>
              <w:left w:val="nil"/>
              <w:bottom w:val="single" w:color="auto" w:sz="4" w:space="0"/>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支      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7"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999"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4"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1771"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项  目</w:t>
            </w:r>
          </w:p>
        </w:tc>
        <w:tc>
          <w:tcPr>
            <w:tcW w:w="916"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2024年预算数</w:t>
            </w:r>
          </w:p>
        </w:tc>
        <w:tc>
          <w:tcPr>
            <w:tcW w:w="1437"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w:t>
            </w:r>
          </w:p>
        </w:tc>
        <w:tc>
          <w:tcPr>
            <w:tcW w:w="1208"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08"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7"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99"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584"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1771"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916"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auto"/>
                <w:sz w:val="16"/>
                <w:szCs w:val="16"/>
                <w:u w:val="none"/>
              </w:rPr>
            </w:pP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上年结转</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当年预算</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上年  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一、本年收入</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一、一般公共服务支出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一般公共预算拨款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二、公共安全支出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政府性基金预算拨款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三、教育支出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597.08</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597.08</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xml:space="preserve">  国有资本经营预算拨款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四、科学技术支出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五、文化体育与传媒支出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六、社会保障和就业支出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116.29</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116.29</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七、医疗卫生和计划生育支出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37.3</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37.3</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八、节能环保支出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九、城乡社区事务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十、农林水事务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十一、交通运输</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十二、资源勘探电力信息等事务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十三、商业服务业等事务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十四、金融监管等事务支出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十五、国土资源气象等事务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十六、住房保障支出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64.21</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64.21</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十七、粮油物资管理事务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十八、储备事务支出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5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十九、国债还本付息支出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二十、其他支出</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本年收入合计</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本年支出合计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财政拨款结转</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结转下年</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一般公共预算拨款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政府性基金预算拨款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293"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国有资本经营预算拨款</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both"/>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06" w:hRule="atLeast"/>
        </w:trPr>
        <w:tc>
          <w:tcPr>
            <w:tcW w:w="1708"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收入总计</w:t>
            </w:r>
          </w:p>
        </w:tc>
        <w:tc>
          <w:tcPr>
            <w:tcW w:w="9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999"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58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1771"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b/>
                <w:i w:val="0"/>
                <w:color w:val="auto"/>
                <w:sz w:val="16"/>
                <w:szCs w:val="16"/>
                <w:u w:val="none"/>
              </w:rPr>
            </w:pPr>
            <w:r>
              <w:rPr>
                <w:rFonts w:hint="eastAsia" w:ascii="仿宋_GB2312" w:hAnsi="Arial" w:eastAsia="仿宋_GB2312" w:cs="仿宋_GB2312"/>
                <w:b/>
                <w:i w:val="0"/>
                <w:color w:val="auto"/>
                <w:kern w:val="0"/>
                <w:sz w:val="16"/>
                <w:szCs w:val="16"/>
                <w:u w:val="none"/>
                <w:lang w:val="en-US" w:eastAsia="zh-CN" w:bidi="ar-SA"/>
              </w:rPr>
              <w:t>支出总计</w:t>
            </w:r>
          </w:p>
        </w:tc>
        <w:tc>
          <w:tcPr>
            <w:tcW w:w="91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854" w:type="dxa"/>
            <w:tcBorders>
              <w:top w:val="nil"/>
              <w:left w:val="nil"/>
              <w:bottom w:val="single" w:color="auto" w:sz="4" w:space="0"/>
              <w:right w:val="single" w:color="auto" w:sz="4" w:space="0"/>
            </w:tcBorders>
            <w:shd w:val="clear" w:color="auto" w:fill="FFFFFF"/>
            <w:tcMar>
              <w:top w:w="15" w:type="dxa"/>
              <w:left w:w="15" w:type="dxa"/>
              <w:right w:w="15" w:type="dxa"/>
            </w:tcMar>
            <w:textDirection w:val="lrTb"/>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814.88</w:t>
            </w:r>
          </w:p>
        </w:tc>
        <w:tc>
          <w:tcPr>
            <w:tcW w:w="58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60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tbl>
      <w:tblPr>
        <w:tblStyle w:val="11"/>
        <w:tblpPr w:leftFromText="180" w:rightFromText="180" w:vertAnchor="text" w:horzAnchor="page" w:tblpX="1159" w:tblpY="149"/>
        <w:tblOverlap w:val="never"/>
        <w:tblW w:w="932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620"/>
        <w:gridCol w:w="1340"/>
        <w:gridCol w:w="1340"/>
        <w:gridCol w:w="1340"/>
        <w:gridCol w:w="1340"/>
        <w:gridCol w:w="13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320" w:type="dxa"/>
            <w:gridSpan w:val="6"/>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320" w:type="dxa"/>
            <w:gridSpan w:val="6"/>
            <w:tcBorders>
              <w:top w:val="nil"/>
              <w:left w:val="nil"/>
              <w:bottom w:val="single" w:color="000000"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62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功能分类科目名称</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总计</w:t>
            </w:r>
          </w:p>
        </w:tc>
        <w:tc>
          <w:tcPr>
            <w:tcW w:w="4020" w:type="dxa"/>
            <w:gridSpan w:val="3"/>
            <w:vMerge w:val="restart"/>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基本支出</w:t>
            </w:r>
          </w:p>
        </w:tc>
        <w:tc>
          <w:tcPr>
            <w:tcW w:w="1340" w:type="dxa"/>
            <w:vMerge w:val="restart"/>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                                                               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4020" w:type="dxa"/>
            <w:gridSpan w:val="3"/>
            <w:vMerge w:val="continue"/>
            <w:tcBorders>
              <w:top w:val="single" w:color="000000" w:sz="4" w:space="0"/>
              <w:left w:val="single" w:color="000000" w:sz="4" w:space="0"/>
              <w:bottom w:val="single" w:color="000000" w:sz="4" w:space="0"/>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62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人员经费</w:t>
            </w:r>
          </w:p>
        </w:tc>
        <w:tc>
          <w:tcPr>
            <w:tcW w:w="1340" w:type="dxa"/>
            <w:tcBorders>
              <w:top w:val="nil"/>
              <w:left w:val="nil"/>
              <w:bottom w:val="nil"/>
              <w:right w:val="single" w:color="000000"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公用经费</w:t>
            </w:r>
          </w:p>
        </w:tc>
        <w:tc>
          <w:tcPr>
            <w:tcW w:w="1340" w:type="dxa"/>
            <w:vMerge w:val="continue"/>
            <w:tcBorders>
              <w:top w:val="nil"/>
              <w:left w:val="single" w:color="000000" w:sz="4" w:space="0"/>
              <w:bottom w:val="nil"/>
              <w:right w:val="single" w:color="000000"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合计</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814.88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812.88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812.88</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一、教育支出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597.08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595.08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595.08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普通教育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597.08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595.08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595.08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初中教育</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597.08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595.08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595.08</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二、社会保障和就业支出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116.29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116.29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116.29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116.29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116.29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116.29</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机关事业单位基本养老保险缴费支出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90.23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90.23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90.23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机关事业单位职业年金缴费支出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22.1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其他行政事业单位养老支出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3.96</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三、卫生健康支出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行政事业单位医疗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37.3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事业单位医疗</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36.17</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其他行政事业单位医疗支出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1.13</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宋体" w:hAnsi="宋体" w:eastAsia="宋体" w:cs="宋体"/>
                <w:i w:val="0"/>
                <w:color w:val="000000"/>
                <w:sz w:val="16"/>
                <w:szCs w:val="16"/>
                <w:u w:val="none"/>
              </w:rPr>
            </w:pPr>
            <w:r>
              <w:rPr>
                <w:rFonts w:hint="eastAsia" w:ascii="宋体" w:hAnsi="宋体" w:eastAsia="宋体" w:cs="宋体"/>
                <w:i w:val="0"/>
                <w:color w:val="000000"/>
                <w:kern w:val="0"/>
                <w:sz w:val="16"/>
                <w:szCs w:val="16"/>
                <w:u w:val="none"/>
                <w:lang w:val="en-US" w:eastAsia="zh-CN" w:bidi="ar-SA"/>
              </w:rPr>
              <w:t>四、住房保障支出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住房改革支出</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620"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default" w:ascii="Verdana" w:hAnsi="Verdana" w:cs="Verdana"/>
                <w:i w:val="0"/>
                <w:color w:val="000000"/>
                <w:sz w:val="16"/>
                <w:szCs w:val="16"/>
                <w:u w:val="none"/>
              </w:rPr>
            </w:pPr>
            <w:r>
              <w:rPr>
                <w:rFonts w:hint="default" w:ascii="Verdana" w:hAnsi="Verdana" w:eastAsia="宋体" w:cs="Verdana"/>
                <w:i w:val="0"/>
                <w:color w:val="000000"/>
                <w:kern w:val="0"/>
                <w:sz w:val="16"/>
                <w:szCs w:val="16"/>
                <w:u w:val="none"/>
                <w:lang w:val="en-US" w:eastAsia="zh-CN" w:bidi="ar-SA"/>
              </w:rPr>
              <w:t>　　住房公积金</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64.21</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1340"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r>
    </w:tbl>
    <w:p>
      <w:pPr>
        <w:rPr>
          <w:rFonts w:hAnsi="楷体" w:eastAsia="楷体"/>
          <w:sz w:val="24"/>
          <w:szCs w:val="24"/>
        </w:rPr>
      </w:pPr>
    </w:p>
    <w:p>
      <w:pPr>
        <w:rPr>
          <w:rFonts w:hAnsi="楷体" w:eastAsia="楷体"/>
          <w:sz w:val="24"/>
          <w:szCs w:val="24"/>
        </w:rPr>
      </w:pPr>
      <w:r>
        <w:rPr>
          <w:rFonts w:hAnsi="楷体" w:eastAsia="楷体"/>
          <w:sz w:val="24"/>
          <w:szCs w:val="24"/>
        </w:rPr>
        <w:t>注：功能科目填列至项级。没有一般公共预算拨款的，公开空表，不得删除。</w:t>
      </w:r>
    </w:p>
    <w:p>
      <w:pPr>
        <w:ind w:firstLine="640" w:firstLineChars="200"/>
        <w:rPr>
          <w:rFonts w:eastAsia="楷体"/>
        </w:rPr>
      </w:pPr>
      <w:r>
        <w:rPr>
          <w:rFonts w:hAnsi="楷体" w:eastAsia="楷体"/>
        </w:rPr>
        <w:br w:type="page"/>
      </w:r>
    </w:p>
    <w:tbl>
      <w:tblPr>
        <w:tblStyle w:val="11"/>
        <w:tblW w:w="944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2759"/>
        <w:gridCol w:w="2386"/>
        <w:gridCol w:w="2178"/>
        <w:gridCol w:w="211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80" w:hRule="atLeast"/>
        </w:trPr>
        <w:tc>
          <w:tcPr>
            <w:tcW w:w="944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44"/>
                <w:szCs w:val="44"/>
                <w:u w:val="none"/>
              </w:rPr>
            </w:pPr>
            <w:r>
              <w:rPr>
                <w:rFonts w:hint="eastAsia" w:ascii="仿宋_GB2312" w:hAnsi="Arial" w:eastAsia="仿宋_GB2312" w:cs="仿宋_GB2312"/>
                <w:i w:val="0"/>
                <w:color w:val="auto"/>
                <w:kern w:val="0"/>
                <w:sz w:val="44"/>
                <w:szCs w:val="44"/>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5" w:hRule="atLeast"/>
        </w:trPr>
        <w:tc>
          <w:tcPr>
            <w:tcW w:w="9440" w:type="dxa"/>
            <w:gridSpan w:val="4"/>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hint="eastAsia"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一般公共预算基本支出表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30" w:hRule="atLeast"/>
        </w:trPr>
        <w:tc>
          <w:tcPr>
            <w:tcW w:w="2759"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lef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2386" w:type="dxa"/>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w:t>
            </w:r>
          </w:p>
        </w:tc>
        <w:tc>
          <w:tcPr>
            <w:tcW w:w="4295" w:type="dxa"/>
            <w:gridSpan w:val="2"/>
            <w:tcBorders>
              <w:top w:val="nil"/>
              <w:left w:val="nil"/>
              <w:bottom w:val="single" w:color="auto" w:sz="4" w:space="0"/>
              <w:right w:val="nil"/>
            </w:tcBorders>
            <w:shd w:val="clear" w:color="auto" w:fill="FFFFFF"/>
            <w:tcMar>
              <w:top w:w="15" w:type="dxa"/>
              <w:left w:w="15" w:type="dxa"/>
              <w:right w:w="15" w:type="dxa"/>
            </w:tcMar>
            <w:vAlign w:val="bottom"/>
          </w:tcPr>
          <w:p>
            <w:pPr>
              <w:widowControl/>
              <w:jc w:val="right"/>
              <w:textAlignment w:val="bottom"/>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 xml:space="preserve"> 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20"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经济分类科目</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合计</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人员经费</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公用经费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00"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20"/>
                <w:szCs w:val="20"/>
                <w:u w:val="none"/>
              </w:rPr>
            </w:pPr>
            <w:r>
              <w:rPr>
                <w:rFonts w:hint="eastAsia" w:ascii="仿宋_GB2312" w:hAnsi="Arial" w:eastAsia="仿宋_GB2312" w:cs="仿宋_GB2312"/>
                <w:i w:val="0"/>
                <w:color w:val="auto"/>
                <w:kern w:val="0"/>
                <w:sz w:val="20"/>
                <w:szCs w:val="20"/>
                <w:u w:val="none"/>
                <w:lang w:val="en-US" w:eastAsia="zh-CN" w:bidi="ar-SA"/>
              </w:rPr>
              <w:t>合计</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812.88</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812.88</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一、工资福利支出</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806.16</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806.16</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基本工资</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310.18</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310.18</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津贴补贴</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64.87</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64.87</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奖金</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59.69</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59.69</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绩效工资</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147.04</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147.04</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机关事业单位基本养老保险缴费</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90.23</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90.23</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职业年金缴费</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22.1</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22.1</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职工基本医疗保险缴费</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36.17</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36.17</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其他社会保障缴费</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5.09</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5.09</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　住房公积金</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64.21</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64.21</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auto"/>
                <w:kern w:val="0"/>
                <w:sz w:val="16"/>
                <w:szCs w:val="16"/>
                <w:u w:val="none"/>
                <w:lang w:val="en-US" w:eastAsia="zh-CN" w:bidi="ar-SA"/>
              </w:rPr>
              <w:t>　其他工资福利支出</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6.58</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6.58</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000000"/>
                <w:sz w:val="16"/>
                <w:szCs w:val="16"/>
                <w:u w:val="none"/>
              </w:rPr>
            </w:pPr>
            <w:r>
              <w:rPr>
                <w:rFonts w:hint="eastAsia" w:ascii="仿宋_GB2312" w:hAnsi="Arial" w:eastAsia="仿宋_GB2312" w:cs="仿宋_GB2312"/>
                <w:i w:val="0"/>
                <w:color w:val="000000"/>
                <w:kern w:val="0"/>
                <w:sz w:val="16"/>
                <w:szCs w:val="16"/>
                <w:u w:val="none"/>
                <w:lang w:val="en-US" w:eastAsia="zh-CN" w:bidi="ar-SA"/>
              </w:rPr>
              <w:t>二、</w:t>
            </w:r>
            <w:r>
              <w:rPr>
                <w:rFonts w:hint="eastAsia" w:ascii="仿宋_GB2312" w:hAnsi="Arial" w:cs="仿宋_GB2312"/>
                <w:i w:val="0"/>
                <w:color w:val="000000"/>
                <w:kern w:val="0"/>
                <w:sz w:val="16"/>
                <w:szCs w:val="16"/>
                <w:u w:val="none"/>
                <w:lang w:val="en-US" w:eastAsia="zh-CN" w:bidi="ar-SA"/>
              </w:rPr>
              <w:t>对个人及家庭的补助</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　</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6.72　　</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退休费</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6.38</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6.38</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生活补助</w:t>
            </w: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0.34</w:t>
            </w: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0.34</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9" w:hRule="atLeast"/>
        </w:trPr>
        <w:tc>
          <w:tcPr>
            <w:tcW w:w="2759"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left"/>
              <w:textAlignment w:val="center"/>
              <w:rPr>
                <w:rFonts w:hint="eastAsia" w:ascii="仿宋_GB2312" w:hAnsi="Arial" w:eastAsia="仿宋_GB2312" w:cs="仿宋_GB2312"/>
                <w:i w:val="0"/>
                <w:color w:val="auto"/>
                <w:sz w:val="16"/>
                <w:szCs w:val="16"/>
                <w:u w:val="none"/>
              </w:rPr>
            </w:pPr>
          </w:p>
        </w:tc>
        <w:tc>
          <w:tcPr>
            <w:tcW w:w="2386"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2178"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211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ind w:firstLine="480" w:firstLineChars="200"/>
        <w:rPr>
          <w:rFonts w:hint="eastAsia" w:ascii="楷体" w:hAnsi="楷体" w:eastAsia="楷体" w:cs="楷体"/>
          <w:sz w:val="24"/>
          <w:szCs w:val="24"/>
        </w:rPr>
      </w:pPr>
    </w:p>
    <w:p>
      <w:pPr>
        <w:ind w:firstLine="480" w:firstLineChars="200"/>
        <w:rPr>
          <w:rFonts w:hint="eastAsia" w:ascii="楷体" w:hAnsi="楷体" w:eastAsia="楷体" w:cs="楷体"/>
          <w:sz w:val="24"/>
          <w:szCs w:val="24"/>
        </w:rPr>
      </w:pPr>
      <w:r>
        <w:rPr>
          <w:rFonts w:hint="eastAsia" w:ascii="楷体" w:hAnsi="楷体" w:eastAsia="楷体" w:cs="楷体"/>
          <w:sz w:val="24"/>
          <w:szCs w:val="24"/>
        </w:rPr>
        <w:t>注：经济科目填列至款级。没有一般公共预算拨款的，公开空表，不得删除。</w:t>
      </w:r>
    </w:p>
    <w:p>
      <w:pPr>
        <w:ind w:firstLine="636"/>
        <w:rPr>
          <w:rFonts w:eastAsia="楷体"/>
        </w:rPr>
      </w:pPr>
      <w:r>
        <w:rPr>
          <w:rFonts w:hAnsi="楷体" w:eastAsia="楷体"/>
        </w:rPr>
        <w:br w:type="page"/>
      </w:r>
    </w:p>
    <w:tbl>
      <w:tblPr>
        <w:tblStyle w:val="11"/>
        <w:tblW w:w="9545"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3016"/>
        <w:gridCol w:w="2175"/>
        <w:gridCol w:w="2275"/>
        <w:gridCol w:w="207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221" w:hRule="atLeast"/>
          <w:jc w:val="center"/>
        </w:trPr>
        <w:tc>
          <w:tcPr>
            <w:tcW w:w="9545" w:type="dxa"/>
            <w:gridSpan w:val="4"/>
            <w:tcBorders>
              <w:top w:val="nil"/>
              <w:left w:val="nil"/>
              <w:right w:val="nil"/>
            </w:tcBorders>
            <w:vAlign w:val="center"/>
          </w:tcPr>
          <w:p>
            <w:pPr>
              <w:widowControl/>
              <w:jc w:val="center"/>
              <w:rPr>
                <w:rFonts w:eastAsia="宋体"/>
                <w:color w:val="000000"/>
                <w:kern w:val="0"/>
                <w:sz w:val="44"/>
                <w:szCs w:val="44"/>
              </w:rPr>
            </w:pPr>
            <w:r>
              <w:rPr>
                <w:rFonts w:ascii="Times New Roman" w:hAnsi="Times New Roman" w:eastAsia="方正小标宋简体" w:cs="Times New Roman"/>
                <w:kern w:val="0"/>
                <w:sz w:val="36"/>
                <w:szCs w:val="36"/>
              </w:rPr>
              <w:t>一般公共预算“三公”经费支出表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431" w:hRule="atLeast"/>
          <w:jc w:val="center"/>
        </w:trPr>
        <w:tc>
          <w:tcPr>
            <w:tcW w:w="9545" w:type="dxa"/>
            <w:gridSpan w:val="4"/>
            <w:tcBorders>
              <w:bottom w:val="single" w:color="auto" w:sz="4" w:space="0"/>
            </w:tcBorders>
            <w:vAlign w:val="center"/>
          </w:tcPr>
          <w:p>
            <w:pPr>
              <w:widowControl/>
              <w:jc w:val="right"/>
              <w:rPr>
                <w:rFonts w:eastAsia="华文细黑"/>
                <w:color w:val="000000"/>
                <w:kern w:val="0"/>
                <w:sz w:val="20"/>
              </w:rPr>
            </w:pPr>
            <w:r>
              <w:rPr>
                <w:rFonts w:hAnsi="华文细黑" w:eastAsia="华文细黑"/>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854" w:hRule="atLeast"/>
          <w:jc w:val="center"/>
        </w:trPr>
        <w:tc>
          <w:tcPr>
            <w:tcW w:w="3016" w:type="dxa"/>
            <w:tcBorders>
              <w:top w:val="single" w:color="auto" w:sz="4" w:space="0"/>
              <w:left w:val="single" w:color="auto" w:sz="4" w:space="0"/>
              <w:bottom w:val="single" w:color="auto" w:sz="4" w:space="0"/>
              <w:right w:val="single" w:color="auto" w:sz="4" w:space="0"/>
            </w:tcBorders>
            <w:vAlign w:val="center"/>
          </w:tcPr>
          <w:p>
            <w:pPr>
              <w:widowControl/>
              <w:jc w:val="center"/>
              <w:rPr>
                <w:rFonts w:eastAsia="华文细黑"/>
                <w:color w:val="000000"/>
                <w:kern w:val="0"/>
                <w:sz w:val="20"/>
              </w:rPr>
            </w:pPr>
            <w:r>
              <w:rPr>
                <w:rFonts w:hAnsi="华文细黑" w:eastAsia="华文细黑"/>
                <w:color w:val="000000"/>
                <w:kern w:val="0"/>
                <w:sz w:val="20"/>
              </w:rPr>
              <w:t>项</w:t>
            </w:r>
            <w:r>
              <w:rPr>
                <w:rFonts w:eastAsia="华文细黑"/>
                <w:color w:val="000000"/>
                <w:kern w:val="0"/>
                <w:sz w:val="20"/>
              </w:rPr>
              <w:t xml:space="preserve">    </w:t>
            </w:r>
            <w:r>
              <w:rPr>
                <w:rFonts w:hAnsi="华文细黑" w:eastAsia="华文细黑"/>
                <w:color w:val="000000"/>
                <w:kern w:val="0"/>
                <w:sz w:val="20"/>
              </w:rPr>
              <w:t>目</w:t>
            </w:r>
          </w:p>
        </w:tc>
        <w:tc>
          <w:tcPr>
            <w:tcW w:w="21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lang w:eastAsia="zh-CN"/>
              </w:rPr>
              <w:t>202</w:t>
            </w:r>
            <w:r>
              <w:rPr>
                <w:rFonts w:hint="eastAsia" w:eastAsia="华文细黑"/>
                <w:color w:val="000000"/>
                <w:kern w:val="0"/>
                <w:sz w:val="20"/>
                <w:lang w:val="en-US" w:eastAsia="zh-CN"/>
              </w:rPr>
              <w:t>4</w:t>
            </w:r>
            <w:r>
              <w:rPr>
                <w:rFonts w:hAnsi="华文细黑" w:eastAsia="华文细黑"/>
                <w:color w:val="000000"/>
                <w:kern w:val="0"/>
                <w:sz w:val="20"/>
              </w:rPr>
              <w:t>年预算数</w:t>
            </w:r>
          </w:p>
        </w:tc>
        <w:tc>
          <w:tcPr>
            <w:tcW w:w="2275"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当年预算</w:t>
            </w:r>
          </w:p>
        </w:tc>
        <w:tc>
          <w:tcPr>
            <w:tcW w:w="2079" w:type="dxa"/>
            <w:tcBorders>
              <w:top w:val="single" w:color="auto" w:sz="4" w:space="0"/>
              <w:left w:val="nil"/>
              <w:bottom w:val="single" w:color="auto" w:sz="4" w:space="0"/>
              <w:right w:val="single" w:color="auto" w:sz="4" w:space="0"/>
            </w:tcBorders>
            <w:vAlign w:val="center"/>
          </w:tcPr>
          <w:p>
            <w:pPr>
              <w:widowControl/>
              <w:jc w:val="center"/>
              <w:rPr>
                <w:rFonts w:eastAsia="华文细黑"/>
                <w:color w:val="000000"/>
                <w:kern w:val="0"/>
                <w:sz w:val="20"/>
              </w:rPr>
            </w:pPr>
            <w:r>
              <w:rPr>
                <w:rFonts w:hint="eastAsia" w:eastAsia="华文细黑"/>
                <w:color w:val="000000"/>
                <w:kern w:val="0"/>
                <w:sz w:val="20"/>
              </w:rPr>
              <w:t>上年结转</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2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center"/>
              <w:rPr>
                <w:rFonts w:eastAsia="宋体"/>
                <w:color w:val="000000"/>
                <w:kern w:val="0"/>
                <w:sz w:val="20"/>
              </w:rPr>
            </w:pPr>
            <w:r>
              <w:rPr>
                <w:rFonts w:eastAsia="宋体"/>
                <w:color w:val="000000"/>
                <w:kern w:val="0"/>
                <w:sz w:val="20"/>
              </w:rPr>
              <w:t>合    计</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0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1、因公出国（境）费用</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8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2、公务接待费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4"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200" w:firstLineChars="100"/>
              <w:jc w:val="left"/>
              <w:rPr>
                <w:rFonts w:eastAsia="宋体"/>
                <w:color w:val="000000"/>
                <w:kern w:val="0"/>
                <w:sz w:val="20"/>
              </w:rPr>
            </w:pPr>
            <w:r>
              <w:rPr>
                <w:rFonts w:eastAsia="宋体"/>
                <w:color w:val="000000"/>
                <w:kern w:val="0"/>
                <w:sz w:val="20"/>
              </w:rPr>
              <w:t>3、公务用车费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16" w:hRule="atLeast"/>
          <w:jc w:val="center"/>
        </w:trPr>
        <w:tc>
          <w:tcPr>
            <w:tcW w:w="3016" w:type="dxa"/>
            <w:tcBorders>
              <w:top w:val="nil"/>
              <w:left w:val="single" w:color="auto" w:sz="4" w:space="0"/>
              <w:bottom w:val="single" w:color="auto" w:sz="4" w:space="0"/>
              <w:right w:val="single" w:color="auto" w:sz="4" w:space="0"/>
            </w:tcBorders>
            <w:vAlign w:val="center"/>
          </w:tcPr>
          <w:p>
            <w:pPr>
              <w:widowControl/>
              <w:ind w:firstLine="400" w:firstLineChars="200"/>
              <w:jc w:val="left"/>
              <w:rPr>
                <w:rFonts w:eastAsia="宋体"/>
                <w:color w:val="000000"/>
                <w:kern w:val="0"/>
                <w:sz w:val="20"/>
              </w:rPr>
            </w:pPr>
            <w:r>
              <w:rPr>
                <w:rFonts w:eastAsia="宋体"/>
                <w:color w:val="000000"/>
                <w:kern w:val="0"/>
                <w:sz w:val="20"/>
              </w:rPr>
              <w:t>其中：（1）公务用车运行维护费</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96" w:hRule="atLeast"/>
          <w:jc w:val="center"/>
        </w:trPr>
        <w:tc>
          <w:tcPr>
            <w:tcW w:w="3016" w:type="dxa"/>
            <w:tcBorders>
              <w:top w:val="nil"/>
              <w:left w:val="single" w:color="auto" w:sz="4" w:space="0"/>
              <w:bottom w:val="single" w:color="auto" w:sz="4" w:space="0"/>
              <w:right w:val="single" w:color="auto" w:sz="4" w:space="0"/>
            </w:tcBorders>
            <w:vAlign w:val="center"/>
          </w:tcPr>
          <w:p>
            <w:pPr>
              <w:widowControl/>
              <w:jc w:val="left"/>
              <w:rPr>
                <w:rFonts w:eastAsia="宋体"/>
                <w:color w:val="000000"/>
                <w:kern w:val="0"/>
                <w:sz w:val="20"/>
              </w:rPr>
            </w:pPr>
            <w:r>
              <w:rPr>
                <w:rFonts w:eastAsia="宋体"/>
                <w:color w:val="000000"/>
                <w:kern w:val="0"/>
                <w:sz w:val="20"/>
              </w:rPr>
              <w:t xml:space="preserve">          （2）公务用车购置</w:t>
            </w:r>
          </w:p>
        </w:tc>
        <w:tc>
          <w:tcPr>
            <w:tcW w:w="2175" w:type="dxa"/>
            <w:tcBorders>
              <w:top w:val="nil"/>
              <w:left w:val="nil"/>
              <w:bottom w:val="single" w:color="auto" w:sz="4" w:space="0"/>
              <w:right w:val="single" w:color="auto" w:sz="4" w:space="0"/>
            </w:tcBorders>
            <w:vAlign w:val="center"/>
          </w:tcPr>
          <w:p>
            <w:pPr>
              <w:widowControl/>
              <w:jc w:val="center"/>
              <w:rPr>
                <w:rFonts w:eastAsia="宋体"/>
                <w:color w:val="000000"/>
                <w:kern w:val="0"/>
                <w:sz w:val="20"/>
              </w:rPr>
            </w:pPr>
          </w:p>
        </w:tc>
        <w:tc>
          <w:tcPr>
            <w:tcW w:w="2275" w:type="dxa"/>
            <w:tcBorders>
              <w:top w:val="nil"/>
              <w:left w:val="nil"/>
              <w:bottom w:val="single" w:color="auto" w:sz="4" w:space="0"/>
              <w:right w:val="single" w:color="auto" w:sz="4" w:space="0"/>
            </w:tcBorders>
            <w:vAlign w:val="center"/>
          </w:tcPr>
          <w:p>
            <w:pPr>
              <w:jc w:val="center"/>
              <w:rPr>
                <w:rFonts w:eastAsia="宋体"/>
                <w:color w:val="000000"/>
                <w:kern w:val="0"/>
                <w:sz w:val="20"/>
              </w:rPr>
            </w:pPr>
            <w:r>
              <w:rPr>
                <w:rFonts w:eastAsia="宋体"/>
                <w:color w:val="000000"/>
                <w:kern w:val="0"/>
                <w:sz w:val="20"/>
              </w:rPr>
              <w:t>　</w:t>
            </w:r>
          </w:p>
        </w:tc>
        <w:tc>
          <w:tcPr>
            <w:tcW w:w="2079" w:type="dxa"/>
            <w:tcBorders>
              <w:top w:val="nil"/>
              <w:left w:val="nil"/>
              <w:bottom w:val="single" w:color="auto" w:sz="4" w:space="0"/>
              <w:right w:val="single" w:color="auto" w:sz="4" w:space="0"/>
            </w:tcBorders>
            <w:vAlign w:val="center"/>
          </w:tcPr>
          <w:p>
            <w:pPr>
              <w:jc w:val="center"/>
              <w:rPr>
                <w:rFonts w:eastAsia="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gridAfter w:val="1"/>
          <w:wAfter w:w="2079" w:type="dxa"/>
          <w:trHeight w:val="2206" w:hRule="atLeast"/>
          <w:jc w:val="center"/>
        </w:trPr>
        <w:tc>
          <w:tcPr>
            <w:tcW w:w="7466" w:type="dxa"/>
            <w:gridSpan w:val="3"/>
            <w:tcBorders>
              <w:top w:val="single" w:color="auto" w:sz="4" w:space="0"/>
              <w:left w:val="nil"/>
              <w:bottom w:val="nil"/>
              <w:right w:val="nil"/>
            </w:tcBorders>
            <w:vAlign w:val="center"/>
          </w:tcPr>
          <w:p>
            <w:pPr>
              <w:widowControl/>
              <w:jc w:val="left"/>
              <w:rPr>
                <w:rFonts w:hint="eastAsia" w:eastAsia="仿宋_GB2312"/>
                <w:color w:val="000000"/>
                <w:kern w:val="0"/>
                <w:sz w:val="28"/>
                <w:szCs w:val="28"/>
                <w:lang w:eastAsia="zh-CN"/>
              </w:rPr>
            </w:pPr>
            <w:r>
              <w:rPr>
                <w:rFonts w:eastAsia="宋体"/>
                <w:color w:val="000000"/>
                <w:kern w:val="0"/>
                <w:sz w:val="28"/>
                <w:szCs w:val="28"/>
              </w:rPr>
              <w:t xml:space="preserve">  </w:t>
            </w:r>
            <w:r>
              <w:rPr>
                <w:color w:val="000000"/>
                <w:kern w:val="0"/>
                <w:sz w:val="28"/>
                <w:szCs w:val="28"/>
              </w:rPr>
              <w:t>说明：</w:t>
            </w:r>
          </w:p>
          <w:p>
            <w:pPr>
              <w:widowControl/>
              <w:jc w:val="left"/>
              <w:rPr>
                <w:rFonts w:hint="eastAsia" w:eastAsia="宋体"/>
                <w:color w:val="000000"/>
                <w:kern w:val="0"/>
                <w:sz w:val="28"/>
                <w:szCs w:val="28"/>
                <w:lang w:eastAsia="zh-CN"/>
              </w:rPr>
            </w:pPr>
            <w:r>
              <w:rPr>
                <w:rFonts w:eastAsia="宋体"/>
                <w:color w:val="000000"/>
                <w:kern w:val="0"/>
                <w:sz w:val="28"/>
                <w:szCs w:val="28"/>
              </w:rPr>
              <w:t xml:space="preserve">       1</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的单位范围包括部门本级及所属</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w:t>
            </w:r>
            <w:r>
              <w:rPr>
                <w:color w:val="000000"/>
                <w:kern w:val="0"/>
                <w:sz w:val="28"/>
                <w:szCs w:val="28"/>
              </w:rPr>
              <w:t>个预算单位。</w:t>
            </w:r>
            <w:r>
              <w:rPr>
                <w:rFonts w:eastAsia="宋体"/>
                <w:color w:val="000000"/>
                <w:kern w:val="0"/>
                <w:sz w:val="28"/>
                <w:szCs w:val="28"/>
              </w:rPr>
              <w:t xml:space="preserve">   </w:t>
            </w:r>
          </w:p>
          <w:p>
            <w:pPr>
              <w:widowControl/>
              <w:jc w:val="left"/>
              <w:rPr>
                <w:color w:val="000000"/>
                <w:kern w:val="0"/>
                <w:sz w:val="28"/>
                <w:szCs w:val="28"/>
              </w:rPr>
            </w:pPr>
            <w:r>
              <w:rPr>
                <w:rFonts w:eastAsia="宋体"/>
                <w:color w:val="000000"/>
                <w:kern w:val="0"/>
                <w:sz w:val="28"/>
                <w:szCs w:val="28"/>
              </w:rPr>
              <w:t xml:space="preserve">       2</w:t>
            </w:r>
            <w:r>
              <w:rPr>
                <w:color w:val="000000"/>
                <w:kern w:val="0"/>
                <w:sz w:val="28"/>
                <w:szCs w:val="28"/>
              </w:rPr>
              <w:t>、</w:t>
            </w:r>
            <w:r>
              <w:rPr>
                <w:rFonts w:eastAsia="宋体"/>
                <w:color w:val="000000"/>
                <w:kern w:val="0"/>
                <w:sz w:val="28"/>
                <w:szCs w:val="28"/>
              </w:rPr>
              <w:t>“</w:t>
            </w:r>
            <w:r>
              <w:rPr>
                <w:rFonts w:hint="eastAsia" w:eastAsia="宋体"/>
                <w:color w:val="000000"/>
                <w:kern w:val="0"/>
                <w:sz w:val="28"/>
                <w:szCs w:val="28"/>
                <w:lang w:eastAsia="zh-CN"/>
              </w:rPr>
              <w:t>202</w:t>
            </w:r>
            <w:r>
              <w:rPr>
                <w:rFonts w:hint="eastAsia" w:eastAsia="宋体"/>
                <w:color w:val="000000"/>
                <w:kern w:val="0"/>
                <w:sz w:val="28"/>
                <w:szCs w:val="28"/>
                <w:lang w:val="en-US" w:eastAsia="zh-CN"/>
              </w:rPr>
              <w:t>4</w:t>
            </w:r>
            <w:r>
              <w:rPr>
                <w:color w:val="000000"/>
                <w:kern w:val="0"/>
                <w:sz w:val="28"/>
                <w:szCs w:val="28"/>
              </w:rPr>
              <w:t>年预算数</w:t>
            </w:r>
            <w:r>
              <w:rPr>
                <w:rFonts w:eastAsia="宋体"/>
                <w:color w:val="000000"/>
                <w:kern w:val="0"/>
                <w:sz w:val="28"/>
                <w:szCs w:val="28"/>
              </w:rPr>
              <w:t>”</w:t>
            </w:r>
            <w:r>
              <w:rPr>
                <w:color w:val="000000"/>
                <w:kern w:val="0"/>
                <w:sz w:val="28"/>
                <w:szCs w:val="28"/>
              </w:rPr>
              <w:t>的实有人员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68</w:t>
            </w:r>
            <w:r>
              <w:rPr>
                <w:rFonts w:eastAsia="宋体"/>
                <w:color w:val="000000"/>
                <w:kern w:val="0"/>
                <w:sz w:val="28"/>
                <w:szCs w:val="28"/>
                <w:u w:val="single"/>
              </w:rPr>
              <w:t xml:space="preserve"> </w:t>
            </w:r>
            <w:r>
              <w:rPr>
                <w:color w:val="000000"/>
                <w:kern w:val="0"/>
                <w:sz w:val="28"/>
                <w:szCs w:val="28"/>
              </w:rPr>
              <w:t>人，其中：在职人员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52</w:t>
            </w:r>
            <w:r>
              <w:rPr>
                <w:rFonts w:eastAsia="宋体"/>
                <w:color w:val="000000"/>
                <w:kern w:val="0"/>
                <w:sz w:val="28"/>
                <w:szCs w:val="28"/>
                <w:u w:val="single"/>
              </w:rPr>
              <w:t xml:space="preserve"> </w:t>
            </w:r>
            <w:r>
              <w:rPr>
                <w:color w:val="000000"/>
                <w:kern w:val="0"/>
                <w:sz w:val="28"/>
                <w:szCs w:val="28"/>
              </w:rPr>
              <w:t>人，离退休人员</w:t>
            </w:r>
            <w:r>
              <w:rPr>
                <w:rFonts w:eastAsia="宋体"/>
                <w:color w:val="000000"/>
                <w:kern w:val="0"/>
                <w:sz w:val="28"/>
                <w:szCs w:val="28"/>
                <w:u w:val="single"/>
              </w:rPr>
              <w:t xml:space="preserve"> </w:t>
            </w:r>
            <w:r>
              <w:rPr>
                <w:rFonts w:hint="eastAsia" w:eastAsia="宋体"/>
                <w:color w:val="000000"/>
                <w:kern w:val="0"/>
                <w:sz w:val="28"/>
                <w:szCs w:val="28"/>
                <w:u w:val="single"/>
                <w:lang w:val="en-US" w:eastAsia="zh-CN"/>
              </w:rPr>
              <w:t>13</w:t>
            </w:r>
            <w:bookmarkStart w:id="0" w:name="_GoBack"/>
            <w:bookmarkEnd w:id="0"/>
            <w:r>
              <w:rPr>
                <w:rFonts w:eastAsia="宋体"/>
                <w:color w:val="000000"/>
                <w:kern w:val="0"/>
                <w:sz w:val="28"/>
                <w:szCs w:val="28"/>
                <w:u w:val="single"/>
              </w:rPr>
              <w:t xml:space="preserve"> </w:t>
            </w:r>
            <w:r>
              <w:rPr>
                <w:color w:val="000000"/>
                <w:kern w:val="0"/>
                <w:sz w:val="28"/>
                <w:szCs w:val="28"/>
              </w:rPr>
              <w:t>人。</w:t>
            </w:r>
          </w:p>
          <w:p>
            <w:pPr>
              <w:widowControl/>
              <w:jc w:val="left"/>
              <w:rPr>
                <w:rFonts w:hint="eastAsia" w:eastAsia="仿宋_GB2312"/>
                <w:color w:val="000000"/>
                <w:kern w:val="0"/>
                <w:sz w:val="28"/>
                <w:szCs w:val="28"/>
                <w:lang w:val="en-US" w:eastAsia="zh-CN"/>
              </w:rPr>
            </w:pPr>
            <w:r>
              <w:rPr>
                <w:rFonts w:hint="eastAsia"/>
                <w:color w:val="000000"/>
                <w:kern w:val="0"/>
                <w:sz w:val="28"/>
                <w:szCs w:val="28"/>
                <w:lang w:val="en-US" w:eastAsia="zh-CN"/>
              </w:rPr>
              <w:t xml:space="preserve">       </w:t>
            </w:r>
          </w:p>
        </w:tc>
      </w:tr>
    </w:tbl>
    <w:p>
      <w:pPr>
        <w:ind w:firstLine="480" w:firstLineChars="200"/>
        <w:rPr>
          <w:rFonts w:hint="eastAsia" w:ascii="楷体" w:hAnsi="楷体" w:eastAsia="楷体" w:cs="楷体"/>
          <w:sz w:val="24"/>
          <w:szCs w:val="24"/>
        </w:rPr>
      </w:pPr>
      <w:r>
        <w:rPr>
          <w:rFonts w:hint="eastAsia" w:ascii="楷体" w:hAnsi="楷体" w:eastAsia="楷体" w:cs="楷体"/>
          <w:sz w:val="24"/>
          <w:szCs w:val="24"/>
        </w:rPr>
        <w:t>注：没有一般公共预算拨款的，公开空表，不得删除。</w:t>
      </w:r>
    </w:p>
    <w:p>
      <w:pPr>
        <w:rPr>
          <w:rFonts w:eastAsia="楷体"/>
          <w:kern w:val="0"/>
          <w:szCs w:val="32"/>
        </w:rPr>
      </w:pPr>
      <w:r>
        <w:rPr>
          <w:rFonts w:eastAsia="楷体"/>
          <w:kern w:val="0"/>
          <w:szCs w:val="32"/>
        </w:rPr>
        <w:t xml:space="preserve">    </w:t>
      </w:r>
    </w:p>
    <w:p>
      <w:pPr>
        <w:rPr>
          <w:rFonts w:eastAsia="楷体"/>
          <w:kern w:val="0"/>
          <w:szCs w:val="32"/>
        </w:rPr>
      </w:pPr>
    </w:p>
    <w:p>
      <w:pPr>
        <w:rPr>
          <w:rFonts w:eastAsia="楷体"/>
          <w:kern w:val="0"/>
          <w:szCs w:val="32"/>
        </w:rPr>
      </w:pPr>
    </w:p>
    <w:tbl>
      <w:tblPr>
        <w:tblStyle w:val="11"/>
        <w:tblpPr w:leftFromText="180" w:rightFromText="180" w:vertAnchor="page" w:horzAnchor="page" w:tblpX="1284" w:tblpY="1513"/>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43"/>
        <w:gridCol w:w="2175"/>
        <w:gridCol w:w="2175"/>
        <w:gridCol w:w="253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35" w:hRule="atLeast"/>
        </w:trPr>
        <w:tc>
          <w:tcPr>
            <w:tcW w:w="9225" w:type="dxa"/>
            <w:gridSpan w:val="4"/>
            <w:tcBorders>
              <w:bottom w:val="single" w:color="000000" w:sz="4" w:space="0"/>
            </w:tcBorders>
            <w:vAlign w:val="center"/>
          </w:tcPr>
          <w:p>
            <w:pPr>
              <w:widowControl/>
              <w:jc w:val="center"/>
              <w:rPr>
                <w:rFonts w:hint="eastAsia" w:ascii="宋体" w:hAnsi="宋体" w:eastAsia="宋体" w:cs="宋体"/>
                <w:kern w:val="0"/>
                <w:sz w:val="20"/>
                <w:szCs w:val="20"/>
              </w:rPr>
            </w:pPr>
            <w:r>
              <w:rPr>
                <w:rFonts w:hint="eastAsia" w:ascii="Times New Roman" w:hAnsi="Times New Roman" w:eastAsia="方正小标宋简体" w:cs="Times New Roman"/>
                <w:kern w:val="0"/>
                <w:sz w:val="36"/>
                <w:szCs w:val="36"/>
              </w:rPr>
              <w:t>政府性基金预算支出表</w:t>
            </w:r>
          </w:p>
          <w:p>
            <w:pPr>
              <w:widowControl/>
              <w:jc w:val="right"/>
              <w:rPr>
                <w:rFonts w:hint="eastAsia" w:ascii="宋体" w:hAnsi="宋体" w:eastAsia="宋体" w:cs="宋体"/>
                <w:color w:val="000000"/>
                <w:kern w:val="0"/>
                <w:sz w:val="20"/>
                <w:szCs w:val="20"/>
              </w:rPr>
            </w:pPr>
          </w:p>
          <w:p>
            <w:pPr>
              <w:widowControl/>
              <w:jc w:val="right"/>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466" w:hRule="atLeast"/>
        </w:trPr>
        <w:tc>
          <w:tcPr>
            <w:tcW w:w="2343" w:type="dxa"/>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szCs w:val="20"/>
              </w:rPr>
            </w:pPr>
            <w:r>
              <w:rPr>
                <w:rFonts w:hint="eastAsia" w:ascii="宋体" w:hAnsi="宋体" w:eastAsia="宋体" w:cs="宋体"/>
                <w:color w:val="000000"/>
                <w:sz w:val="20"/>
                <w:szCs w:val="20"/>
              </w:rPr>
              <w:t>功能分类</w:t>
            </w:r>
          </w:p>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sz w:val="20"/>
                <w:szCs w:val="20"/>
              </w:rPr>
              <w:t>科目名称</w:t>
            </w:r>
          </w:p>
        </w:tc>
        <w:tc>
          <w:tcPr>
            <w:tcW w:w="2175" w:type="dxa"/>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基本支出</w:t>
            </w:r>
          </w:p>
        </w:tc>
        <w:tc>
          <w:tcPr>
            <w:tcW w:w="2532"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3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81" w:hRule="atLeast"/>
        </w:trPr>
        <w:tc>
          <w:tcPr>
            <w:tcW w:w="2343"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szCs w:val="20"/>
              </w:rPr>
            </w:pPr>
            <w:r>
              <w:rPr>
                <w:rFonts w:hint="eastAsia" w:ascii="宋体" w:hAnsi="宋体" w:eastAsia="宋体" w:cs="宋体"/>
                <w:color w:val="000000"/>
                <w:kern w:val="0"/>
                <w:sz w:val="20"/>
                <w:szCs w:val="20"/>
              </w:rPr>
              <w:t>合计</w:t>
            </w: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175"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c>
          <w:tcPr>
            <w:tcW w:w="2532"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szCs w:val="20"/>
              </w:rPr>
            </w:pPr>
          </w:p>
        </w:tc>
      </w:tr>
    </w:tbl>
    <w:p>
      <w:pPr>
        <w:spacing w:line="240" w:lineRule="auto"/>
        <w:rPr>
          <w:rFonts w:eastAsia="楷体"/>
          <w:kern w:val="0"/>
          <w:szCs w:val="32"/>
        </w:rPr>
      </w:pPr>
      <w:r>
        <w:rPr>
          <w:rFonts w:hint="eastAsia" w:ascii="楷体" w:hAnsi="楷体" w:eastAsia="楷体" w:cs="楷体"/>
          <w:kern w:val="0"/>
          <w:sz w:val="24"/>
          <w:szCs w:val="24"/>
        </w:rPr>
        <w:t>注：功能科目列至项级。没有政府性基金预算拨款的公开空表，不得删除。</w:t>
      </w:r>
    </w:p>
    <w:tbl>
      <w:tblPr>
        <w:tblStyle w:val="11"/>
        <w:tblpPr w:leftFromText="180" w:rightFromText="180" w:vertAnchor="page" w:horzAnchor="page" w:tblpX="1322" w:tblpY="8459"/>
        <w:tblW w:w="922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
      <w:tblGrid>
        <w:gridCol w:w="2337"/>
        <w:gridCol w:w="2188"/>
        <w:gridCol w:w="2250"/>
        <w:gridCol w:w="24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987" w:hRule="atLeast"/>
        </w:trPr>
        <w:tc>
          <w:tcPr>
            <w:tcW w:w="9225" w:type="dxa"/>
            <w:gridSpan w:val="4"/>
            <w:tcBorders>
              <w:bottom w:val="single" w:color="000000" w:sz="4" w:space="0"/>
            </w:tcBorders>
            <w:vAlign w:val="center"/>
          </w:tcPr>
          <w:p>
            <w:pPr>
              <w:widowControl/>
              <w:jc w:val="center"/>
              <w:rPr>
                <w:rFonts w:hint="eastAsia" w:eastAsia="方正小标宋简体"/>
                <w:kern w:val="0"/>
                <w:sz w:val="36"/>
                <w:szCs w:val="36"/>
              </w:rPr>
            </w:pPr>
            <w:r>
              <w:rPr>
                <w:rFonts w:hint="eastAsia" w:eastAsia="方正小标宋简体"/>
                <w:kern w:val="0"/>
                <w:sz w:val="36"/>
                <w:szCs w:val="36"/>
              </w:rPr>
              <w:t>国有资本经营</w:t>
            </w:r>
            <w:r>
              <w:rPr>
                <w:rFonts w:eastAsia="方正小标宋简体"/>
                <w:kern w:val="0"/>
                <w:sz w:val="36"/>
                <w:szCs w:val="36"/>
              </w:rPr>
              <w:t>预算支出表</w:t>
            </w:r>
          </w:p>
          <w:p>
            <w:pPr>
              <w:widowControl/>
              <w:jc w:val="center"/>
              <w:rPr>
                <w:rFonts w:hint="eastAsia" w:eastAsia="方正小标宋简体"/>
                <w:kern w:val="0"/>
                <w:sz w:val="36"/>
                <w:szCs w:val="36"/>
              </w:rPr>
            </w:pPr>
          </w:p>
          <w:p>
            <w:pPr>
              <w:widowControl/>
              <w:tabs>
                <w:tab w:val="left" w:pos="7576"/>
                <w:tab w:val="right" w:pos="8879"/>
              </w:tabs>
              <w:jc w:val="left"/>
              <w:rPr>
                <w:rFonts w:eastAsia="华文细黑"/>
                <w:color w:val="000000"/>
                <w:kern w:val="0"/>
                <w:sz w:val="20"/>
              </w:rPr>
            </w:pPr>
            <w:r>
              <w:rPr>
                <w:rFonts w:hint="eastAsia" w:eastAsia="华文细黑"/>
                <w:color w:val="000000"/>
                <w:kern w:val="0"/>
                <w:sz w:val="20"/>
                <w:lang w:eastAsia="zh-CN"/>
              </w:rPr>
              <w:tab/>
            </w:r>
            <w:r>
              <w:rPr>
                <w:rFonts w:hint="eastAsia" w:ascii="宋体" w:hAnsi="宋体" w:eastAsia="宋体" w:cs="宋体"/>
                <w:color w:val="000000"/>
                <w:kern w:val="0"/>
                <w:sz w:val="20"/>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84" w:hRule="atLeast"/>
        </w:trPr>
        <w:tc>
          <w:tcPr>
            <w:tcW w:w="2337" w:type="dxa"/>
            <w:vMerge w:val="restart"/>
            <w:tcBorders>
              <w:left w:val="single" w:color="000000" w:sz="4" w:space="0"/>
              <w:bottom w:val="single" w:color="000000" w:sz="4" w:space="0"/>
              <w:right w:val="single" w:color="000000" w:sz="4" w:space="0"/>
            </w:tcBorders>
            <w:vAlign w:val="center"/>
          </w:tcPr>
          <w:p>
            <w:pPr>
              <w:autoSpaceDN w:val="0"/>
              <w:jc w:val="center"/>
              <w:textAlignment w:val="center"/>
              <w:rPr>
                <w:rFonts w:hint="eastAsia" w:ascii="宋体" w:hAnsi="宋体" w:eastAsia="宋体" w:cs="宋体"/>
                <w:color w:val="000000"/>
                <w:sz w:val="20"/>
              </w:rPr>
            </w:pPr>
            <w:r>
              <w:rPr>
                <w:rFonts w:hint="eastAsia" w:ascii="宋体" w:hAnsi="宋体" w:eastAsia="宋体" w:cs="宋体"/>
                <w:color w:val="000000"/>
                <w:sz w:val="20"/>
              </w:rPr>
              <w:t>功能分类</w:t>
            </w:r>
          </w:p>
          <w:p>
            <w:pPr>
              <w:widowControl/>
              <w:jc w:val="center"/>
              <w:rPr>
                <w:rFonts w:hint="eastAsia" w:ascii="宋体" w:hAnsi="宋体" w:eastAsia="宋体" w:cs="宋体"/>
                <w:color w:val="000000"/>
                <w:kern w:val="0"/>
                <w:sz w:val="20"/>
              </w:rPr>
            </w:pPr>
            <w:r>
              <w:rPr>
                <w:rFonts w:hint="eastAsia" w:ascii="宋体" w:hAnsi="宋体" w:eastAsia="宋体" w:cs="宋体"/>
                <w:color w:val="000000"/>
                <w:sz w:val="20"/>
              </w:rPr>
              <w:t>科目名称</w:t>
            </w:r>
          </w:p>
        </w:tc>
        <w:tc>
          <w:tcPr>
            <w:tcW w:w="2188" w:type="dxa"/>
            <w:vMerge w:val="restart"/>
            <w:tcBorders>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2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基本支出</w:t>
            </w:r>
          </w:p>
        </w:tc>
        <w:tc>
          <w:tcPr>
            <w:tcW w:w="2450" w:type="dxa"/>
            <w:vMerge w:val="restart"/>
            <w:tcBorders>
              <w:top w:val="single" w:color="000000" w:sz="4" w:space="0"/>
              <w:left w:val="single" w:color="000000" w:sz="4" w:space="0"/>
              <w:bottom w:val="single" w:color="000000" w:sz="4" w:space="0"/>
              <w:right w:val="single" w:color="000000" w:sz="4" w:space="0"/>
            </w:tcBorders>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项目支出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371" w:hRule="atLeast"/>
        </w:trPr>
        <w:tc>
          <w:tcPr>
            <w:tcW w:w="2337"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188" w:type="dxa"/>
            <w:vMerge w:val="continue"/>
            <w:tcBorders>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2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c>
          <w:tcPr>
            <w:tcW w:w="2450" w:type="dxa"/>
            <w:vMerge w:val="continue"/>
            <w:tcBorders>
              <w:top w:val="single" w:color="000000" w:sz="4" w:space="0"/>
              <w:left w:val="single" w:color="000000" w:sz="4" w:space="0"/>
              <w:bottom w:val="single" w:color="000000" w:sz="4" w:space="0"/>
              <w:right w:val="single" w:color="000000" w:sz="4" w:space="0"/>
            </w:tcBorders>
            <w:vAlign w:val="center"/>
          </w:tcPr>
          <w:p>
            <w:pPr>
              <w:widowControl/>
              <w:jc w:val="lef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90" w:hRule="atLeast"/>
        </w:trPr>
        <w:tc>
          <w:tcPr>
            <w:tcW w:w="2337"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ind w:firstLine="100" w:firstLineChars="50"/>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left"/>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21"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right"/>
              <w:rPr>
                <w:rFonts w:hint="eastAsia" w:ascii="宋体" w:hAnsi="宋体" w:eastAsia="宋体" w:cs="宋体"/>
                <w:color w:val="000000"/>
                <w:kern w:val="0"/>
                <w:sz w:val="20"/>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442" w:hRule="atLeast"/>
        </w:trPr>
        <w:tc>
          <w:tcPr>
            <w:tcW w:w="2337" w:type="dxa"/>
            <w:tcBorders>
              <w:top w:val="single" w:color="000000" w:sz="4" w:space="0"/>
              <w:left w:val="single" w:color="000000" w:sz="4" w:space="0"/>
              <w:bottom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r>
              <w:rPr>
                <w:rFonts w:hint="eastAsia" w:ascii="宋体" w:hAnsi="宋体" w:eastAsia="宋体" w:cs="宋体"/>
                <w:color w:val="000000"/>
                <w:kern w:val="0"/>
                <w:sz w:val="20"/>
              </w:rPr>
              <w:t>合计</w:t>
            </w:r>
          </w:p>
        </w:tc>
        <w:tc>
          <w:tcPr>
            <w:tcW w:w="2188"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2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c>
          <w:tcPr>
            <w:tcW w:w="2450" w:type="dxa"/>
            <w:tcBorders>
              <w:top w:val="single" w:color="000000" w:sz="4" w:space="0"/>
              <w:left w:val="single" w:color="000000" w:sz="4" w:space="0"/>
              <w:bottom w:val="single" w:color="000000" w:sz="4" w:space="0"/>
              <w:right w:val="single" w:color="000000" w:sz="4" w:space="0"/>
            </w:tcBorders>
            <w:shd w:val="clear" w:color="000000" w:fill="FFFFFF"/>
            <w:vAlign w:val="center"/>
          </w:tcPr>
          <w:p>
            <w:pPr>
              <w:widowControl/>
              <w:jc w:val="center"/>
              <w:rPr>
                <w:rFonts w:hint="eastAsia" w:ascii="宋体" w:hAnsi="宋体" w:eastAsia="宋体" w:cs="宋体"/>
                <w:color w:val="000000"/>
                <w:kern w:val="0"/>
                <w:sz w:val="20"/>
              </w:rPr>
            </w:pPr>
          </w:p>
        </w:tc>
      </w:tr>
    </w:tbl>
    <w:p>
      <w:pPr>
        <w:spacing w:line="700" w:lineRule="exact"/>
        <w:rPr>
          <w:rFonts w:eastAsia="楷体"/>
          <w:kern w:val="0"/>
          <w:szCs w:val="32"/>
        </w:rPr>
      </w:pPr>
      <w:r>
        <w:rPr>
          <w:rFonts w:hint="eastAsia" w:ascii="楷体" w:hAnsi="楷体" w:eastAsia="楷体" w:cs="楷体"/>
          <w:kern w:val="0"/>
          <w:sz w:val="24"/>
          <w:szCs w:val="24"/>
        </w:rPr>
        <w:t>注：功能科目列至项级。没有国有资本经营预算拨款的，公开空表，不得删除。</w:t>
      </w:r>
    </w:p>
    <w:p>
      <w:pPr>
        <w:spacing w:line="700" w:lineRule="exact"/>
        <w:rPr>
          <w:rFonts w:eastAsia="楷体"/>
          <w:kern w:val="0"/>
          <w:szCs w:val="32"/>
        </w:rPr>
      </w:pPr>
      <w:r>
        <w:rPr>
          <w:rFonts w:eastAsia="楷体"/>
          <w:kern w:val="0"/>
          <w:szCs w:val="32"/>
        </w:rPr>
        <w:br w:type="page"/>
      </w:r>
    </w:p>
    <w:tbl>
      <w:tblPr>
        <w:tblStyle w:val="11"/>
        <w:tblW w:w="946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723"/>
        <w:gridCol w:w="723"/>
        <w:gridCol w:w="723"/>
        <w:gridCol w:w="723"/>
        <w:gridCol w:w="723"/>
        <w:gridCol w:w="723"/>
        <w:gridCol w:w="785"/>
        <w:gridCol w:w="722"/>
        <w:gridCol w:w="723"/>
        <w:gridCol w:w="723"/>
        <w:gridCol w:w="723"/>
        <w:gridCol w:w="723"/>
        <w:gridCol w:w="72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497" w:hRule="atLeast"/>
        </w:trPr>
        <w:tc>
          <w:tcPr>
            <w:tcW w:w="9460" w:type="dxa"/>
            <w:gridSpan w:val="13"/>
            <w:vMerge w:val="restart"/>
            <w:tcBorders>
              <w:top w:val="nil"/>
              <w:left w:val="nil"/>
              <w:bottom w:val="nil"/>
              <w:right w:val="nil"/>
            </w:tcBorders>
            <w:shd w:val="clear" w:color="auto" w:fill="FFFFFF"/>
            <w:tcMar>
              <w:top w:w="15" w:type="dxa"/>
              <w:left w:w="15" w:type="dxa"/>
              <w:right w:w="15" w:type="dxa"/>
            </w:tcMar>
            <w:vAlign w:val="bottom"/>
          </w:tcPr>
          <w:p>
            <w:pPr>
              <w:widowControl/>
              <w:jc w:val="center"/>
              <w:textAlignment w:val="bottom"/>
              <w:rPr>
                <w:rFonts w:ascii="仿宋_GB2312" w:hAnsi="Arial" w:eastAsia="仿宋_GB2312" w:cs="仿宋_GB2312"/>
                <w:i w:val="0"/>
                <w:color w:val="auto"/>
                <w:sz w:val="36"/>
                <w:szCs w:val="36"/>
                <w:u w:val="none"/>
              </w:rPr>
            </w:pPr>
            <w:r>
              <w:rPr>
                <w:rFonts w:hint="eastAsia" w:ascii="仿宋_GB2312" w:hAnsi="Arial" w:eastAsia="仿宋_GB2312" w:cs="仿宋_GB2312"/>
                <w:i w:val="0"/>
                <w:color w:val="auto"/>
                <w:kern w:val="0"/>
                <w:sz w:val="36"/>
                <w:szCs w:val="36"/>
                <w:u w:val="none"/>
                <w:lang w:val="en-US" w:eastAsia="zh-CN" w:bidi="ar-SA"/>
              </w:rPr>
              <w:t>项目支出表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12" w:hRule="atLeast"/>
        </w:trPr>
        <w:tc>
          <w:tcPr>
            <w:tcW w:w="9460" w:type="dxa"/>
            <w:gridSpan w:val="13"/>
            <w:vMerge w:val="continue"/>
            <w:tcBorders>
              <w:top w:val="nil"/>
              <w:left w:val="nil"/>
              <w:bottom w:val="nil"/>
              <w:right w:val="nil"/>
            </w:tcBorders>
            <w:shd w:val="clear" w:color="auto" w:fill="FFFFFF"/>
            <w:tcMar>
              <w:top w:w="15" w:type="dxa"/>
              <w:left w:w="15" w:type="dxa"/>
              <w:right w:w="15" w:type="dxa"/>
            </w:tcMar>
            <w:vAlign w:val="bottom"/>
          </w:tcPr>
          <w:p>
            <w:pPr>
              <w:jc w:val="center"/>
              <w:rPr>
                <w:rFonts w:hint="eastAsia" w:ascii="仿宋_GB2312" w:hAnsi="Arial" w:eastAsia="仿宋_GB2312" w:cs="仿宋_GB2312"/>
                <w:i w:val="0"/>
                <w:color w:val="auto"/>
                <w:sz w:val="36"/>
                <w:szCs w:val="36"/>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346" w:hRule="atLeast"/>
        </w:trPr>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723" w:type="dxa"/>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2230" w:type="dxa"/>
            <w:gridSpan w:val="3"/>
            <w:tcBorders>
              <w:top w:val="nil"/>
              <w:left w:val="nil"/>
              <w:bottom w:val="single" w:color="auto" w:sz="4" w:space="0"/>
              <w:right w:val="nil"/>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　</w:t>
            </w:r>
          </w:p>
        </w:tc>
        <w:tc>
          <w:tcPr>
            <w:tcW w:w="3615" w:type="dxa"/>
            <w:gridSpan w:val="5"/>
            <w:tcBorders>
              <w:top w:val="nil"/>
              <w:left w:val="nil"/>
              <w:bottom w:val="single" w:color="auto" w:sz="4" w:space="0"/>
              <w:right w:val="nil"/>
            </w:tcBorders>
            <w:shd w:val="clear" w:color="auto" w:fill="FFFFFF"/>
            <w:tcMar>
              <w:top w:w="15" w:type="dxa"/>
              <w:left w:w="15" w:type="dxa"/>
              <w:right w:w="15" w:type="dxa"/>
            </w:tcMar>
            <w:vAlign w:val="center"/>
          </w:tcPr>
          <w:p>
            <w:pPr>
              <w:widowControl/>
              <w:jc w:val="right"/>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单位：万元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749" w:hRule="atLeast"/>
        </w:trPr>
        <w:tc>
          <w:tcPr>
            <w:tcW w:w="723" w:type="dxa"/>
            <w:vMerge w:val="restart"/>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类型</w:t>
            </w:r>
          </w:p>
        </w:tc>
        <w:tc>
          <w:tcPr>
            <w:tcW w:w="1446"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项目名称</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项目</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单位</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合计</w:t>
            </w:r>
          </w:p>
        </w:tc>
        <w:tc>
          <w:tcPr>
            <w:tcW w:w="2230"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本年财政拨款</w:t>
            </w:r>
          </w:p>
        </w:tc>
        <w:tc>
          <w:tcPr>
            <w:tcW w:w="2169" w:type="dxa"/>
            <w:gridSpan w:val="3"/>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财政拨款结转</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财</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政</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专</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户</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管</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理</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单</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位</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628" w:hRule="atLeast"/>
        </w:trPr>
        <w:tc>
          <w:tcPr>
            <w:tcW w:w="7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一级项目</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二级项目</w:t>
            </w: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一般公共预算</w:t>
            </w:r>
          </w:p>
        </w:tc>
        <w:tc>
          <w:tcPr>
            <w:tcW w:w="785"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2"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一般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公共</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政府</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性</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基金</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000000"/>
                <w:sz w:val="20"/>
                <w:szCs w:val="20"/>
                <w:u w:val="none"/>
              </w:rPr>
            </w:pPr>
            <w:r>
              <w:rPr>
                <w:rFonts w:hint="eastAsia" w:ascii="仿宋_GB2312" w:hAnsi="Arial" w:eastAsia="仿宋_GB2312" w:cs="仿宋_GB2312"/>
                <w:i w:val="0"/>
                <w:color w:val="000000"/>
                <w:kern w:val="0"/>
                <w:sz w:val="20"/>
                <w:szCs w:val="20"/>
                <w:u w:val="none"/>
                <w:lang w:val="en-US" w:eastAsia="zh-CN" w:bidi="ar-SA"/>
              </w:rPr>
              <w:t>国有</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资本</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经营</w:t>
            </w:r>
            <w:r>
              <w:rPr>
                <w:rFonts w:hint="eastAsia" w:ascii="仿宋_GB2312" w:hAnsi="Arial" w:eastAsia="仿宋_GB2312" w:cs="仿宋_GB2312"/>
                <w:i w:val="0"/>
                <w:color w:val="000000"/>
                <w:kern w:val="0"/>
                <w:sz w:val="20"/>
                <w:szCs w:val="20"/>
                <w:u w:val="none"/>
                <w:lang w:val="en-US" w:eastAsia="zh-CN" w:bidi="ar-SA"/>
              </w:rPr>
              <w:br/>
            </w:r>
            <w:r>
              <w:rPr>
                <w:rFonts w:hint="eastAsia" w:ascii="仿宋_GB2312" w:hAnsi="Arial" w:eastAsia="仿宋_GB2312" w:cs="仿宋_GB2312"/>
                <w:i w:val="0"/>
                <w:color w:val="000000"/>
                <w:kern w:val="0"/>
                <w:sz w:val="20"/>
                <w:szCs w:val="20"/>
                <w:u w:val="none"/>
                <w:lang w:val="en-US" w:eastAsia="zh-CN" w:bidi="ar-SA"/>
              </w:rPr>
              <w:t>预算</w:t>
            </w: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7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7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723" w:type="dxa"/>
            <w:vMerge w:val="continue"/>
            <w:tcBorders>
              <w:top w:val="nil"/>
              <w:left w:val="single" w:color="auto" w:sz="4" w:space="0"/>
              <w:bottom w:val="single" w:color="000000"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85"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2"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c>
          <w:tcPr>
            <w:tcW w:w="72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Arial"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合计</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专项业务支出</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59"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教育系统2024年营养餐雇工工资</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067"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通榆县第五中学校2024年营养餐雇工工资</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通榆县第五中学校</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2</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26"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36" w:hRule="atLeast"/>
        </w:trPr>
        <w:tc>
          <w:tcPr>
            <w:tcW w:w="72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85"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2"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c>
          <w:tcPr>
            <w:tcW w:w="72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Arial" w:eastAsia="仿宋_GB2312" w:cs="仿宋_GB2312"/>
                <w:i w:val="0"/>
                <w:color w:val="auto"/>
                <w:sz w:val="16"/>
                <w:szCs w:val="16"/>
                <w:u w:val="none"/>
              </w:rPr>
            </w:pPr>
            <w:r>
              <w:rPr>
                <w:rFonts w:hint="eastAsia" w:ascii="仿宋_GB2312" w:hAnsi="Arial" w:eastAsia="仿宋_GB2312" w:cs="仿宋_GB2312"/>
                <w:i w:val="0"/>
                <w:color w:val="auto"/>
                <w:kern w:val="0"/>
                <w:sz w:val="16"/>
                <w:szCs w:val="16"/>
                <w:u w:val="none"/>
                <w:lang w:val="en-US" w:eastAsia="zh-CN" w:bidi="ar-SA"/>
              </w:rPr>
              <w:t>　</w:t>
            </w:r>
          </w:p>
        </w:tc>
      </w:tr>
    </w:tbl>
    <w:p>
      <w:pPr>
        <w:jc w:val="left"/>
        <w:rPr>
          <w:rFonts w:ascii="Times New Roman" w:hAnsi="Times New Roman" w:eastAsia="仿宋_GB2312" w:cs="Times New Roman"/>
          <w:kern w:val="2"/>
          <w:sz w:val="32"/>
          <w:lang w:val="en-US" w:eastAsia="zh-CN" w:bidi="ar-SA"/>
        </w:rPr>
      </w:pPr>
    </w:p>
    <w:p>
      <w:pPr>
        <w:spacing w:line="700" w:lineRule="exact"/>
        <w:rPr>
          <w:rFonts w:eastAsia="楷体"/>
          <w:kern w:val="0"/>
          <w:szCs w:val="32"/>
        </w:rPr>
      </w:pPr>
    </w:p>
    <w:tbl>
      <w:tblPr>
        <w:tblStyle w:val="11"/>
        <w:tblW w:w="95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1833"/>
        <w:gridCol w:w="1833"/>
        <w:gridCol w:w="1834"/>
        <w:gridCol w:w="1833"/>
        <w:gridCol w:w="21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810" w:hRule="atLeast"/>
        </w:trPr>
        <w:tc>
          <w:tcPr>
            <w:tcW w:w="9500" w:type="dxa"/>
            <w:gridSpan w:val="5"/>
            <w:tcBorders>
              <w:top w:val="nil"/>
              <w:left w:val="nil"/>
              <w:bottom w:val="nil"/>
              <w:right w:val="nil"/>
            </w:tcBorders>
            <w:shd w:val="clear" w:color="auto" w:fill="FFFFFF"/>
            <w:tcMar>
              <w:top w:w="15" w:type="dxa"/>
              <w:left w:w="15" w:type="dxa"/>
              <w:right w:w="15" w:type="dxa"/>
            </w:tcMar>
            <w:vAlign w:val="center"/>
          </w:tcPr>
          <w:p>
            <w:pPr>
              <w:widowControl/>
              <w:jc w:val="center"/>
              <w:textAlignment w:val="center"/>
              <w:rPr>
                <w:rFonts w:ascii="仿宋_GB2312" w:hAnsi="宋体" w:eastAsia="仿宋_GB2312" w:cs="仿宋_GB2312"/>
                <w:i w:val="0"/>
                <w:color w:val="auto"/>
                <w:sz w:val="36"/>
                <w:szCs w:val="36"/>
                <w:u w:val="none"/>
              </w:rPr>
            </w:pPr>
            <w:r>
              <w:rPr>
                <w:rFonts w:hint="eastAsia" w:ascii="仿宋_GB2312" w:hAnsi="宋体" w:eastAsia="仿宋_GB2312" w:cs="仿宋_GB2312"/>
                <w:i w:val="0"/>
                <w:color w:val="auto"/>
                <w:kern w:val="0"/>
                <w:sz w:val="36"/>
                <w:szCs w:val="36"/>
                <w:u w:val="none"/>
                <w:lang w:val="en-US" w:eastAsia="zh-CN" w:bidi="ar-SA"/>
              </w:rPr>
              <w:t>项目支出绩效目标表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550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项目名称</w:t>
            </w:r>
          </w:p>
        </w:tc>
        <w:tc>
          <w:tcPr>
            <w:tcW w:w="40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Arial" w:eastAsia="仿宋_GB2312" w:cs="仿宋_GB2312"/>
                <w:i w:val="0"/>
                <w:color w:val="auto"/>
                <w:kern w:val="0"/>
                <w:sz w:val="16"/>
                <w:szCs w:val="16"/>
                <w:u w:val="none"/>
                <w:lang w:val="en-US" w:eastAsia="zh-CN" w:bidi="ar-SA"/>
              </w:rPr>
              <w:t>通榆县第五中学校2024年营养餐雇工工资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5500" w:type="dxa"/>
            <w:gridSpan w:val="3"/>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项目级次</w:t>
            </w:r>
          </w:p>
        </w:tc>
        <w:tc>
          <w:tcPr>
            <w:tcW w:w="40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8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项目资金</w:t>
            </w:r>
          </w:p>
        </w:tc>
        <w:tc>
          <w:tcPr>
            <w:tcW w:w="3667"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年度资金总额</w:t>
            </w:r>
          </w:p>
        </w:tc>
        <w:tc>
          <w:tcPr>
            <w:tcW w:w="40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8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(万元）</w:t>
            </w:r>
          </w:p>
        </w:tc>
        <w:tc>
          <w:tcPr>
            <w:tcW w:w="3667"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其中：财政拨款</w:t>
            </w:r>
          </w:p>
        </w:tc>
        <w:tc>
          <w:tcPr>
            <w:tcW w:w="40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8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widowControl/>
              <w:jc w:val="left"/>
              <w:textAlignment w:val="bottom"/>
              <w:rPr>
                <w:rFonts w:hint="eastAsia" w:ascii="仿宋_GB2312" w:hAnsi="宋体" w:eastAsia="仿宋_GB2312" w:cs="仿宋_GB2312"/>
                <w:i w:val="0"/>
                <w:color w:val="auto"/>
                <w:sz w:val="20"/>
                <w:szCs w:val="20"/>
                <w:u w:val="none"/>
              </w:rPr>
            </w:pPr>
            <w:r>
              <w:rPr>
                <w:rFonts w:hint="eastAsia" w:ascii="仿宋_GB2312" w:hAnsi="宋体" w:eastAsia="仿宋_GB2312" w:cs="仿宋_GB2312"/>
                <w:i w:val="0"/>
                <w:color w:val="auto"/>
                <w:kern w:val="0"/>
                <w:sz w:val="20"/>
                <w:szCs w:val="20"/>
                <w:u w:val="none"/>
                <w:lang w:val="en-US" w:eastAsia="zh-CN" w:bidi="ar-SA"/>
              </w:rPr>
              <w:t>　</w:t>
            </w:r>
          </w:p>
        </w:tc>
        <w:tc>
          <w:tcPr>
            <w:tcW w:w="3667"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xml:space="preserve">      其他资金</w:t>
            </w:r>
          </w:p>
        </w:tc>
        <w:tc>
          <w:tcPr>
            <w:tcW w:w="4000" w:type="dxa"/>
            <w:gridSpan w:val="2"/>
            <w:tcBorders>
              <w:top w:val="single" w:color="auto" w:sz="4" w:space="0"/>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8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年度绩效</w:t>
            </w:r>
          </w:p>
        </w:tc>
        <w:tc>
          <w:tcPr>
            <w:tcW w:w="7667" w:type="dxa"/>
            <w:gridSpan w:val="4"/>
            <w:vMerge w:val="restart"/>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通榆县第五中学校2024年营养餐雇工工资共计2万元，用于改善和保障营养餐的正常运行。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833" w:type="dxa"/>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目标</w:t>
            </w:r>
          </w:p>
        </w:tc>
        <w:tc>
          <w:tcPr>
            <w:tcW w:w="7667" w:type="dxa"/>
            <w:gridSpan w:val="4"/>
            <w:vMerge w:val="continue"/>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83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绩效指标</w:t>
            </w:r>
          </w:p>
        </w:tc>
        <w:tc>
          <w:tcPr>
            <w:tcW w:w="1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一级指标</w:t>
            </w:r>
          </w:p>
        </w:tc>
        <w:tc>
          <w:tcPr>
            <w:tcW w:w="1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二级指标</w:t>
            </w:r>
          </w:p>
        </w:tc>
        <w:tc>
          <w:tcPr>
            <w:tcW w:w="1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三级指标</w:t>
            </w:r>
          </w:p>
        </w:tc>
        <w:tc>
          <w:tcPr>
            <w:tcW w:w="21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指标值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781" w:hRule="atLeast"/>
        </w:trPr>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产出指标</w:t>
            </w:r>
          </w:p>
        </w:tc>
        <w:tc>
          <w:tcPr>
            <w:tcW w:w="1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数量指标</w:t>
            </w:r>
          </w:p>
        </w:tc>
        <w:tc>
          <w:tcPr>
            <w:tcW w:w="1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食堂厨师人数</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食堂雇工工资发放月数</w:t>
            </w:r>
          </w:p>
        </w:tc>
        <w:tc>
          <w:tcPr>
            <w:tcW w:w="21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1人</w:t>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br/>
            </w:r>
            <w:r>
              <w:rPr>
                <w:rFonts w:hint="eastAsia" w:ascii="仿宋_GB2312" w:hAnsi="宋体" w:eastAsia="仿宋_GB2312" w:cs="仿宋_GB2312"/>
                <w:i w:val="0"/>
                <w:color w:val="000000"/>
                <w:kern w:val="0"/>
                <w:sz w:val="20"/>
                <w:szCs w:val="20"/>
                <w:u w:val="none"/>
                <w:lang w:val="en-US" w:eastAsia="zh-CN" w:bidi="ar-SA"/>
              </w:rPr>
              <w:t>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4" w:hRule="atLeast"/>
        </w:trPr>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质量指标</w:t>
            </w:r>
          </w:p>
        </w:tc>
        <w:tc>
          <w:tcPr>
            <w:tcW w:w="1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工作人员资格符合率</w:t>
            </w:r>
          </w:p>
        </w:tc>
        <w:tc>
          <w:tcPr>
            <w:tcW w:w="21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1258" w:hRule="atLeast"/>
        </w:trPr>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成本指标</w:t>
            </w:r>
          </w:p>
        </w:tc>
        <w:tc>
          <w:tcPr>
            <w:tcW w:w="1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食堂厨师工资发放标准</w:t>
            </w:r>
          </w:p>
        </w:tc>
        <w:tc>
          <w:tcPr>
            <w:tcW w:w="21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2000元/人/月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924" w:hRule="atLeast"/>
        </w:trPr>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时效指标</w:t>
            </w:r>
          </w:p>
        </w:tc>
        <w:tc>
          <w:tcPr>
            <w:tcW w:w="1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食堂雇工工资发放及时率</w:t>
            </w:r>
          </w:p>
        </w:tc>
        <w:tc>
          <w:tcPr>
            <w:tcW w:w="21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3" w:type="dxa"/>
            <w:vMerge w:val="restart"/>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效果指标</w:t>
            </w:r>
          </w:p>
        </w:tc>
        <w:tc>
          <w:tcPr>
            <w:tcW w:w="1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经济效益指标</w:t>
            </w:r>
          </w:p>
        </w:tc>
        <w:tc>
          <w:tcPr>
            <w:tcW w:w="1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21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社会效益指标</w:t>
            </w:r>
          </w:p>
        </w:tc>
        <w:tc>
          <w:tcPr>
            <w:tcW w:w="1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有效服务学生指数</w:t>
            </w:r>
          </w:p>
        </w:tc>
        <w:tc>
          <w:tcPr>
            <w:tcW w:w="21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生态效益指标</w:t>
            </w:r>
          </w:p>
        </w:tc>
        <w:tc>
          <w:tcPr>
            <w:tcW w:w="1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21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40" w:hRule="atLeast"/>
        </w:trPr>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可持续影响指标</w:t>
            </w:r>
          </w:p>
        </w:tc>
        <w:tc>
          <w:tcPr>
            <w:tcW w:w="1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c>
          <w:tcPr>
            <w:tcW w:w="21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Ex>
        <w:trPr>
          <w:trHeight w:val="568" w:hRule="atLeast"/>
        </w:trPr>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3" w:type="dxa"/>
            <w:vMerge w:val="continue"/>
            <w:tcBorders>
              <w:top w:val="nil"/>
              <w:left w:val="single" w:color="auto" w:sz="4" w:space="0"/>
              <w:bottom w:val="single" w:color="auto" w:sz="4" w:space="0"/>
              <w:right w:val="single" w:color="auto" w:sz="4" w:space="0"/>
            </w:tcBorders>
            <w:shd w:val="clear" w:color="auto" w:fill="FFFFFF"/>
            <w:tcMar>
              <w:top w:w="15" w:type="dxa"/>
              <w:left w:w="15" w:type="dxa"/>
              <w:right w:w="15" w:type="dxa"/>
            </w:tcMar>
            <w:vAlign w:val="center"/>
          </w:tcPr>
          <w:p>
            <w:pPr>
              <w:jc w:val="center"/>
              <w:rPr>
                <w:rFonts w:hint="eastAsia" w:ascii="仿宋_GB2312" w:hAnsi="宋体" w:eastAsia="仿宋_GB2312" w:cs="仿宋_GB2312"/>
                <w:i w:val="0"/>
                <w:color w:val="000000"/>
                <w:sz w:val="20"/>
                <w:szCs w:val="20"/>
                <w:u w:val="none"/>
              </w:rPr>
            </w:pPr>
          </w:p>
        </w:tc>
        <w:tc>
          <w:tcPr>
            <w:tcW w:w="1834"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满意度指标</w:t>
            </w:r>
          </w:p>
        </w:tc>
        <w:tc>
          <w:tcPr>
            <w:tcW w:w="1833"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学生满意度</w:t>
            </w:r>
          </w:p>
        </w:tc>
        <w:tc>
          <w:tcPr>
            <w:tcW w:w="2167" w:type="dxa"/>
            <w:tcBorders>
              <w:top w:val="nil"/>
              <w:left w:val="nil"/>
              <w:bottom w:val="single" w:color="auto" w:sz="4" w:space="0"/>
              <w:right w:val="single" w:color="auto" w:sz="4" w:space="0"/>
            </w:tcBorders>
            <w:shd w:val="clear" w:color="auto" w:fill="FFFFFF"/>
            <w:tcMar>
              <w:top w:w="15" w:type="dxa"/>
              <w:left w:w="15" w:type="dxa"/>
              <w:right w:w="15" w:type="dxa"/>
            </w:tcMar>
            <w:vAlign w:val="center"/>
          </w:tcPr>
          <w:p>
            <w:pPr>
              <w:widowControl/>
              <w:jc w:val="center"/>
              <w:textAlignment w:val="center"/>
              <w:rPr>
                <w:rFonts w:hint="eastAsia" w:ascii="仿宋_GB2312" w:hAnsi="宋体" w:eastAsia="仿宋_GB2312" w:cs="仿宋_GB2312"/>
                <w:i w:val="0"/>
                <w:color w:val="000000"/>
                <w:sz w:val="20"/>
                <w:szCs w:val="20"/>
                <w:u w:val="none"/>
              </w:rPr>
            </w:pPr>
            <w:r>
              <w:rPr>
                <w:rFonts w:hint="eastAsia" w:ascii="仿宋_GB2312" w:hAnsi="宋体" w:eastAsia="仿宋_GB2312" w:cs="仿宋_GB2312"/>
                <w:i w:val="0"/>
                <w:color w:val="000000"/>
                <w:kern w:val="0"/>
                <w:sz w:val="20"/>
                <w:szCs w:val="20"/>
                <w:u w:val="none"/>
                <w:lang w:val="en-US" w:eastAsia="zh-CN" w:bidi="ar-SA"/>
              </w:rPr>
              <w:t>98%</w:t>
            </w:r>
          </w:p>
        </w:tc>
      </w:tr>
    </w:tbl>
    <w:p>
      <w:pPr>
        <w:spacing w:line="700" w:lineRule="exact"/>
        <w:jc w:val="center"/>
        <w:rPr>
          <w:rFonts w:hint="eastAsia"/>
          <w:kern w:val="0"/>
          <w:szCs w:val="32"/>
        </w:rPr>
      </w:pPr>
      <w:r>
        <w:rPr>
          <w:rFonts w:hint="eastAsia" w:ascii="黑体" w:hAnsi="黑体" w:eastAsia="黑体" w:cs="黑体"/>
          <w:b/>
          <w:bCs/>
          <w:kern w:val="0"/>
          <w:sz w:val="36"/>
          <w:szCs w:val="36"/>
        </w:rPr>
        <w:t>第三部分 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一、2024年收支预算总体情况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综合预算的原则，所有收入和支出全部纳入部门预算管理。收入包括：一般公共预算拨款收入、政府性基金预算拨款收入、国有资本经营预算拨款收入、财政专户管理资金收入、事业收入、上级补助收入、附属单位上缴收入、事业单位经营收入、其他收入、用事业基金弥补收支差额、上年结转结余等；支出包括：一般公共服务支出、教育支出、科学技术支出、文化旅游体育与传媒支出、社会保障和就业支出、农林水支出、住房保障支出、结转下年支出等。2024年收支总预算814.88万元，其中：当年预算814.88万元；上年结转0.00万元。2024年当年预算比2023年预算增加（减少）-77.98万元，主要原因是根据单位事业发展需要减少预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注：收入和支出中包括的具体内容，按本部门《收支总表》反映的实际情况取舍。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二、2024年收入预算情况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收入预算814.88万元，其中：本年收入814.88万元，占100%；上年结转0万元，占0%。本年收入中，一般公共预算拨款收入814.88万元，占100%；政府性基金预算拨款收入0万元，占0%；国有资本经营预算拨款收入0万元，占0%；财政专户管理资金收入0万元，占0%；事业收入0万元，占0%；上级补助收入0万元，占0%；附属单位上缴收入0万元，占0%；事业单位经营收入0万元，占0%；其他收入0万元，占0%。上年结转中，一般公共预算拨款结转0万元，占0%；政府性基金预算拨款结转0万元，占0%；国有资本经营预算拨款结转0万元，占0%；财政专户管理资金结转结余0万元，占0%；单位资金结转0万元，占0%；用事业基金弥补收支差额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注：收入中包括的具体内容，按本部门《收入总表》反映的实际情况取舍。未涉及到的资金填“0”。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三、2024年支出预算情况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2024年支出预算814.88万元，其中：基本支出812.88万元，占100%；项目支出2万元，占0%；事业单位经营支出0万元，占0%；上缴上级支出0万元，占0%；对附属单位补助支出0万元，占0%。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注：支出中包括的具体内容，按本部门《支出总表》反映的实际情况取舍。</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四、2024年财政拨款收支预算情况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财政拨款收支总预算814.88万元，其中：本年收入814.88万元，上年结转0万元。支出包括：一般公共服务支出0万元，国防支出0万元，公共安全支出0万元，教育支出597.08万元，科学技术支出0万元，文化旅游体育与传媒支出0万元，社会保障和就业支出116.29万元，社会保险基金支出0万元，卫生健康支出37.3万元，节能环保支出0万元，城乡社区支出0万元，农林水支出0万元，交通运输支出0万元，资源勘探信息等支出0万元，商业服务业等支出0万元，金融支出0万元，援助其他地区支出0万元，自然资源海洋气象等支出0万元，住房保障支出0万元，粮油物资储备支出0万元，灾害防治及应急管理支出0万元，其他支出0万元，结转下年支出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注：财政拨款收支中包括的具体内容，按本部门《财政拨款收支总表》反映的实际情况取舍。未涉及到的资金填“0”。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五、2024年一般公共预算支出情况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2024年一般公共预算拨款814.88万元，其中：基本支出812.88万元，占100%；项目支出2万元，占0%。基本支出中，人员经费812.88万元，占100%；公用经费0万元，占0%。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一般公共服务（类）支出0万元，占0%，主要用于________________。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国防（类）支出0万元，占0%，主要用于_____________________。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教育（类）支出597.08万元，占73%，主要用于发展教育事业支出。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社会保障和就业（类）支出116.29万元，占14%，主要用于教职工社会保障支出。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农林水支出（类）支出0元，占0%，主要用于______________。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住房保障（类）支出0万元，占0%，主要用于_____________________。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注：一般公共预算拨款中包括的具体内容，按本部门《一般公共预算支出表》反映的实际情况取舍。没有一般公共预算拨款的，直接表述为“本部门无一般公共预算拨款”，不得直接删除。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六、2024年一般公共预算基本支出情况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2024年一般公共预算基本支出812.88万元，其中：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人员经费812.88万元，主要包括：基本工资、津贴补贴、奖金、社会保障缴费、其他工资福利支出、离休费、退休费、抚恤金、生活补助、助学金、住房公积金、采暖补贴、其他对个人和家庭的补助支出。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公用经费0万元，主要包括：办公费、印刷费、水费、电费、邮电费、取暖费、物业管理费、差旅费、维修（护）费、会议费、培训费、公务接待费、工会经费、福利费、公务用车运行维护费、其他交通补助、其他商品和服务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注：一般公共预算基本支出中包括的具体内容，按本部门《一般公共预算基本支出表》反映的基本支出实际情况取舍。没有一般公共预算拨款的，直接表述为“本部门无一般公共预算拨款”，不得直接删除。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七、2024年一般公共预算财政拨款“三公”经费情况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2024年“三公”经费预算数为0万元，其中:当年预算0万元；上年结转0万元。2024年当年预算数比2023年预算数增加（减少）0万元。其中：</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1.因公出国（境）费0万元，其中：当年预算0万元；上年结转0万元。2024年当年预算数比2023年预算数增加（减少）0万元，主要原因是_______________。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2.公务接待费0万元，其中：当年预算0万元；上年结转0万元。2024年当年预算数比2023年预算数增加（减少）0万元，主要原因是__________________。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3.公务用车购置及运行费0万元，其中：当年预算0万元；上年结转0万元。2024年当年预算数比2023年预算数增加（减少）0万元。公务用车运行维护费0万元，其中：当年预算0万元；上年结转0万元。2024年当年预算数比2023年预算数增加（减少）0万元，主要原因是0；公务用车购置费0万元，其中：当年预算0万元；上年结转0万元。2024年当年预算数比2023年预算数增加（减少）0万元，主要原因是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三公”经费中包括的具体内容，按本部门《一般公共预算“三公”经费支出表》反映的实际情况填写。2024年预算数要与当年公开数额保持一致。没有一般公共预算拨款的，直接表述为“本部门无一般公共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八、2024年政府性基金预算支出情况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2024年政府性基金预算支出0万元，其中：基本支出0万元，占0%；项目支出0万元，占0%。基本支出中，人员经费0万元，占0%；公用经费0万元，占0%。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科学技术（类）支出0万元，占0%，主要用于_____________________。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文化旅游体育与传媒（类）支出0万元，占0%，主要用于_____________________。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社会保障和就业（类）支出0万元，占0%，主要用于_____________________。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农林水支出（类）支出0万元，占0%，主要用于_____________________。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注：政府性基金预算支出中包括的具体内容，按本部门《政府性基金预算支出表》反映的实际情况取舍。没有政府性基金预算拨款的，直接表述为“本部门无政府性基金预算拨款”，不得直接删除。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九、2024年国有资本经营预算支出情况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2024年国有资本经营预算支出0万元，其中：基本支出0万元，占0%；项目支出0万元，占0%。</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解决历史遗留问题及改革（款）支出0万元，占0%，主要用于_________。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国有企业资本金注入（款）支出0万元，占0%，主要用于____________。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国有企业政策性补贴（款）支出0万元，占0%，主要用于____________。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其他国有资本经营预算（款）支出0万元，占0%，主要用于_____________。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注：国有资本经营预算支出中包括的具体内容，按本部门《国有资本经营预算支出表》反映的实际情况取舍。没有国有资本经营预算拨款的，直接表述为“本部门无国有资本经营预算拨款”，不得直接删除。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十、其他重要事项的说明情况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（一）机关运行经费</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2024年部门本级、_______等0家行政单位以及_______等0家参公管理事业单位的机关运行经费财政拨款预算0万元，比2023年预算增加（减少）0万元，增长（下降）0%，主要原因是_______________。</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（二）政府采购情况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2024年政府采购预算总额0万元，其中：政府采购货物预算0万元、政府采购工程预算0万元、政府采购服务预算0万元。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（三）国有资产占有使用情况</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截至2023年8月底，部门本级和所属各预算单位共有车辆0辆，土地_______平方米，房屋_______平方米，单价50万元及以上的通用设备0台/套，单价100万元及以上的专用设备实有数0台/套。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2024年部门预算安排购置车辆0辆，安排购置土地0平方米，安排购置房屋0平方米，计划新增单价50万元及以上的通用设备0台/套，计划新增单价100万元及以上的专用设备实有数0台/套。</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(四）项目支出情况说明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2024年部门项目支出2万元，其中：一级项目1个，二级项目1个；使用本年拨款2万元，财政拨款结转0万元。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（五）项目支出绩效目标情况说明</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按照全面实施预算绩效管理的要求，结合本部门职能和重点工作，2024年确定0个一级项目支出的绩效目标和指标向社会公开，涉及金额0万元。</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注：没有需要按规定说明情况的，直接表述为“本部门无______”，不得直接删除。</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第四部分 名词解释</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 xml:space="preserve"> </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（一）一般公共预算拨款收入：指省级财政通过当年一般公共预算拨付的资金。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（二）政府性基金预算拨款收入：指省级财政通过当年政府性基金预算拨付的资金。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（三）国有资本经营预算拨款收入：指省级财政通过当年国有资本经营预算拨付的资金。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（四）财政专户管理资金收入：指未纳入预算并实行财政专户管理的资金收入。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（五）事业收入：指事业单位开展专业业务活动及辅助活动所取得的收入。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（六）上级补助收入：指预算单位从主管部门或上级单位取得的非财政拨款补助收入。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（八）事业单位经营收入：指事业单位在专业业务活动及其辅助活动之外开展非独立核算经营活动取得的收入。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（九）其他收入：指除上述“一般公共预算拨款收入”、“政府性基金预算拨款收入”、“事业收入”、“事业单位经营收入”等以外的收入。</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用事业基金弥补收支差额：指事业单位在预计当年的“一般公共预算拨款收入”、“政府性基金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（十一）上年结转：指以前年度尚未完成、结转到本年仍按原规定用途继续使用的资金。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（十二）结转下年：指以前年度预算安排、因客观条件发生变化无法按原计划实施，需延迟到以后年度按原规定用途继续使用的资金。</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（十三）基本支出：指为保障机构正常运转、完成日常工作任务而发生的人员支出和公用支出。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（十四）项目支出：指在基本支出之外为完成特定行政任务和事业发展目标所发生的支出。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（十五）上缴上级支出：指附属单位上缴上级的支出。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（十六）事业单位经营支出：指事业单位在专业业务活动及其辅助活动之外开展非独立核算经营活动发生的支出。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（十七）对附属单位补助支出：指对附属单位补助发生的支出。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八）“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十九）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val="0"/>
        <w:wordWrap/>
        <w:adjustRightInd/>
        <w:snapToGrid/>
        <w:spacing w:line="700" w:lineRule="exact"/>
        <w:ind w:firstLine="640" w:firstLineChars="200"/>
        <w:textAlignment w:val="auto"/>
        <w:rPr>
          <w:rFonts w:hint="eastAsia"/>
          <w:kern w:val="0"/>
          <w:szCs w:val="32"/>
        </w:rPr>
      </w:pPr>
      <w:r>
        <w:rPr>
          <w:rFonts w:hint="eastAsia"/>
          <w:kern w:val="0"/>
          <w:szCs w:val="32"/>
        </w:rPr>
        <w:t>（二十）项目支出绩效目标：项目支出绩效目标是指部门预算安排的项目支出在一定期限内预期达到的产出和效果。</w:t>
      </w:r>
    </w:p>
    <w:p>
      <w:pPr>
        <w:widowControl w:val="0"/>
        <w:wordWrap/>
        <w:adjustRightInd/>
        <w:snapToGrid/>
        <w:spacing w:line="700" w:lineRule="exact"/>
        <w:ind w:firstLine="640" w:firstLineChars="200"/>
        <w:textAlignment w:val="auto"/>
        <w:rPr>
          <w:rFonts w:hint="eastAsia"/>
          <w:kern w:val="0"/>
          <w:szCs w:val="32"/>
        </w:rPr>
      </w:pPr>
    </w:p>
    <w:sectPr>
      <w:headerReference r:id="rId4" w:type="default"/>
      <w:footerReference r:id="rId6" w:type="default"/>
      <w:headerReference r:id="rId5" w:type="even"/>
      <w:footerReference r:id="rId7" w:type="even"/>
      <w:type w:val="evenPage"/>
      <w:pgSz w:w="11849" w:h="16781"/>
      <w:pgMar w:top="1474" w:right="1134" w:bottom="1474" w:left="1134" w:header="851" w:footer="1587" w:gutter="0"/>
      <w:paperSrc w:first="0" w:other="0"/>
      <w:pgBorders>
        <w:top w:val="none" w:color="auto" w:sz="0" w:space="0"/>
        <w:left w:val="none" w:color="auto" w:sz="0" w:space="0"/>
        <w:bottom w:val="none" w:color="auto" w:sz="0" w:space="0"/>
        <w:right w:val="none" w:color="auto" w:sz="0" w:space="0"/>
      </w:pgBorders>
      <w:pgNumType w:start="0"/>
      <w:cols w:space="720" w:num="1"/>
      <w:titlePg/>
      <w:rtlGutter w:val="0"/>
      <w:docGrid w:type="lines" w:linePitch="604"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仿宋_GB2312">
    <w:panose1 w:val="02010609030101010101"/>
    <w:charset w:val="86"/>
    <w:family w:val="auto"/>
    <w:pitch w:val="default"/>
    <w:sig w:usb0="00000001" w:usb1="080E0000" w:usb2="00000000" w:usb3="00000000" w:csb0="00040000" w:csb1="00000000"/>
  </w:font>
  <w:font w:name="华文细黑">
    <w:altName w:val="宋体"/>
    <w:panose1 w:val="02010600040101010101"/>
    <w:charset w:val="86"/>
    <w:family w:val="auto"/>
    <w:pitch w:val="default"/>
    <w:sig w:usb0="00000000" w:usb1="00000000" w:usb2="00000000" w:usb3="00000000" w:csb0="0004009F" w:csb1="DFD70000"/>
  </w:font>
  <w:font w:name="monospace">
    <w:altName w:val="Courier New"/>
    <w:panose1 w:val="00000000000000000000"/>
    <w:charset w:val="00"/>
    <w:family w:val="auto"/>
    <w:pitch w:val="default"/>
    <w:sig w:usb0="00000000" w:usb1="00000000" w:usb2="00000000" w:usb3="00000000" w:csb0="00040001" w:csb1="00000000"/>
  </w:font>
  <w:font w:name="Calibri">
    <w:panose1 w:val="020F0502020204030204"/>
    <w:charset w:val="00"/>
    <w:family w:val="auto"/>
    <w:pitch w:val="default"/>
    <w:sig w:usb0="A00002EF" w:usb1="4000207B" w:usb2="00000000" w:usb3="00000000" w:csb0="2000009F" w:csb1="00000000"/>
  </w:font>
  <w:font w:name="方正小标宋简体">
    <w:altName w:val="黑体"/>
    <w:panose1 w:val="02010601030101010101"/>
    <w:charset w:val="86"/>
    <w:family w:val="auto"/>
    <w:pitch w:val="default"/>
    <w:sig w:usb0="00000000" w:usb1="00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楷体">
    <w:altName w:val="楷体_GB2312"/>
    <w:panose1 w:val="02010609060101010101"/>
    <w:charset w:val="86"/>
    <w:family w:val="auto"/>
    <w:pitch w:val="default"/>
    <w:sig w:usb0="00000000" w:usb1="00000000" w:usb2="00000016" w:usb3="00000000" w:csb0="00040001" w:csb1="00000000"/>
  </w:font>
  <w:font w:name="Verdana">
    <w:panose1 w:val="020B0604030504040204"/>
    <w:charset w:val="00"/>
    <w:family w:val="auto"/>
    <w:pitch w:val="default"/>
    <w:sig w:usb0="00000287" w:usb1="00000000"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page" w:x="5372" w:y="-73"/>
      <w:rPr>
        <w:rStyle w:val="10"/>
        <w:sz w:val="28"/>
      </w:rPr>
    </w:pPr>
    <w:r>
      <w:rPr>
        <w:rStyle w:val="10"/>
        <w:rFonts w:hint="eastAsia"/>
        <w:sz w:val="28"/>
      </w:rPr>
      <w:t>—</w:t>
    </w:r>
    <w:r>
      <w:rPr>
        <w:sz w:val="28"/>
      </w:rPr>
      <w:fldChar w:fldCharType="begin"/>
    </w:r>
    <w:r>
      <w:rPr>
        <w:rStyle w:val="10"/>
        <w:sz w:val="28"/>
      </w:rPr>
      <w:instrText xml:space="preserve">PAGE  </w:instrText>
    </w:r>
    <w:r>
      <w:rPr>
        <w:sz w:val="28"/>
      </w:rPr>
      <w:fldChar w:fldCharType="separate"/>
    </w:r>
    <w:r>
      <w:rPr>
        <w:rStyle w:val="10"/>
        <w:sz w:val="28"/>
      </w:rPr>
      <w:t>4</w:t>
    </w:r>
    <w:r>
      <w:rPr>
        <w:sz w:val="28"/>
      </w:rPr>
      <w:fldChar w:fldCharType="end"/>
    </w:r>
    <w:r>
      <w:rPr>
        <w:rStyle w:val="10"/>
        <w:rFonts w:hint="eastAsia"/>
        <w:sz w:val="28"/>
      </w:rPr>
      <w:t>—</w:t>
    </w:r>
  </w:p>
  <w:p>
    <w:pPr>
      <w:pStyle w:val="6"/>
      <w:framePr w:wrap="around" w:vAnchor="text" w:hAnchor="margin" w:xAlign="center" w:y="1"/>
      <w:ind w:right="360"/>
      <w:rPr>
        <w:rStyle w:val="10"/>
      </w:rPr>
    </w:pPr>
  </w:p>
  <w:p>
    <w:pPr>
      <w:pStyle w:val="6"/>
      <w:tabs>
        <w:tab w:val="left" w:pos="5124"/>
        <w:tab w:val="clear" w:pos="4153"/>
        <w:tab w:val="clear"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6"/>
      <w:framePr w:wrap="around" w:vAnchor="text" w:hAnchor="margin" w:xAlign="right" w:y="1"/>
      <w:rPr>
        <w:rStyle w:val="10"/>
      </w:rPr>
    </w:pPr>
    <w:r>
      <w:fldChar w:fldCharType="begin"/>
    </w:r>
    <w:r>
      <w:rPr>
        <w:rStyle w:val="10"/>
      </w:rPr>
      <w:instrText xml:space="preserve">PAGE  </w:instrText>
    </w:r>
    <w:r>
      <w:fldChar w:fldCharType="separate"/>
    </w:r>
    <w:r>
      <w:rPr>
        <w:rStyle w:val="10"/>
      </w:rPr>
      <w:t>0</w:t>
    </w:r>
    <w:r>
      <w:fldChar w:fldCharType="end"/>
    </w:r>
  </w:p>
  <w:p>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7"/>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5"/>
  <w:drawingGridHorizontalSpacing w:val="156"/>
  <w:drawingGridVerticalSpacing w:val="302"/>
  <w:displayHorizontalDrawingGridEvery w:val="1"/>
  <w:displayVerticalDrawingGridEvery w:val="1"/>
  <w:noPunctuationKerning w:val="1"/>
  <w:characterSpacingControl w:val="compressPunctuation"/>
  <w:compat>
    <w:spaceForUL/>
    <w:balanceSingleByteDoubleByteWidth/>
    <w:doNotLeaveBackslashAlone/>
    <w:ulTrailSpace/>
    <w:doNotBreakWrappedTables/>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TNlNTA3MTJmMmVjZGVlZjUwYWI3YjE4NjJlMzAwMTAifQ=="/>
  </w:docVars>
  <w:rsids>
    <w:rsidRoot w:val="00172A27"/>
    <w:rsid w:val="000C6D48"/>
    <w:rsid w:val="000D7FB8"/>
    <w:rsid w:val="00102492"/>
    <w:rsid w:val="00145456"/>
    <w:rsid w:val="002300BA"/>
    <w:rsid w:val="00292A39"/>
    <w:rsid w:val="002A5441"/>
    <w:rsid w:val="002E7CD8"/>
    <w:rsid w:val="00367BC1"/>
    <w:rsid w:val="00396D8D"/>
    <w:rsid w:val="00426F96"/>
    <w:rsid w:val="00487479"/>
    <w:rsid w:val="00514321"/>
    <w:rsid w:val="00584D1B"/>
    <w:rsid w:val="00586A56"/>
    <w:rsid w:val="005D5B16"/>
    <w:rsid w:val="005F314F"/>
    <w:rsid w:val="00623896"/>
    <w:rsid w:val="006358AE"/>
    <w:rsid w:val="006B3914"/>
    <w:rsid w:val="007638E0"/>
    <w:rsid w:val="00812796"/>
    <w:rsid w:val="00825722"/>
    <w:rsid w:val="00841DA8"/>
    <w:rsid w:val="00851A6F"/>
    <w:rsid w:val="00870789"/>
    <w:rsid w:val="00876AFD"/>
    <w:rsid w:val="00896C22"/>
    <w:rsid w:val="008C034B"/>
    <w:rsid w:val="0091631A"/>
    <w:rsid w:val="00932BEF"/>
    <w:rsid w:val="00983A8D"/>
    <w:rsid w:val="009B2F41"/>
    <w:rsid w:val="009E093A"/>
    <w:rsid w:val="00A34894"/>
    <w:rsid w:val="00A73E5D"/>
    <w:rsid w:val="00A96058"/>
    <w:rsid w:val="00AD4E96"/>
    <w:rsid w:val="00B05DD3"/>
    <w:rsid w:val="00B60748"/>
    <w:rsid w:val="00B62F90"/>
    <w:rsid w:val="00B668F4"/>
    <w:rsid w:val="00BA7D5D"/>
    <w:rsid w:val="00BB6FD3"/>
    <w:rsid w:val="00BE1CDD"/>
    <w:rsid w:val="00C36C22"/>
    <w:rsid w:val="00C55740"/>
    <w:rsid w:val="00CA1FFF"/>
    <w:rsid w:val="00CC6E11"/>
    <w:rsid w:val="00CC7209"/>
    <w:rsid w:val="00D33284"/>
    <w:rsid w:val="00D44841"/>
    <w:rsid w:val="00D55467"/>
    <w:rsid w:val="00D71247"/>
    <w:rsid w:val="00DF0F79"/>
    <w:rsid w:val="00E00855"/>
    <w:rsid w:val="00E22C47"/>
    <w:rsid w:val="00E56F79"/>
    <w:rsid w:val="00E67450"/>
    <w:rsid w:val="00E82D48"/>
    <w:rsid w:val="00EC73B7"/>
    <w:rsid w:val="00EE1F67"/>
    <w:rsid w:val="00F47B19"/>
    <w:rsid w:val="00F7193F"/>
    <w:rsid w:val="00F8523B"/>
    <w:rsid w:val="00FF7928"/>
    <w:rsid w:val="01620FE6"/>
    <w:rsid w:val="019B69D8"/>
    <w:rsid w:val="020E6D2C"/>
    <w:rsid w:val="031D7D4B"/>
    <w:rsid w:val="04022755"/>
    <w:rsid w:val="0486486A"/>
    <w:rsid w:val="04954460"/>
    <w:rsid w:val="04F026C1"/>
    <w:rsid w:val="050D06DA"/>
    <w:rsid w:val="050F3BA7"/>
    <w:rsid w:val="05513E94"/>
    <w:rsid w:val="056F5A6D"/>
    <w:rsid w:val="059B3770"/>
    <w:rsid w:val="063949A0"/>
    <w:rsid w:val="067960C1"/>
    <w:rsid w:val="06BD5BC7"/>
    <w:rsid w:val="07D21289"/>
    <w:rsid w:val="07F544B0"/>
    <w:rsid w:val="09A0082A"/>
    <w:rsid w:val="0A334D52"/>
    <w:rsid w:val="0ABA06FE"/>
    <w:rsid w:val="0B5F5ADA"/>
    <w:rsid w:val="0B710869"/>
    <w:rsid w:val="0C2A5C84"/>
    <w:rsid w:val="0D4E5761"/>
    <w:rsid w:val="0DA001B0"/>
    <w:rsid w:val="0DB6446C"/>
    <w:rsid w:val="0DEB170B"/>
    <w:rsid w:val="0E4C7841"/>
    <w:rsid w:val="0E706946"/>
    <w:rsid w:val="0F3E0406"/>
    <w:rsid w:val="0F8B592F"/>
    <w:rsid w:val="0FD62F63"/>
    <w:rsid w:val="107728C7"/>
    <w:rsid w:val="10AE7F82"/>
    <w:rsid w:val="10C93B35"/>
    <w:rsid w:val="11177619"/>
    <w:rsid w:val="112605C8"/>
    <w:rsid w:val="12E711B7"/>
    <w:rsid w:val="136D62BD"/>
    <w:rsid w:val="13F21722"/>
    <w:rsid w:val="1441443C"/>
    <w:rsid w:val="14C12787"/>
    <w:rsid w:val="15593E10"/>
    <w:rsid w:val="159F7E25"/>
    <w:rsid w:val="15F848D0"/>
    <w:rsid w:val="160E1FA5"/>
    <w:rsid w:val="160F2600"/>
    <w:rsid w:val="17765BCA"/>
    <w:rsid w:val="17A027D8"/>
    <w:rsid w:val="1A817DF8"/>
    <w:rsid w:val="1ADC594E"/>
    <w:rsid w:val="1AEB5252"/>
    <w:rsid w:val="1C852172"/>
    <w:rsid w:val="1CA40C0C"/>
    <w:rsid w:val="1CFF4A32"/>
    <w:rsid w:val="1D833200"/>
    <w:rsid w:val="1E2D59A2"/>
    <w:rsid w:val="1E3A3FD0"/>
    <w:rsid w:val="1EB55C07"/>
    <w:rsid w:val="1F351A10"/>
    <w:rsid w:val="1F367E68"/>
    <w:rsid w:val="1FED47E9"/>
    <w:rsid w:val="201F76CD"/>
    <w:rsid w:val="206816AC"/>
    <w:rsid w:val="21DE311D"/>
    <w:rsid w:val="22A4003E"/>
    <w:rsid w:val="23984063"/>
    <w:rsid w:val="23CE11F0"/>
    <w:rsid w:val="23EC61F6"/>
    <w:rsid w:val="244C543C"/>
    <w:rsid w:val="24624768"/>
    <w:rsid w:val="2539376C"/>
    <w:rsid w:val="254C6FAD"/>
    <w:rsid w:val="259B5BC5"/>
    <w:rsid w:val="25C7462E"/>
    <w:rsid w:val="25F62C4E"/>
    <w:rsid w:val="26643D6C"/>
    <w:rsid w:val="26FE109D"/>
    <w:rsid w:val="27073E1E"/>
    <w:rsid w:val="27B04AB3"/>
    <w:rsid w:val="28A63332"/>
    <w:rsid w:val="29C45F24"/>
    <w:rsid w:val="2D703A18"/>
    <w:rsid w:val="2DF8796C"/>
    <w:rsid w:val="2EB22F18"/>
    <w:rsid w:val="2EE12108"/>
    <w:rsid w:val="2EED35E3"/>
    <w:rsid w:val="2F250383"/>
    <w:rsid w:val="2F63610B"/>
    <w:rsid w:val="300965A3"/>
    <w:rsid w:val="30730D6E"/>
    <w:rsid w:val="30B91A70"/>
    <w:rsid w:val="32CF2C5D"/>
    <w:rsid w:val="335402B5"/>
    <w:rsid w:val="339466B2"/>
    <w:rsid w:val="34555AF5"/>
    <w:rsid w:val="35616772"/>
    <w:rsid w:val="35EA1663"/>
    <w:rsid w:val="364C598E"/>
    <w:rsid w:val="36CC2B0F"/>
    <w:rsid w:val="371A614D"/>
    <w:rsid w:val="37D579D3"/>
    <w:rsid w:val="3838492F"/>
    <w:rsid w:val="387258D7"/>
    <w:rsid w:val="3887374F"/>
    <w:rsid w:val="38AF6637"/>
    <w:rsid w:val="39041A07"/>
    <w:rsid w:val="39043B77"/>
    <w:rsid w:val="393F0DCD"/>
    <w:rsid w:val="39670895"/>
    <w:rsid w:val="3A657F9A"/>
    <w:rsid w:val="3A7D2DC7"/>
    <w:rsid w:val="3A9113D4"/>
    <w:rsid w:val="3AC54F32"/>
    <w:rsid w:val="3B144A0A"/>
    <w:rsid w:val="3B1B2A0D"/>
    <w:rsid w:val="3B7C071F"/>
    <w:rsid w:val="3B9254F0"/>
    <w:rsid w:val="3BC92948"/>
    <w:rsid w:val="3BE370D4"/>
    <w:rsid w:val="3C29381E"/>
    <w:rsid w:val="3C711E1D"/>
    <w:rsid w:val="3C7F463D"/>
    <w:rsid w:val="3CAE3960"/>
    <w:rsid w:val="3D365BF6"/>
    <w:rsid w:val="3DF23324"/>
    <w:rsid w:val="3E4C1465"/>
    <w:rsid w:val="3EA14040"/>
    <w:rsid w:val="3EE8108D"/>
    <w:rsid w:val="405745EF"/>
    <w:rsid w:val="40B80EFF"/>
    <w:rsid w:val="40FF5F74"/>
    <w:rsid w:val="41A35364"/>
    <w:rsid w:val="41C31686"/>
    <w:rsid w:val="42982B4E"/>
    <w:rsid w:val="436B1E42"/>
    <w:rsid w:val="43993170"/>
    <w:rsid w:val="44054362"/>
    <w:rsid w:val="449C5E6A"/>
    <w:rsid w:val="456D114B"/>
    <w:rsid w:val="45EB670F"/>
    <w:rsid w:val="46AB7C0D"/>
    <w:rsid w:val="46D44808"/>
    <w:rsid w:val="47CF49E6"/>
    <w:rsid w:val="4843587B"/>
    <w:rsid w:val="48674ED2"/>
    <w:rsid w:val="487708E6"/>
    <w:rsid w:val="49645F71"/>
    <w:rsid w:val="499F5C68"/>
    <w:rsid w:val="4AF16062"/>
    <w:rsid w:val="4B646DDD"/>
    <w:rsid w:val="4B7F44F8"/>
    <w:rsid w:val="4BAC24C5"/>
    <w:rsid w:val="4BFA0656"/>
    <w:rsid w:val="4D730507"/>
    <w:rsid w:val="4D741DD3"/>
    <w:rsid w:val="4DC93207"/>
    <w:rsid w:val="4E2A22FD"/>
    <w:rsid w:val="4E8D5761"/>
    <w:rsid w:val="4EF54A85"/>
    <w:rsid w:val="4F6F75D9"/>
    <w:rsid w:val="4FED4808"/>
    <w:rsid w:val="501B3C66"/>
    <w:rsid w:val="504B40C5"/>
    <w:rsid w:val="50987DC2"/>
    <w:rsid w:val="50A4703E"/>
    <w:rsid w:val="5136104F"/>
    <w:rsid w:val="51E55C99"/>
    <w:rsid w:val="52071113"/>
    <w:rsid w:val="52447C09"/>
    <w:rsid w:val="525A440D"/>
    <w:rsid w:val="54741940"/>
    <w:rsid w:val="54810E66"/>
    <w:rsid w:val="54C2556E"/>
    <w:rsid w:val="55480EEF"/>
    <w:rsid w:val="56570E30"/>
    <w:rsid w:val="57AE5C26"/>
    <w:rsid w:val="57DD75A9"/>
    <w:rsid w:val="58256ABD"/>
    <w:rsid w:val="59472AC7"/>
    <w:rsid w:val="599465C2"/>
    <w:rsid w:val="59BD150F"/>
    <w:rsid w:val="59DD570D"/>
    <w:rsid w:val="59FF5EDC"/>
    <w:rsid w:val="5A084708"/>
    <w:rsid w:val="5AB343F7"/>
    <w:rsid w:val="5ABF50F2"/>
    <w:rsid w:val="5AF76904"/>
    <w:rsid w:val="5B052E7A"/>
    <w:rsid w:val="5B3D7F7E"/>
    <w:rsid w:val="5B6F1C75"/>
    <w:rsid w:val="5B7C7777"/>
    <w:rsid w:val="5B9462A0"/>
    <w:rsid w:val="5BEC6771"/>
    <w:rsid w:val="5CA506B9"/>
    <w:rsid w:val="5CFD5FB2"/>
    <w:rsid w:val="5D2B52D8"/>
    <w:rsid w:val="5D5A7C63"/>
    <w:rsid w:val="5E256F6F"/>
    <w:rsid w:val="5F6235A9"/>
    <w:rsid w:val="6042091D"/>
    <w:rsid w:val="614125C2"/>
    <w:rsid w:val="624C5C52"/>
    <w:rsid w:val="63952BB5"/>
    <w:rsid w:val="63DF08E4"/>
    <w:rsid w:val="64127E15"/>
    <w:rsid w:val="647B1392"/>
    <w:rsid w:val="64C04AFD"/>
    <w:rsid w:val="661A7B69"/>
    <w:rsid w:val="664909C1"/>
    <w:rsid w:val="66C63EB5"/>
    <w:rsid w:val="673E5F3E"/>
    <w:rsid w:val="674364F6"/>
    <w:rsid w:val="677772D0"/>
    <w:rsid w:val="677D5A7C"/>
    <w:rsid w:val="679461D3"/>
    <w:rsid w:val="6858287E"/>
    <w:rsid w:val="69157114"/>
    <w:rsid w:val="691A443E"/>
    <w:rsid w:val="6A80735F"/>
    <w:rsid w:val="6ACC5E47"/>
    <w:rsid w:val="6AD43ED1"/>
    <w:rsid w:val="6B11024D"/>
    <w:rsid w:val="6B7D5B36"/>
    <w:rsid w:val="6CF120A8"/>
    <w:rsid w:val="714213DD"/>
    <w:rsid w:val="717F272E"/>
    <w:rsid w:val="728027C6"/>
    <w:rsid w:val="72D54D7C"/>
    <w:rsid w:val="737664E0"/>
    <w:rsid w:val="73FE7ACC"/>
    <w:rsid w:val="74053F35"/>
    <w:rsid w:val="74556746"/>
    <w:rsid w:val="74AB7A24"/>
    <w:rsid w:val="76C17E06"/>
    <w:rsid w:val="76CA67BD"/>
    <w:rsid w:val="774E6400"/>
    <w:rsid w:val="775B0046"/>
    <w:rsid w:val="78796248"/>
    <w:rsid w:val="79700BEF"/>
    <w:rsid w:val="79F85634"/>
    <w:rsid w:val="7A090695"/>
    <w:rsid w:val="7AE175F4"/>
    <w:rsid w:val="7B417685"/>
    <w:rsid w:val="7B5220F0"/>
    <w:rsid w:val="7BA169C0"/>
    <w:rsid w:val="7BE95D3C"/>
    <w:rsid w:val="7CAD595B"/>
    <w:rsid w:val="7CF65D07"/>
    <w:rsid w:val="7D2975D1"/>
    <w:rsid w:val="7DCC0CD6"/>
    <w:rsid w:val="7FFD038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9">
    <w:name w:val="Default Paragraph Font"/>
    <w:qFormat/>
    <w:uiPriority w:val="0"/>
  </w:style>
  <w:style w:type="table" w:default="1" w:styleId="11">
    <w:name w:val="Normal Table"/>
    <w:unhideWhenUsed/>
    <w:uiPriority w:val="99"/>
    <w:tblPr>
      <w:tblStyle w:val="11"/>
      <w:tblLayout w:type="fixed"/>
      <w:tblCellMar>
        <w:top w:w="0" w:type="dxa"/>
        <w:left w:w="108" w:type="dxa"/>
        <w:bottom w:w="0" w:type="dxa"/>
        <w:right w:w="108" w:type="dxa"/>
      </w:tblCellMar>
    </w:tblPr>
    <w:tcPr>
      <w:textDirection w:val="lrTb"/>
    </w:tcPr>
  </w:style>
  <w:style w:type="paragraph" w:styleId="2">
    <w:name w:val="Body Text Indent"/>
    <w:basedOn w:val="1"/>
    <w:qFormat/>
    <w:uiPriority w:val="0"/>
    <w:pPr>
      <w:tabs>
        <w:tab w:val="left" w:pos="8372"/>
      </w:tabs>
      <w:spacing w:line="540" w:lineRule="exact"/>
      <w:ind w:firstLine="630"/>
    </w:pPr>
    <w:rPr>
      <w:rFonts w:eastAsia="黑体"/>
    </w:rPr>
  </w:style>
  <w:style w:type="paragraph" w:styleId="3">
    <w:name w:val="Date"/>
    <w:basedOn w:val="1"/>
    <w:next w:val="1"/>
    <w:qFormat/>
    <w:uiPriority w:val="0"/>
  </w:style>
  <w:style w:type="paragraph" w:styleId="4">
    <w:name w:val="Body Text Indent 2"/>
    <w:basedOn w:val="1"/>
    <w:qFormat/>
    <w:uiPriority w:val="0"/>
    <w:pPr>
      <w:tabs>
        <w:tab w:val="left" w:pos="8372"/>
      </w:tabs>
      <w:spacing w:line="540" w:lineRule="exact"/>
      <w:ind w:firstLine="630"/>
    </w:pPr>
    <w:rPr>
      <w:b/>
      <w:bCs/>
    </w:rPr>
  </w:style>
  <w:style w:type="paragraph" w:styleId="5">
    <w:name w:val="Balloon Text"/>
    <w:basedOn w:val="1"/>
    <w:link w:val="76"/>
    <w:qFormat/>
    <w:uiPriority w:val="0"/>
    <w:rPr>
      <w:sz w:val="18"/>
      <w:szCs w:val="18"/>
    </w:rPr>
  </w:style>
  <w:style w:type="paragraph" w:styleId="6">
    <w:name w:val="footer"/>
    <w:basedOn w:val="1"/>
    <w:link w:val="77"/>
    <w:qFormat/>
    <w:uiPriority w:val="0"/>
    <w:pPr>
      <w:tabs>
        <w:tab w:val="center" w:pos="4153"/>
        <w:tab w:val="right" w:pos="8306"/>
      </w:tabs>
      <w:snapToGrid w:val="0"/>
      <w:jc w:val="left"/>
    </w:pPr>
    <w:rPr>
      <w:sz w:val="18"/>
    </w:rPr>
  </w:style>
  <w:style w:type="paragraph" w:styleId="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szCs w:val="24"/>
    </w:rPr>
  </w:style>
  <w:style w:type="character" w:styleId="10">
    <w:name w:val="page number"/>
    <w:basedOn w:val="9"/>
    <w:qFormat/>
    <w:uiPriority w:val="0"/>
    <w:rPr/>
  </w:style>
  <w:style w:type="table" w:styleId="12">
    <w:name w:val="Table Grid"/>
    <w:basedOn w:val="11"/>
    <w:qFormat/>
    <w:uiPriority w:val="59"/>
    <w:pPr/>
    <w:rPr>
      <w:rFonts w:ascii="Calibri" w:hAnsi="Calibri" w:eastAsia="宋体" w:cs="Times New Roman"/>
      <w:kern w:val="2"/>
      <w:sz w:val="21"/>
      <w:szCs w:val="22"/>
    </w:rPr>
    <w:tblPr>
      <w:tblStyle w:val="11"/>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tcPr>
      <w:textDirection w:val="lrTb"/>
    </w:tcPr>
  </w:style>
  <w:style w:type="paragraph" w:customStyle="1" w:styleId="13">
    <w:name w:val="Char"/>
    <w:basedOn w:val="1"/>
    <w:qFormat/>
    <w:uiPriority w:val="0"/>
    <w:rPr>
      <w:rFonts w:eastAsia="宋体"/>
      <w:sz w:val="21"/>
      <w:szCs w:val="21"/>
    </w:rPr>
  </w:style>
  <w:style w:type="paragraph" w:customStyle="1" w:styleId="14">
    <w:name w:val="页眉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5">
    <w:name w:val="页眉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6">
    <w:name w:val="页脚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7">
    <w:name w:val="页眉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18">
    <w:name w:val="页脚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19">
    <w:name w:val="页脚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0">
    <w:name w:val="页脚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1">
    <w:name w:val="页眉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2">
    <w:name w:val="页眉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3">
    <w:name w:val="页眉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24">
    <w:name w:val="页脚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5">
    <w:name w:val="页脚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6">
    <w:name w:val="页脚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7">
    <w:name w:val="页脚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28">
    <w:name w:val="正文文本 21"/>
    <w:basedOn w:val="1"/>
    <w:qFormat/>
    <w:uiPriority w:val="0"/>
    <w:pPr>
      <w:adjustRightInd w:val="0"/>
      <w:ind w:firstLine="630"/>
      <w:jc w:val="left"/>
      <w:textAlignment w:val="baseline"/>
    </w:pPr>
    <w:rPr>
      <w:rFonts w:eastAsia="黑体"/>
    </w:rPr>
  </w:style>
  <w:style w:type="paragraph" w:customStyle="1" w:styleId="29">
    <w:name w:val="页眉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0">
    <w:name w:val="页脚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1">
    <w:name w:val="页脚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2">
    <w:name w:val="页脚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3">
    <w:name w:val="页眉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4">
    <w:name w:val="页眉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5">
    <w:name w:val="页脚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6">
    <w:name w:val="页眉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7">
    <w:name w:val="页脚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38">
    <w:name w:val="页眉 New New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39">
    <w:name w:val="页眉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0">
    <w:name w:val="页眉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1">
    <w:name w:val="页眉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2">
    <w:name w:val="页眉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3">
    <w:name w:val="页脚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4">
    <w:name w:val="p0"/>
    <w:basedOn w:val="1"/>
    <w:qFormat/>
    <w:uiPriority w:val="0"/>
    <w:pPr>
      <w:widowControl/>
    </w:pPr>
    <w:rPr>
      <w:rFonts w:eastAsia="宋体"/>
      <w:kern w:val="0"/>
      <w:szCs w:val="32"/>
    </w:rPr>
  </w:style>
  <w:style w:type="paragraph" w:customStyle="1" w:styleId="45">
    <w:name w:val="页眉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46">
    <w:name w:val="页脚 New New New New"/>
    <w:basedOn w:val="1"/>
    <w:qFormat/>
    <w:uiPriority w:val="0"/>
    <w:pPr>
      <w:tabs>
        <w:tab w:val="center" w:pos="4153"/>
        <w:tab w:val="right" w:pos="8306"/>
      </w:tabs>
      <w:snapToGrid w:val="0"/>
      <w:jc w:val="left"/>
    </w:pPr>
    <w:rPr>
      <w:rFonts w:eastAsia="仿宋_GB2312"/>
      <w:kern w:val="2"/>
      <w:sz w:val="18"/>
    </w:rPr>
  </w:style>
  <w:style w:type="paragraph" w:customStyle="1" w:styleId="47">
    <w:name w:val="页脚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8">
    <w:name w:val="页脚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49">
    <w:name w:val="页眉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0">
    <w:name w:val="页眉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1">
    <w:name w:val="页眉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2">
    <w:name w:val="页脚 New"/>
    <w:basedOn w:val="1"/>
    <w:qFormat/>
    <w:uiPriority w:val="0"/>
    <w:pPr>
      <w:tabs>
        <w:tab w:val="center" w:pos="4153"/>
        <w:tab w:val="right" w:pos="8306"/>
      </w:tabs>
      <w:snapToGrid w:val="0"/>
      <w:jc w:val="left"/>
    </w:pPr>
    <w:rPr>
      <w:rFonts w:eastAsia="仿宋_GB2312"/>
      <w:kern w:val="2"/>
      <w:sz w:val="18"/>
    </w:rPr>
  </w:style>
  <w:style w:type="paragraph" w:customStyle="1" w:styleId="53">
    <w:name w:val="页脚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4">
    <w:name w:val="页脚 New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5">
    <w:name w:val="页眉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6">
    <w:name w:val="页眉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7">
    <w:name w:val="页眉 New New New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58">
    <w:name w:val="页脚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59">
    <w:name w:val="页眉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0">
    <w:name w:val="页脚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1">
    <w:name w:val="页眉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2">
    <w:name w:val="页脚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3">
    <w:name w:val="页眉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4">
    <w:name w:val="页眉 New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5">
    <w:name w:val="页脚 New New New"/>
    <w:basedOn w:val="1"/>
    <w:qFormat/>
    <w:uiPriority w:val="0"/>
    <w:pPr>
      <w:tabs>
        <w:tab w:val="center" w:pos="4153"/>
        <w:tab w:val="right" w:pos="8306"/>
      </w:tabs>
      <w:snapToGrid w:val="0"/>
      <w:jc w:val="left"/>
    </w:pPr>
    <w:rPr>
      <w:rFonts w:eastAsia="仿宋_GB2312"/>
      <w:kern w:val="2"/>
      <w:sz w:val="18"/>
    </w:rPr>
  </w:style>
  <w:style w:type="paragraph" w:customStyle="1" w:styleId="66">
    <w:name w:val="页眉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67">
    <w:name w:val="页脚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8">
    <w:name w:val="页脚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69">
    <w:name w:val="页眉 New New New New"/>
    <w:basedOn w:val="1"/>
    <w:uiPriority w:val="0"/>
    <w:pPr>
      <w:pBdr>
        <w:bottom w:val="single" w:color="auto" w:sz="6" w:space="1"/>
      </w:pBdr>
      <w:tabs>
        <w:tab w:val="center" w:pos="4153"/>
        <w:tab w:val="right" w:pos="8306"/>
      </w:tabs>
      <w:snapToGrid w:val="0"/>
      <w:jc w:val="center"/>
    </w:pPr>
    <w:rPr>
      <w:sz w:val="18"/>
      <w:szCs w:val="18"/>
    </w:rPr>
  </w:style>
  <w:style w:type="paragraph" w:customStyle="1" w:styleId="70">
    <w:name w:val="页脚 New New"/>
    <w:basedOn w:val="1"/>
    <w:uiPriority w:val="0"/>
    <w:pPr>
      <w:tabs>
        <w:tab w:val="center" w:pos="4153"/>
        <w:tab w:val="right" w:pos="8306"/>
      </w:tabs>
      <w:snapToGrid w:val="0"/>
      <w:jc w:val="left"/>
    </w:pPr>
    <w:rPr>
      <w:rFonts w:eastAsia="仿宋_GB2312"/>
      <w:kern w:val="2"/>
      <w:sz w:val="18"/>
    </w:rPr>
  </w:style>
  <w:style w:type="paragraph" w:customStyle="1" w:styleId="71">
    <w:name w:val="页脚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2">
    <w:name w:val="页眉 New New New New New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3">
    <w:name w:val="页脚 New New New New New New New New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paragraph" w:customStyle="1" w:styleId="74">
    <w:name w:val="页眉 New New New New New New New New New New New New New New New New New New New"/>
    <w:basedOn w:val="1"/>
    <w:qFormat/>
    <w:uiPriority w:val="0"/>
    <w:pPr>
      <w:pBdr>
        <w:bottom w:val="single" w:color="auto" w:sz="6" w:space="1"/>
      </w:pBdr>
      <w:tabs>
        <w:tab w:val="center" w:pos="4153"/>
        <w:tab w:val="right" w:pos="8306"/>
      </w:tabs>
      <w:snapToGrid w:val="0"/>
      <w:jc w:val="center"/>
    </w:pPr>
    <w:rPr>
      <w:sz w:val="18"/>
      <w:szCs w:val="18"/>
    </w:rPr>
  </w:style>
  <w:style w:type="paragraph" w:customStyle="1" w:styleId="75">
    <w:name w:val="页脚 New New New New New New New New New New New New New New New New New New New New New"/>
    <w:basedOn w:val="1"/>
    <w:qFormat/>
    <w:uiPriority w:val="0"/>
    <w:pPr>
      <w:tabs>
        <w:tab w:val="center" w:pos="4153"/>
        <w:tab w:val="right" w:pos="8306"/>
      </w:tabs>
      <w:snapToGrid w:val="0"/>
      <w:jc w:val="left"/>
    </w:pPr>
    <w:rPr>
      <w:rFonts w:eastAsia="仿宋_GB2312"/>
      <w:kern w:val="2"/>
      <w:sz w:val="18"/>
    </w:rPr>
  </w:style>
  <w:style w:type="character" w:customStyle="1" w:styleId="76">
    <w:name w:val="批注框文本 字符"/>
    <w:link w:val="5"/>
    <w:qFormat/>
    <w:uiPriority w:val="0"/>
    <w:rPr>
      <w:rFonts w:eastAsia="仿宋_GB2312"/>
      <w:kern w:val="2"/>
      <w:sz w:val="18"/>
      <w:szCs w:val="18"/>
    </w:rPr>
  </w:style>
  <w:style w:type="character" w:customStyle="1" w:styleId="77">
    <w:name w:val="页脚 字符"/>
    <w:link w:val="6"/>
    <w:qFormat/>
    <w:uiPriority w:val="0"/>
    <w:rPr>
      <w:rFonts w:eastAsia="仿宋_GB2312"/>
      <w:kern w:val="2"/>
      <w:sz w:val="18"/>
    </w:rPr>
  </w:style>
  <w:style w:type="character" w:customStyle="1" w:styleId="78">
    <w:name w:val="font11"/>
    <w:qFormat/>
    <w:uiPriority w:val="0"/>
    <w:rPr>
      <w:rFonts w:hint="default" w:ascii="Arial" w:hAnsi="Arial" w:cs="Arial"/>
      <w:color w:val="000000"/>
      <w:sz w:val="24"/>
      <w:szCs w:val="24"/>
      <w:u w:val="none"/>
    </w:rPr>
  </w:style>
  <w:style w:type="character" w:customStyle="1" w:styleId="79">
    <w:name w:val="font61"/>
    <w:qFormat/>
    <w:uiPriority w:val="0"/>
    <w:rPr>
      <w:rFonts w:hint="eastAsia" w:ascii="宋体" w:hAnsi="宋体" w:eastAsia="宋体" w:cs="宋体"/>
      <w:color w:val="000000"/>
      <w:sz w:val="24"/>
      <w:szCs w:val="24"/>
      <w:u w:val="none"/>
    </w:rPr>
  </w:style>
  <w:style w:type="character" w:customStyle="1" w:styleId="80">
    <w:name w:val="font01"/>
    <w:qFormat/>
    <w:uiPriority w:val="0"/>
    <w:rPr>
      <w:rFonts w:hint="default" w:ascii="Times New Roman" w:hAnsi="Times New Roman" w:cs="Times New Roman"/>
      <w:color w:val="000000"/>
      <w:sz w:val="24"/>
      <w:szCs w:val="24"/>
      <w:u w:val="none"/>
    </w:rPr>
  </w:style>
  <w:style w:type="character" w:customStyle="1" w:styleId="81">
    <w:name w:val="font41"/>
    <w:qFormat/>
    <w:uiPriority w:val="0"/>
    <w:rPr>
      <w:rFonts w:hint="default" w:ascii="华文细黑" w:hAnsi="华文细黑" w:eastAsia="华文细黑" w:cs="华文细黑"/>
      <w:color w:val="000000"/>
      <w:sz w:val="20"/>
      <w:szCs w:val="20"/>
      <w:u w:val="none"/>
    </w:rPr>
  </w:style>
  <w:style w:type="character" w:customStyle="1" w:styleId="82">
    <w:name w:val="font21"/>
    <w:qFormat/>
    <w:uiPriority w:val="0"/>
    <w:rPr>
      <w:rFonts w:hint="default" w:ascii="Arial" w:hAnsi="Arial" w:cs="Arial"/>
      <w:color w:val="000000"/>
      <w:sz w:val="20"/>
      <w:szCs w:val="20"/>
      <w:u w:val="none"/>
    </w:rPr>
  </w:style>
  <w:style w:type="character" w:customStyle="1" w:styleId="83">
    <w:name w:val="font71"/>
    <w:basedOn w:val="9"/>
    <w:uiPriority w:val="0"/>
    <w:rPr>
      <w:rFonts w:hint="default" w:ascii="Times New Roman" w:hAnsi="Times New Roman" w:cs="Times New Roman"/>
      <w:color w:val="auto"/>
      <w:sz w:val="36"/>
      <w:szCs w:val="36"/>
      <w:u w:val="none"/>
    </w:rPr>
  </w:style>
  <w:style w:type="character" w:customStyle="1" w:styleId="84">
    <w:name w:val="font101"/>
    <w:basedOn w:val="9"/>
    <w:uiPriority w:val="0"/>
    <w:rPr>
      <w:rFonts w:hint="default" w:ascii="Times New Roman" w:hAnsi="Times New Roman" w:cs="Times New Roman"/>
      <w:color w:val="auto"/>
      <w:sz w:val="32"/>
      <w:szCs w:val="32"/>
      <w:u w:val="none"/>
    </w:rPr>
  </w:style>
  <w:style w:type="character" w:customStyle="1" w:styleId="85">
    <w:name w:val="font111"/>
    <w:basedOn w:val="9"/>
    <w:uiPriority w:val="0"/>
    <w:rPr>
      <w:rFonts w:hint="default" w:ascii="monospace" w:hAnsi="monospace" w:eastAsia="monospace" w:cs="monospace"/>
      <w:color w:val="auto"/>
      <w:sz w:val="32"/>
      <w:szCs w:val="32"/>
      <w:u w:val="none"/>
    </w:rPr>
  </w:style>
  <w:style w:type="character" w:customStyle="1" w:styleId="86">
    <w:name w:val="font81"/>
    <w:basedOn w:val="9"/>
    <w:uiPriority w:val="0"/>
    <w:rPr>
      <w:rFonts w:hint="eastAsia" w:ascii="黑体" w:eastAsia="黑体" w:cs="黑体"/>
      <w:color w:val="auto"/>
      <w:sz w:val="32"/>
      <w:szCs w:val="32"/>
      <w:u w:val="none"/>
    </w:rPr>
  </w:style>
  <w:style w:type="character" w:customStyle="1" w:styleId="87">
    <w:name w:val="font91"/>
    <w:basedOn w:val="9"/>
    <w:uiPriority w:val="0"/>
    <w:rPr>
      <w:rFonts w:hint="eastAsia" w:ascii="仿宋_GB2312" w:eastAsia="仿宋_GB2312" w:cs="仿宋_GB2312"/>
      <w:color w:val="auto"/>
      <w:sz w:val="32"/>
      <w:szCs w:val="32"/>
      <w:u w:val="none"/>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附件1 2020年部门预算信息公开模板.dot</Template>
  <Pages>29</Pages>
  <Words>6480</Words>
  <Characters>8147</Characters>
  <Lines>71</Lines>
  <Paragraphs>20</Paragraphs>
  <ScaleCrop>false</ScaleCrop>
  <LinksUpToDate>false</LinksUpToDate>
  <CharactersWithSpaces>0</CharactersWithSpaces>
  <Application>WPS Office_9.1.0.5041_{F1E327BC-269C-435d-A152-05C5408002CA}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2022-02-20T09:24:00Z</dcterms:created>
  <dc:creator>Administrator</dc:creator>
  <cp:lastModifiedBy>Administrator</cp:lastModifiedBy>
  <cp:lastPrinted>2022-02-21T08:08:00Z</cp:lastPrinted>
  <dcterms:modified xsi:type="dcterms:W3CDTF">2024-01-29T02:11:01Z</dcterms:modified>
  <dc:title>主  持  词</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2052-9.1.0.5041</vt:lpwstr>
  </property>
  <property fmtid="{D5CDD505-2E9C-101B-9397-08002B2CF9AE}" pid="3" name="commondata">
    <vt:lpwstr>eyJoZGlkIjoiZWM5MjE1YWFmYzZkMzU5ZGRkN2NlNjYxOGIzMjAyOWQifQ==</vt:lpwstr>
  </property>
  <property fmtid="{D5CDD505-2E9C-101B-9397-08002B2CF9AE}" pid="4" name="ICV">
    <vt:lpwstr>72263EDADD114BCEBB29167B72E4B8DF</vt:lpwstr>
  </property>
</Properties>
</file>