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通榆县教师进修学校</w:t>
      </w:r>
      <w:r>
        <w:rPr>
          <w:rFonts w:eastAsia="方正小标宋简体"/>
          <w:sz w:val="44"/>
          <w:szCs w:val="44"/>
          <w:u w:val="single"/>
        </w:rPr>
        <w:br/>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全心全意为基层服务，搞好中小学教研和中小学教师培训工作。中小学教师培训。中小学领导干部培训。中小学教学研究，电教信息资料管理。</w:t>
      </w: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通榆县教师进修学校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799.19</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799.19</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155.32</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155.32</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90.33</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90.33</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49.63</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49.63</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1094.48</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1094.48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1094.48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1094.48</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1094.48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1094.48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1094.48</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通榆县教师进修学校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1094.48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1094.48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1094.48</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1090.88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799.19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795.59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进修及培训</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799.19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795.59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教师进修</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799.19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795.59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120.44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120.44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90.33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90.33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90.33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90.33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90.33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90.33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2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47"/>
        <w:gridCol w:w="884"/>
        <w:gridCol w:w="964"/>
        <w:gridCol w:w="563"/>
        <w:gridCol w:w="1708"/>
        <w:gridCol w:w="883"/>
        <w:gridCol w:w="824"/>
        <w:gridCol w:w="562"/>
        <w:gridCol w:w="582"/>
        <w:gridCol w:w="5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8" w:hRule="atLeast"/>
        </w:trPr>
        <w:tc>
          <w:tcPr>
            <w:tcW w:w="920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6" w:hRule="atLeast"/>
        </w:trPr>
        <w:tc>
          <w:tcPr>
            <w:tcW w:w="920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99" w:hRule="atLeast"/>
        </w:trPr>
        <w:tc>
          <w:tcPr>
            <w:tcW w:w="4058"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142"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8" w:hRule="atLeast"/>
        </w:trPr>
        <w:tc>
          <w:tcPr>
            <w:tcW w:w="164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8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6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6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0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88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38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165"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1" w:hRule="atLeast"/>
        </w:trPr>
        <w:tc>
          <w:tcPr>
            <w:tcW w:w="164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6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6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8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799.19</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799.19</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155.32</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155.32</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49.63</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49.63</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90.33</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90.33</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4"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64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96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5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0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8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82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1094.48</w:t>
            </w:r>
          </w:p>
        </w:tc>
        <w:tc>
          <w:tcPr>
            <w:tcW w:w="56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p>
      <w:pPr>
        <w:rPr>
          <w:rFonts w:hAnsi="楷体" w:eastAsia="楷体"/>
          <w:sz w:val="24"/>
          <w:szCs w:val="24"/>
        </w:rPr>
      </w:pP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1094.48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1090.88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1090.88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799.19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795.59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795.59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进修及培训</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799.19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795.59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795.59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教师进修</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799.19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795.59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795.59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155.32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155.32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155.32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155.32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155.32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155.32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120.44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120.44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120.44</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29.61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29.61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29.61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5.27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49.63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48.13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48.13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48.13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90.33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90.33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90.33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90.33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90.33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90.33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90.33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90.33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90.33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44"/>
                <w:szCs w:val="44"/>
                <w:u w:val="none"/>
              </w:rPr>
            </w:pPr>
            <w:r>
              <w:rPr>
                <w:rFonts w:hint="eastAsia" w:ascii="仿宋_GB2312" w:hAnsi="Arial" w:eastAsia="仿宋_GB2312" w:cs="仿宋_GB2312"/>
                <w:i w:val="0"/>
                <w:color w:val="auto"/>
                <w:kern w:val="0"/>
                <w:sz w:val="44"/>
                <w:szCs w:val="44"/>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1090.88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1090.88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1057.15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1057.15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452.18</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452.18</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24.55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24.55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80.66</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80.66</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195.34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195.34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120.44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120.44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29.61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29.61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48.13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48.13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90.33</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90.33</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9.14</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9.14</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二、对个人及家庭的补助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33.72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33.72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33.21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33.21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0.51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0.51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135</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67</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68</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bookmarkStart w:id="0" w:name="_GoBack"/>
      <w:bookmarkEnd w:id="0"/>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教育系统2024年驻村工作队生活补贴资金</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通榆县教师进修学校2024年驻村工作队生活补贴资金</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通榆县教师进修学校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p>
      <w:pPr>
        <w:spacing w:line="700" w:lineRule="exact"/>
        <w:jc w:val="both"/>
        <w:rPr>
          <w:rFonts w:hint="eastAsia" w:ascii="黑体" w:hAnsi="黑体" w:eastAsia="黑体" w:cs="黑体"/>
          <w:b/>
          <w:bCs/>
          <w:kern w:val="0"/>
          <w:sz w:val="36"/>
          <w:szCs w:val="36"/>
        </w:rPr>
      </w:pPr>
    </w:p>
    <w:tbl>
      <w:tblPr>
        <w:tblStyle w:val="11"/>
        <w:tblW w:w="95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16"/>
        <w:gridCol w:w="1916"/>
        <w:gridCol w:w="1916"/>
        <w:gridCol w:w="1916"/>
        <w:gridCol w:w="19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99" w:hRule="atLeast"/>
        </w:trPr>
        <w:tc>
          <w:tcPr>
            <w:tcW w:w="958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29" w:hRule="atLeast"/>
        </w:trPr>
        <w:tc>
          <w:tcPr>
            <w:tcW w:w="574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通榆县教师进修学校2024年驻村工作队生活补贴资金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5" w:hRule="atLeast"/>
        </w:trPr>
        <w:tc>
          <w:tcPr>
            <w:tcW w:w="5748"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5" w:hRule="atLeast"/>
        </w:trPr>
        <w:tc>
          <w:tcPr>
            <w:tcW w:w="191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5" w:hRule="atLeast"/>
        </w:trPr>
        <w:tc>
          <w:tcPr>
            <w:tcW w:w="191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5" w:hRule="atLeast"/>
        </w:trPr>
        <w:tc>
          <w:tcPr>
            <w:tcW w:w="191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5" w:hRule="atLeast"/>
        </w:trPr>
        <w:tc>
          <w:tcPr>
            <w:tcW w:w="191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64"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申请并发放2024年驻村工作队生活补贴资金36000元。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5" w:hRule="atLeast"/>
        </w:trPr>
        <w:tc>
          <w:tcPr>
            <w:tcW w:w="191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64"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5" w:hRule="atLeast"/>
        </w:trPr>
        <w:tc>
          <w:tcPr>
            <w:tcW w:w="191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5" w:hRule="atLeast"/>
        </w:trPr>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驻村天数</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360天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29" w:hRule="atLeast"/>
        </w:trPr>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补助对象资格符合率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5" w:hRule="atLeast"/>
        </w:trPr>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驻村补助发放标准</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100元/天/人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5" w:hRule="atLeast"/>
        </w:trPr>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补助发放及时率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5" w:hRule="atLeast"/>
        </w:trPr>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5" w:hRule="atLeast"/>
        </w:trPr>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5" w:hRule="atLeast"/>
        </w:trPr>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5" w:hRule="atLeast"/>
        </w:trPr>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1" w:hRule="atLeast"/>
        </w:trPr>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驻村干部满意度</w:t>
            </w:r>
          </w:p>
        </w:tc>
        <w:tc>
          <w:tcPr>
            <w:tcW w:w="1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1094.48万元，其中：当年预算1094.48万元；上年结转0.00万元。2024年当年预算比2023年预算增加（减少）-218.48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1094.48万元，其中：本年收入1094.48万元，占100%；上年结转0万元，占0%。本年收入中，一般公共预算拨款收入1094.48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2024年支出预算1094.48万元，其中：基本支出1090.88万元，占100%；项目支出3.6万元，占0%；事业单位经营支出0万元，占0%；上缴上级支出0万元，占0%；对附属单位补助支出0万元，占0%。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1094.48万元，其中：本年收入1094.48万元，上年结转0万元。支出包括：一般公共服务支出0万元，国防支出0万元，公共安全支出0万元，教育支出799.19万元，科学技术支出0万元，文化旅游体育与传媒支出0万元，社会保障和就业支出155.32万元，社会保险基金支出0万元，卫生健康支出49.63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2024年一般公共预算拨款1094.48万元，其中：基本支出1090.88万元，占100%；项目支出3.6万元，占0%。基本支出中，人员经费1090.88万元，占100%；公用经费0万元，占0%。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教育（类）支出799.19万元，占73%，主要用于发展教育事业支出。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社会保障和就业（类）支出155.32万元，占14%，主要用于教职工社会保障支出。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2024年一般公共预算基本支出1090.88万元，其中：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人员经费1090.88万元，主要包括：基本工资、津贴补贴、奖金、社会保障缴费、其他工资福利支出、离休费、退休费、抚恤金、生活补助、助学金、住房公积金、采暖补贴、其他对个人和家庭的补助支出。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2024年部门项目支出3.6万元，其中：一级项目1个，二级项目1个；使用本年拨款3.6万元，财政拨款结转0万元。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3D5E0E"/>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8D746D"/>
    <w:rsid w:val="1BEC3B34"/>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2C7394"/>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2C376D4"/>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2024-01-29T02:28:58Z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