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通榆县第一小学校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实施小学义务教育，促进基础教育发展。小学学历教育相关社会服务。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通榆县第一小学校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1138.55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1138.55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220.29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220.29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127.97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71.05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通榆县第一小学校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1557.87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1549.01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1138.55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1138.55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1138.55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69"/>
        <w:gridCol w:w="896"/>
        <w:gridCol w:w="976"/>
        <w:gridCol w:w="569"/>
        <w:gridCol w:w="1730"/>
        <w:gridCol w:w="895"/>
        <w:gridCol w:w="834"/>
        <w:gridCol w:w="570"/>
        <w:gridCol w:w="590"/>
        <w:gridCol w:w="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trPr>
        <w:tc>
          <w:tcPr>
            <w:tcW w:w="932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932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2" w:hRule="atLeast"/>
        </w:trPr>
        <w:tc>
          <w:tcPr>
            <w:tcW w:w="4110"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10"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6" w:hRule="atLeast"/>
        </w:trPr>
        <w:tc>
          <w:tcPr>
            <w:tcW w:w="166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0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8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6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1138.55</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1138.55</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220.29</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220.29</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71.05</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71.05</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127.97</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8" w:hRule="atLeast"/>
        </w:trPr>
        <w:tc>
          <w:tcPr>
            <w:tcW w:w="166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9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9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1557.87</w:t>
            </w:r>
          </w:p>
        </w:tc>
        <w:tc>
          <w:tcPr>
            <w:tcW w:w="57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1557.87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1549.01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1549.01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1138.55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1138.55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1138.55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1129.7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220.29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41.94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68.92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127.97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1549.01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1549.01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1511.72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1511.72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634.32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634.32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48.43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48.43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114.23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114.23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282.52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282.52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170.8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170.8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41.94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41.94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68.92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68.92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9.68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9.68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127.97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17.97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12.91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12.91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37.29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37.29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36.95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36.95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0.34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0.34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193</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102</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bookmarkStart w:id="0" w:name="_GoBack"/>
      <w:bookmarkEnd w:id="0"/>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通榆县第一小学校2024年校园安保人员工资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234" w:tblpY="214"/>
        <w:tblOverlap w:val="never"/>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2"/>
        <w:gridCol w:w="1872"/>
        <w:gridCol w:w="1872"/>
        <w:gridCol w:w="1872"/>
        <w:gridCol w:w="1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4" w:hRule="atLeast"/>
        </w:trPr>
        <w:tc>
          <w:tcPr>
            <w:tcW w:w="93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16"/>
                <w:szCs w:val="16"/>
                <w:u w:val="none"/>
              </w:rPr>
            </w:pPr>
            <w:r>
              <w:rPr>
                <w:rFonts w:hint="eastAsia" w:ascii="仿宋_GB2312" w:hAnsi="宋体" w:eastAsia="仿宋_GB2312" w:cs="仿宋_GB2312"/>
                <w:i w:val="0"/>
                <w:color w:val="000000"/>
                <w:kern w:val="0"/>
                <w:sz w:val="16"/>
                <w:szCs w:val="16"/>
                <w:u w:val="none"/>
                <w:lang w:val="en-US" w:eastAsia="zh-CN" w:bidi="ar-SA"/>
              </w:rPr>
              <w:t>通榆县第一小学校2024年校园安保人员工资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8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资金申请成功以后，按月发放到安保人员手中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8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反映校园安保工资发放月数级人数</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反映保障标准符合率情况</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反映校园安保工资标准</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反映工资发放及时率情况</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政策知晓率情况</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2"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57"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校园安保人员满意度</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1557.87万元，其中：当年预算1557.87万元；上年结转0.00万元。2024年当年预算比2023年预算增加（减少）-243.68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1557.87万元，其中：本年收入1557.87万元，占100%；上年结转0万元，占0%。本年收入中，一般公共预算拨款收入1557.87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2024年支出预算1557.87万元，其中：基本支出1549.01万元，占99%；项目支出8.86万元，占1%；事业单位经营支出0万元，占0%；上缴上级支出0万元，占0%；对附属单位补助支出0万元，占0%。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1557.87万元，其中：本年收入1557.87万元，上年结转0万元。支出包括：一般公共服务支出0万元，国防支出0万元，公共安全支出0万元，教育支出1138.55万元，科学技术支出0万元，文化旅游体育与传媒支出0万元，社会保障和就业支出220.29万元，社会保险基金支出0万元，卫生健康支出71.05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2024年一般公共预算拨款1557.87万元，其中：基本支出1549.01万元，占99%；项目支出8.86万元，占1%。基本支出中，人员经费1549.01万元，占100%；公用经费0万元，占0%。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教育（类）支出1138.55万元，占73%，主要用于发展教育事业支出。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社会保障和就业（类）支出220.29万元，占14%，主要用于教职工社会保障支出。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2024年一般公共预算基本支出1549.01万元，其中：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人员经费1549.01万元，主要包括：基本工资、津贴补贴、奖金、社会保障缴费、其他工资福利支出、离休费、退休费、抚恤金、生活补助、助学金、住房公积金、采暖补贴、其他对个人和家庭的补助支出。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2024年部门项目支出8.86万元，其中：一级项目1个，二级项目1个；使用本年拨款8.86万元，财政拨款结转0万元。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8E0C0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2C6324"/>
    <w:rsid w:val="244C543C"/>
    <w:rsid w:val="24624768"/>
    <w:rsid w:val="2539376C"/>
    <w:rsid w:val="254C6FAD"/>
    <w:rsid w:val="259B5BC5"/>
    <w:rsid w:val="25C7462E"/>
    <w:rsid w:val="25F62C4E"/>
    <w:rsid w:val="26643D6C"/>
    <w:rsid w:val="26FE109D"/>
    <w:rsid w:val="27073E1E"/>
    <w:rsid w:val="27B04AB3"/>
    <w:rsid w:val="28A63332"/>
    <w:rsid w:val="29C45F24"/>
    <w:rsid w:val="2A8B0C9D"/>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2024-01-29T02:07:06Z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