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bookmarkStart w:id="0" w:name="_GoBack"/>
      <w:bookmarkEnd w:id="0"/>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rPr>
        <w:t>通榆县第二实验小学校</w:t>
      </w:r>
      <w:r>
        <w:rPr>
          <w:rFonts w:hint="eastAsia" w:eastAsia="方正小标宋简体"/>
          <w:sz w:val="44"/>
          <w:szCs w:val="44"/>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pPr>
      <w:r>
        <w:t>五、</w:t>
      </w:r>
      <w:r>
        <w:rPr>
          <w:rFonts w:hint="eastAsia"/>
        </w:rPr>
        <w:t>一般公共预算支出表</w:t>
      </w:r>
    </w:p>
    <w:p>
      <w:pPr>
        <w:ind w:left="320" w:leftChars="100" w:firstLine="320" w:firstLineChars="100"/>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pPr>
      <w:r>
        <w:rPr>
          <w:rFonts w:hint="eastAsia"/>
        </w:rPr>
        <w:t>九、国有资本经营</w:t>
      </w:r>
      <w:r>
        <w:t>预算支出表</w:t>
      </w:r>
    </w:p>
    <w:p>
      <w:pPr>
        <w:ind w:left="320" w:leftChars="100" w:firstLine="320" w:firstLineChars="100"/>
      </w:pPr>
      <w:r>
        <w:rPr>
          <w:rFonts w:hint="eastAsia"/>
        </w:rPr>
        <w:t>十、项目支出表</w:t>
      </w:r>
    </w:p>
    <w:p>
      <w:pPr>
        <w:ind w:left="320" w:leftChars="100" w:firstLine="320" w:firstLineChars="100"/>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color w:val="000000"/>
          <w:szCs w:val="32"/>
        </w:rPr>
      </w:pPr>
      <w:r>
        <w:rPr>
          <w:rFonts w:hint="eastAsia"/>
          <w:color w:val="000000"/>
          <w:szCs w:val="32"/>
        </w:rPr>
        <w:t>（一）贯彻国家的教育方针，遵守规章制度，执行教学计划。</w:t>
      </w:r>
    </w:p>
    <w:p>
      <w:pPr>
        <w:ind w:firstLine="640" w:firstLineChars="200"/>
        <w:rPr>
          <w:color w:val="000000"/>
          <w:szCs w:val="32"/>
        </w:rPr>
      </w:pPr>
      <w:r>
        <w:rPr>
          <w:rFonts w:hint="eastAsia"/>
          <w:color w:val="000000"/>
          <w:szCs w:val="32"/>
        </w:rPr>
        <w:t>（二）抓好教师队伍建设。</w:t>
      </w:r>
    </w:p>
    <w:p>
      <w:pPr>
        <w:ind w:firstLine="640" w:firstLineChars="200"/>
        <w:rPr>
          <w:color w:val="000000"/>
          <w:szCs w:val="32"/>
        </w:rPr>
      </w:pPr>
      <w:r>
        <w:rPr>
          <w:rFonts w:hint="eastAsia"/>
          <w:color w:val="000000"/>
          <w:szCs w:val="32"/>
        </w:rPr>
        <w:t>（三）坚持教书育人、服务育人、环境育人。</w:t>
      </w:r>
    </w:p>
    <w:p>
      <w:pPr>
        <w:ind w:firstLine="640" w:firstLineChars="200"/>
        <w:rPr>
          <w:color w:val="000000"/>
          <w:szCs w:val="32"/>
        </w:rPr>
      </w:pPr>
      <w:r>
        <w:rPr>
          <w:rFonts w:hint="eastAsia"/>
          <w:color w:val="000000"/>
          <w:szCs w:val="32"/>
        </w:rPr>
        <w:t>（四）加强安全保卫防范措施。</w:t>
      </w:r>
    </w:p>
    <w:p>
      <w:pPr>
        <w:ind w:firstLine="640" w:firstLineChars="200"/>
      </w:pPr>
      <w:r>
        <w:rPr>
          <w:rFonts w:eastAsia="楷体_GB2312"/>
        </w:rPr>
        <w:t>二、机构设置</w:t>
      </w:r>
    </w:p>
    <w:p>
      <w:pPr>
        <w:pStyle w:val="44"/>
        <w:ind w:firstLine="640" w:firstLineChars="200"/>
        <w:rPr>
          <w:rFonts w:eastAsia="仿宋_GB2312"/>
        </w:rPr>
      </w:pPr>
      <w:r>
        <w:rPr>
          <w:rFonts w:eastAsia="仿宋_GB2312"/>
        </w:rPr>
        <w:t>根据上述职责，</w:t>
      </w:r>
      <w:r>
        <w:rPr>
          <w:rFonts w:hint="eastAsia" w:eastAsia="仿宋_GB2312"/>
        </w:rPr>
        <w:t>通榆县第二实验小学校</w:t>
      </w:r>
      <w:r>
        <w:rPr>
          <w:rFonts w:eastAsia="仿宋_GB2312"/>
        </w:rPr>
        <w:t>内设 2 个机构，分别为</w:t>
      </w:r>
      <w:r>
        <w:rPr>
          <w:rFonts w:hint="eastAsia" w:eastAsia="仿宋_GB2312"/>
        </w:rPr>
        <w:t>教导处和总务处</w:t>
      </w:r>
      <w:r>
        <w:rPr>
          <w:rFonts w:eastAsia="仿宋_GB2312"/>
        </w:rPr>
        <w:t>。</w:t>
      </w:r>
    </w:p>
    <w:p>
      <w:pPr>
        <w:pStyle w:val="44"/>
        <w:ind w:firstLine="640" w:firstLineChars="200"/>
        <w:rPr>
          <w:rFonts w:eastAsia="仿宋_GB2312"/>
        </w:rPr>
      </w:pPr>
      <w:r>
        <w:rPr>
          <w:rFonts w:hint="eastAsia" w:eastAsia="仿宋_GB2312"/>
        </w:rPr>
        <w:t>无</w:t>
      </w:r>
      <w:r>
        <w:rPr>
          <w:rFonts w:eastAsia="仿宋_GB2312"/>
        </w:rPr>
        <w:t>下设预算单位。</w:t>
      </w: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pPr w:leftFromText="180" w:rightFromText="180" w:vertAnchor="text" w:horzAnchor="page" w:tblpX="1126" w:tblpY="698"/>
        <w:tblOverlap w:val="never"/>
        <w:tblW w:w="99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753"/>
        <w:gridCol w:w="1044"/>
        <w:gridCol w:w="1073"/>
        <w:gridCol w:w="1200"/>
        <w:gridCol w:w="1342"/>
        <w:gridCol w:w="1156"/>
        <w:gridCol w:w="9"/>
        <w:gridCol w:w="1173"/>
        <w:gridCol w:w="11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2024年预算数</w:t>
            </w:r>
          </w:p>
        </w:tc>
        <w:tc>
          <w:tcPr>
            <w:tcW w:w="11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073" w:type="dxa"/>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200" w:type="dxa"/>
            <w:tcBorders>
              <w:top w:val="nil"/>
              <w:left w:val="single" w:color="auto" w:sz="4" w:space="0"/>
              <w:bottom w:val="single" w:color="auto" w:sz="4" w:space="0"/>
              <w:right w:val="nil"/>
            </w:tcBorders>
            <w:vAlign w:val="center"/>
          </w:tcPr>
          <w:p>
            <w:pPr>
              <w:widowControl/>
              <w:jc w:val="center"/>
              <w:textAlignment w:val="bottom"/>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073" w:type="dxa"/>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200" w:type="dxa"/>
            <w:tcBorders>
              <w:top w:val="nil"/>
              <w:left w:val="single" w:color="auto" w:sz="4" w:space="0"/>
              <w:bottom w:val="single" w:color="auto" w:sz="4" w:space="0"/>
              <w:right w:val="nil"/>
            </w:tcBorders>
            <w:vAlign w:val="center"/>
          </w:tcPr>
          <w:p>
            <w:pPr>
              <w:widowControl/>
              <w:textAlignment w:val="bottom"/>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1045.59</w:t>
            </w:r>
          </w:p>
        </w:tc>
        <w:tc>
          <w:tcPr>
            <w:tcW w:w="1182" w:type="dxa"/>
            <w:gridSpan w:val="2"/>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1045.59</w:t>
            </w:r>
          </w:p>
        </w:tc>
        <w:tc>
          <w:tcPr>
            <w:tcW w:w="1158" w:type="dxa"/>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07.02</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w:t>
            </w:r>
            <w:r>
              <w:rPr>
                <w:rFonts w:eastAsia="宋体"/>
                <w:kern w:val="0"/>
                <w:sz w:val="20"/>
              </w:rPr>
              <w:t>07.02</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textAlignment w:val="bottom"/>
              <w:rPr>
                <w:rFonts w:eastAsia="宋体"/>
                <w:color w:val="000000"/>
                <w:kern w:val="0"/>
                <w:sz w:val="20"/>
              </w:rPr>
            </w:pPr>
            <w:r>
              <w:rPr>
                <w:rFonts w:hint="eastAsia" w:eastAsia="宋体"/>
                <w:color w:val="000000"/>
                <w:kern w:val="0"/>
                <w:sz w:val="20"/>
              </w:rPr>
              <w:t>1</w:t>
            </w:r>
            <w:r>
              <w:rPr>
                <w:rFonts w:eastAsia="宋体"/>
                <w:color w:val="000000"/>
                <w:kern w:val="0"/>
                <w:sz w:val="20"/>
              </w:rPr>
              <w:t>20.26</w:t>
            </w:r>
          </w:p>
        </w:tc>
        <w:tc>
          <w:tcPr>
            <w:tcW w:w="1182" w:type="dxa"/>
            <w:gridSpan w:val="2"/>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hint="eastAsia" w:eastAsia="宋体"/>
                <w:color w:val="000000"/>
                <w:kern w:val="0"/>
                <w:sz w:val="20"/>
              </w:rPr>
              <w:t>1</w:t>
            </w:r>
            <w:r>
              <w:rPr>
                <w:rFonts w:eastAsia="宋体"/>
                <w:color w:val="000000"/>
                <w:kern w:val="0"/>
                <w:sz w:val="20"/>
              </w:rPr>
              <w:t>20.26</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6</w:t>
            </w:r>
            <w:r>
              <w:rPr>
                <w:rFonts w:eastAsia="宋体"/>
                <w:color w:val="000000"/>
                <w:kern w:val="0"/>
                <w:sz w:val="20"/>
              </w:rPr>
              <w:t>6.94</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6</w:t>
            </w:r>
            <w:r>
              <w:rPr>
                <w:rFonts w:eastAsia="宋体"/>
                <w:kern w:val="0"/>
                <w:sz w:val="20"/>
              </w:rPr>
              <w:t>6.94</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eastAsia="宋体"/>
                <w:sz w:val="20"/>
              </w:rPr>
            </w:pPr>
          </w:p>
        </w:tc>
        <w:tc>
          <w:tcPr>
            <w:tcW w:w="1073" w:type="dxa"/>
            <w:tcBorders>
              <w:top w:val="nil"/>
              <w:left w:val="nil"/>
              <w:bottom w:val="single" w:color="auto" w:sz="4" w:space="0"/>
              <w:right w:val="single" w:color="auto" w:sz="4" w:space="0"/>
            </w:tcBorders>
            <w:vAlign w:val="center"/>
          </w:tcPr>
          <w:p>
            <w:pPr>
              <w:jc w:val="center"/>
              <w:rPr>
                <w:rFonts w:eastAsia="宋体"/>
                <w:sz w:val="20"/>
              </w:rPr>
            </w:pPr>
          </w:p>
        </w:tc>
        <w:tc>
          <w:tcPr>
            <w:tcW w:w="1200" w:type="dxa"/>
            <w:tcBorders>
              <w:top w:val="nil"/>
              <w:left w:val="single" w:color="auto" w:sz="4" w:space="0"/>
              <w:bottom w:val="single" w:color="auto" w:sz="4" w:space="0"/>
              <w:right w:val="nil"/>
            </w:tcBorders>
            <w:vAlign w:val="center"/>
          </w:tcPr>
          <w:p>
            <w:pPr>
              <w:jc w:val="center"/>
              <w:rPr>
                <w:rFonts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eastAsia="宋体"/>
                <w:bCs/>
                <w:sz w:val="20"/>
              </w:rPr>
            </w:pPr>
            <w:r>
              <w:rPr>
                <w:rFonts w:hint="eastAsia" w:ascii="仿宋_GB2312"/>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sz w:val="20"/>
              </w:rPr>
            </w:pPr>
          </w:p>
        </w:tc>
        <w:tc>
          <w:tcPr>
            <w:tcW w:w="1158" w:type="dxa"/>
            <w:tcBorders>
              <w:top w:val="nil"/>
              <w:left w:val="nil"/>
              <w:bottom w:val="single" w:color="auto" w:sz="4" w:space="0"/>
              <w:right w:val="single" w:color="auto" w:sz="4" w:space="0"/>
            </w:tcBorders>
            <w:vAlign w:val="center"/>
          </w:tcPr>
          <w:p>
            <w:pPr>
              <w:jc w:val="center"/>
              <w:rPr>
                <w:rFonts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073" w:type="dxa"/>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200" w:type="dxa"/>
            <w:tcBorders>
              <w:top w:val="nil"/>
              <w:left w:val="single" w:color="auto" w:sz="4" w:space="0"/>
              <w:bottom w:val="single" w:color="auto" w:sz="4" w:space="0"/>
              <w:right w:val="nil"/>
            </w:tcBorders>
            <w:vAlign w:val="center"/>
          </w:tcPr>
          <w:p>
            <w:pPr>
              <w:widowControl/>
              <w:jc w:val="center"/>
              <w:textAlignment w:val="bottom"/>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182" w:type="dxa"/>
            <w:gridSpan w:val="2"/>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158" w:type="dxa"/>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rPr>
              <w:t xml:space="preserve">  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073" w:type="dxa"/>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200" w:type="dxa"/>
            <w:tcBorders>
              <w:top w:val="nil"/>
              <w:left w:val="single" w:color="auto" w:sz="4" w:space="0"/>
              <w:bottom w:val="single" w:color="auto" w:sz="4" w:space="0"/>
              <w:right w:val="nil"/>
            </w:tcBorders>
            <w:vAlign w:val="center"/>
          </w:tcPr>
          <w:p>
            <w:pPr>
              <w:widowControl/>
              <w:jc w:val="center"/>
              <w:textAlignment w:val="bottom"/>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182" w:type="dxa"/>
            <w:gridSpan w:val="2"/>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1158" w:type="dxa"/>
            <w:tcBorders>
              <w:top w:val="nil"/>
              <w:left w:val="nil"/>
              <w:bottom w:val="single" w:color="auto" w:sz="4" w:space="0"/>
              <w:right w:val="single" w:color="auto" w:sz="4" w:space="0"/>
            </w:tcBorders>
            <w:vAlign w:val="center"/>
          </w:tcPr>
          <w:p>
            <w:pPr>
              <w:widowControl/>
              <w:jc w:val="center"/>
              <w:textAlignment w:val="bottom"/>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1"/>
        <w:tblW w:w="89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41" w:hRule="atLeast"/>
          <w:jc w:val="center"/>
        </w:trPr>
        <w:tc>
          <w:tcPr>
            <w:tcW w:w="428" w:type="dxa"/>
            <w:tcBorders>
              <w:bottom w:val="single" w:color="000000" w:sz="4" w:space="0"/>
            </w:tcBorders>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4"/>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当年预算</w:t>
            </w:r>
          </w:p>
        </w:tc>
        <w:tc>
          <w:tcPr>
            <w:tcW w:w="2924"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一般公</w:t>
            </w:r>
          </w:p>
          <w:p>
            <w:pPr>
              <w:autoSpaceDN w:val="0"/>
              <w:jc w:val="center"/>
              <w:rPr>
                <w:rFonts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政府性基</w:t>
            </w:r>
          </w:p>
          <w:p>
            <w:pPr>
              <w:autoSpaceDN w:val="0"/>
              <w:jc w:val="center"/>
              <w:rPr>
                <w:rFonts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国有资本</w:t>
            </w:r>
          </w:p>
          <w:p>
            <w:pPr>
              <w:autoSpaceDN w:val="0"/>
              <w:jc w:val="center"/>
              <w:rPr>
                <w:rFonts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财政专户</w:t>
            </w:r>
          </w:p>
          <w:p>
            <w:pPr>
              <w:autoSpaceDN w:val="0"/>
              <w:jc w:val="center"/>
              <w:rPr>
                <w:rFonts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事业单位</w:t>
            </w:r>
          </w:p>
          <w:p>
            <w:pPr>
              <w:autoSpaceDN w:val="0"/>
              <w:jc w:val="center"/>
              <w:rPr>
                <w:rFonts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上级</w:t>
            </w:r>
          </w:p>
          <w:p>
            <w:pPr>
              <w:autoSpaceDN w:val="0"/>
              <w:jc w:val="center"/>
              <w:rPr>
                <w:rFonts w:eastAsia="宋体"/>
                <w:sz w:val="20"/>
              </w:rPr>
            </w:pPr>
            <w:r>
              <w:rPr>
                <w:rFonts w:hint="eastAsia" w:eastAsia="宋体"/>
                <w:sz w:val="20"/>
              </w:rPr>
              <w:t>补助</w:t>
            </w:r>
          </w:p>
          <w:p>
            <w:pPr>
              <w:autoSpaceDN w:val="0"/>
              <w:jc w:val="center"/>
              <w:rPr>
                <w:rFonts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附属单位</w:t>
            </w:r>
          </w:p>
          <w:p>
            <w:pPr>
              <w:autoSpaceDN w:val="0"/>
              <w:jc w:val="center"/>
              <w:rPr>
                <w:rFonts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其他</w:t>
            </w:r>
          </w:p>
          <w:p>
            <w:pPr>
              <w:autoSpaceDN w:val="0"/>
              <w:jc w:val="center"/>
              <w:rPr>
                <w:rFonts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eastAsia="宋体"/>
                <w:sz w:val="20"/>
              </w:rPr>
            </w:pPr>
            <w:r>
              <w:rPr>
                <w:rFonts w:hint="eastAsia" w:eastAsia="宋体"/>
                <w:sz w:val="20"/>
              </w:rPr>
              <w:t>用事业基</w:t>
            </w:r>
          </w:p>
          <w:p>
            <w:pPr>
              <w:autoSpaceDN w:val="0"/>
              <w:jc w:val="center"/>
              <w:rPr>
                <w:rFonts w:eastAsia="宋体"/>
                <w:sz w:val="20"/>
              </w:rPr>
            </w:pPr>
            <w:r>
              <w:rPr>
                <w:rFonts w:hint="eastAsia" w:eastAsia="宋体"/>
                <w:sz w:val="20"/>
              </w:rPr>
              <w:t>金弥补收</w:t>
            </w:r>
          </w:p>
          <w:p>
            <w:pPr>
              <w:autoSpaceDN w:val="0"/>
              <w:jc w:val="center"/>
              <w:rPr>
                <w:rFonts w:eastAsia="宋体"/>
                <w:sz w:val="20"/>
              </w:rPr>
            </w:pPr>
            <w:r>
              <w:rPr>
                <w:rFonts w:hint="eastAsia" w:eastAsia="宋体"/>
                <w:sz w:val="20"/>
              </w:rPr>
              <w:t>支差额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3" w:hRule="atLeast"/>
          <w:jc w:val="center"/>
        </w:trPr>
        <w:tc>
          <w:tcPr>
            <w:tcW w:w="1428" w:type="dxa"/>
            <w:gridSpan w:val="2"/>
            <w:tcBorders>
              <w:left w:val="single" w:color="000000" w:sz="4" w:space="0"/>
              <w:right w:val="single" w:color="000000" w:sz="4" w:space="0"/>
            </w:tcBorders>
            <w:vAlign w:val="center"/>
          </w:tcPr>
          <w:p>
            <w:pPr>
              <w:widowControl/>
              <w:jc w:val="left"/>
              <w:rPr>
                <w:rFonts w:eastAsia="宋体"/>
                <w:color w:val="000000"/>
                <w:sz w:val="20"/>
              </w:rPr>
            </w:pPr>
            <w:r>
              <w:rPr>
                <w:rFonts w:hint="eastAsia" w:eastAsia="宋体"/>
                <w:color w:val="000000"/>
                <w:sz w:val="20"/>
              </w:rPr>
              <w:t>通榆县第二实验小学校</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kern w:val="0"/>
                <w:sz w:val="20"/>
              </w:rPr>
              <w:t>1439.82</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kern w:val="0"/>
                <w:sz w:val="20"/>
              </w:rPr>
              <w:t>1439.82</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kern w:val="0"/>
                <w:sz w:val="20"/>
              </w:rPr>
              <w:t>1439.82</w:t>
            </w:r>
          </w:p>
        </w:tc>
        <w:tc>
          <w:tcPr>
            <w:tcW w:w="416"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eastAsia="宋体"/>
                <w:color w:val="000000"/>
                <w:sz w:val="20"/>
              </w:rPr>
            </w:pPr>
            <w:r>
              <w:rPr>
                <w:rFonts w:eastAsia="宋体"/>
                <w:kern w:val="0"/>
                <w:sz w:val="20"/>
              </w:rPr>
              <w:t>1439.82</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eastAsia="宋体"/>
                <w:color w:val="000000"/>
                <w:sz w:val="20"/>
              </w:rPr>
            </w:pPr>
            <w:r>
              <w:rPr>
                <w:rFonts w:eastAsia="宋体"/>
                <w:kern w:val="0"/>
                <w:sz w:val="20"/>
              </w:rPr>
              <w:t>1439.82</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eastAsia="宋体"/>
                <w:color w:val="000000"/>
                <w:sz w:val="20"/>
              </w:rPr>
            </w:pPr>
            <w:r>
              <w:rPr>
                <w:rFonts w:eastAsia="宋体"/>
                <w:kern w:val="0"/>
                <w:sz w:val="20"/>
              </w:rPr>
              <w:t>1439.82</w:t>
            </w: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eastAsia="宋体"/>
                <w:color w:val="000000"/>
                <w:sz w:val="20"/>
              </w:rPr>
            </w:pPr>
          </w:p>
        </w:tc>
        <w:tc>
          <w:tcPr>
            <w:tcW w:w="416" w:type="dxa"/>
            <w:tcBorders>
              <w:top w:val="single" w:color="000000" w:sz="4" w:space="0"/>
              <w:bottom w:val="single" w:color="000000" w:sz="4" w:space="0"/>
              <w:right w:val="single" w:color="000000" w:sz="4" w:space="0"/>
            </w:tcBorders>
            <w:shd w:val="solid" w:color="FFFFFF" w:fill="auto"/>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1"/>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1"/>
              <w:tblW w:w="9843" w:type="dxa"/>
              <w:tblInd w:w="49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p>
                <w:p>
                  <w:pPr>
                    <w:widowControl/>
                    <w:jc w:val="center"/>
                    <w:rPr>
                      <w:rFonts w:eastAsia="宋体"/>
                      <w:color w:val="000000"/>
                      <w:sz w:val="20"/>
                    </w:rPr>
                  </w:pPr>
                  <w:r>
                    <w:rPr>
                      <w:rFonts w:eastAsia="宋体"/>
                      <w:color w:val="000000"/>
                      <w:sz w:val="20"/>
                    </w:rPr>
                    <w:t>基本</w:t>
                  </w:r>
                </w:p>
                <w:p>
                  <w:pPr>
                    <w:widowControl/>
                    <w:jc w:val="center"/>
                    <w:rPr>
                      <w:rFonts w:eastAsia="宋体"/>
                      <w:color w:val="000000"/>
                      <w:sz w:val="20"/>
                    </w:rPr>
                  </w:pPr>
                  <w:r>
                    <w:rPr>
                      <w:rFonts w:eastAsia="宋体"/>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r>
                    <w:rPr>
                      <w:rFonts w:hint="eastAsia" w:eastAsia="宋体"/>
                      <w:color w:val="000000"/>
                      <w:sz w:val="20"/>
                    </w:rPr>
                    <w:t>事业单位</w:t>
                  </w:r>
                </w:p>
                <w:p>
                  <w:pPr>
                    <w:widowControl/>
                    <w:jc w:val="center"/>
                    <w:rPr>
                      <w:rFonts w:eastAsia="华文细黑"/>
                      <w:color w:val="000000"/>
                      <w:kern w:val="0"/>
                      <w:sz w:val="20"/>
                    </w:rPr>
                  </w:pPr>
                  <w:r>
                    <w:rPr>
                      <w:rFonts w:hint="eastAsia" w:eastAsia="宋体"/>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1439.82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1427.36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12.46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lang/>
                    </w:rPr>
                    <w:t>教育支出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1045.59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1033.14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12.46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普通教育</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1045.59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1033.14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12.46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小学教育</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1045.59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1033.14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12.46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207.02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207.02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207.02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207.02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160.56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160.56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39.35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39.35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7.11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7.11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66.94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66.94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66.94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66.94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64.93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64.93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2.01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2.01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120.26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120.26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120.26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120.26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120.26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r>
                    <w:rPr>
                      <w:rFonts w:eastAsia="宋体"/>
                      <w:color w:val="000000"/>
                      <w:kern w:val="0"/>
                      <w:sz w:val="20"/>
                      <w:lang/>
                    </w:rPr>
                    <w:t>120.26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1439.82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1427.36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12.46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rPr>
        <w:t>注：</w:t>
      </w:r>
      <w:r>
        <w:rPr>
          <w:rFonts w:hAnsi="楷体" w:eastAsia="楷体"/>
          <w:sz w:val="24"/>
          <w:szCs w:val="24"/>
        </w:rPr>
        <w:t>功能科目填列至项级。</w:t>
      </w:r>
    </w:p>
    <w:p>
      <w:pPr>
        <w:rPr>
          <w:rFonts w:hAnsi="楷体" w:eastAsia="楷体"/>
        </w:rPr>
      </w:pPr>
    </w:p>
    <w:tbl>
      <w:tblPr>
        <w:tblStyle w:val="11"/>
        <w:tblW w:w="101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1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73" w:hRule="atLeast"/>
          <w:jc w:val="center"/>
        </w:trPr>
        <w:tc>
          <w:tcPr>
            <w:tcW w:w="10123" w:type="dxa"/>
            <w:tcBorders>
              <w:top w:val="nil"/>
              <w:left w:val="nil"/>
              <w:bottom w:val="nil"/>
              <w:right w:val="nil"/>
            </w:tcBorders>
            <w:vAlign w:val="bottom"/>
          </w:tcPr>
          <w:p/>
          <w:tbl>
            <w:tblPr>
              <w:tblStyle w:val="11"/>
              <w:tblpPr w:leftFromText="180" w:rightFromText="180" w:vertAnchor="page" w:horzAnchor="page" w:tblpX="114" w:tblpY="657"/>
              <w:tblOverlap w:val="never"/>
              <w:tblW w:w="98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892"/>
              <w:gridCol w:w="963"/>
              <w:gridCol w:w="688"/>
              <w:gridCol w:w="688"/>
              <w:gridCol w:w="1721"/>
              <w:gridCol w:w="864"/>
              <w:gridCol w:w="744"/>
              <w:gridCol w:w="744"/>
              <w:gridCol w:w="804"/>
              <w:gridCol w:w="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36"/>
                      <w:szCs w:val="36"/>
                    </w:rPr>
                  </w:pPr>
                </w:p>
                <w:p>
                  <w:pPr>
                    <w:jc w:val="center"/>
                    <w:rPr>
                      <w:rFonts w:eastAsia="方正小标宋简体"/>
                      <w:kern w:val="0"/>
                      <w:sz w:val="36"/>
                      <w:szCs w:val="36"/>
                    </w:rPr>
                  </w:pPr>
                </w:p>
                <w:p>
                  <w:pPr>
                    <w:jc w:val="center"/>
                    <w:rPr>
                      <w:rFonts w:eastAsia="方正小标宋简体"/>
                      <w:kern w:val="0"/>
                      <w:sz w:val="44"/>
                      <w:szCs w:val="44"/>
                    </w:rPr>
                  </w:pPr>
                  <w:r>
                    <w:rPr>
                      <w:rFonts w:eastAsia="方正小标宋简体"/>
                      <w:kern w:val="0"/>
                      <w:sz w:val="36"/>
                      <w:szCs w:val="36"/>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eastAsia="宋体" w:cs="宋体"/>
                      <w:bCs/>
                      <w:kern w:val="0"/>
                      <w:sz w:val="20"/>
                    </w:rPr>
                  </w:pPr>
                  <w:r>
                    <w:rPr>
                      <w:rFonts w:hint="eastAsia" w:ascii="宋体" w:hAnsi="宋体" w:eastAsia="宋体" w:cs="宋体"/>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1045.59</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1045.59</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eastAsia="宋体"/>
                      <w:color w:val="000000"/>
                      <w:kern w:val="0"/>
                      <w:sz w:val="20"/>
                      <w:lang/>
                    </w:rPr>
                    <w:t>207.02</w:t>
                  </w:r>
                </w:p>
              </w:tc>
              <w:tc>
                <w:tcPr>
                  <w:tcW w:w="74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eastAsia="宋体"/>
                      <w:color w:val="000000"/>
                      <w:kern w:val="0"/>
                      <w:sz w:val="20"/>
                      <w:lang/>
                    </w:rPr>
                    <w:t>207.02</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eastAsia="宋体"/>
                      <w:color w:val="000000"/>
                      <w:kern w:val="0"/>
                      <w:sz w:val="20"/>
                      <w:lang/>
                    </w:rPr>
                    <w:t>66.94</w:t>
                  </w:r>
                </w:p>
              </w:tc>
              <w:tc>
                <w:tcPr>
                  <w:tcW w:w="74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eastAsia="宋体"/>
                      <w:color w:val="000000"/>
                      <w:kern w:val="0"/>
                      <w:sz w:val="20"/>
                      <w:lang/>
                    </w:rPr>
                    <w:t>66.94</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eastAsia="宋体"/>
                      <w:color w:val="000000"/>
                      <w:kern w:val="0"/>
                      <w:sz w:val="20"/>
                      <w:lang/>
                    </w:rPr>
                    <w:t>120.26</w:t>
                  </w:r>
                </w:p>
              </w:tc>
              <w:tc>
                <w:tcPr>
                  <w:tcW w:w="74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eastAsia="宋体"/>
                      <w:color w:val="000000"/>
                      <w:kern w:val="0"/>
                      <w:sz w:val="20"/>
                      <w:lang/>
                    </w:rPr>
                    <w:t>120.26</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1439.82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1"/>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11"/>
              <w:tblW w:w="8789" w:type="dxa"/>
              <w:tblInd w:w="9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1134"/>
              <w:gridCol w:w="1134"/>
              <w:gridCol w:w="1134"/>
              <w:gridCol w:w="113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1439.82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lang/>
                    </w:rPr>
                    <w:t>教育支出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top"/>
                </w:tcPr>
                <w:p>
                  <w:pPr>
                    <w:jc w:val="center"/>
                  </w:pPr>
                  <w:r>
                    <w:rPr>
                      <w:rFonts w:eastAsia="宋体"/>
                      <w:color w:val="000000"/>
                      <w:kern w:val="0"/>
                      <w:sz w:val="20"/>
                      <w:lang/>
                    </w:rPr>
                    <w:t>1439.82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普通教育</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top"/>
                </w:tcPr>
                <w:p>
                  <w:pPr>
                    <w:jc w:val="center"/>
                  </w:pPr>
                  <w:r>
                    <w:rPr>
                      <w:rFonts w:eastAsia="宋体"/>
                      <w:color w:val="000000"/>
                      <w:kern w:val="0"/>
                      <w:sz w:val="20"/>
                      <w:lang/>
                    </w:rPr>
                    <w:t>1439.82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小学教育</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top"/>
                </w:tcPr>
                <w:p>
                  <w:pPr>
                    <w:jc w:val="center"/>
                  </w:pPr>
                  <w:r>
                    <w:rPr>
                      <w:rFonts w:eastAsia="宋体"/>
                      <w:color w:val="000000"/>
                      <w:kern w:val="0"/>
                      <w:sz w:val="20"/>
                      <w:lang/>
                    </w:rPr>
                    <w:t>1439.82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207.02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207.02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207.02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207.02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207.02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207.02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160.56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160.56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160.56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39.35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39.35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39.35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7.11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7.11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7.11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66.94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66.94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66.94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66.94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66.94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66.94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64.93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64.93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64.93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2.01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2.01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2.01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1439.82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1427.36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r>
                    <w:rPr>
                      <w:rFonts w:eastAsia="宋体"/>
                      <w:color w:val="000000"/>
                      <w:kern w:val="0"/>
                      <w:sz w:val="20"/>
                      <w:lang/>
                    </w:rPr>
                    <w:t>12.46</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89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3176"/>
        <w:gridCol w:w="2220"/>
        <w:gridCol w:w="1704"/>
        <w:gridCol w:w="1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15" w:hRule="atLeast"/>
          <w:jc w:val="center"/>
        </w:trPr>
        <w:tc>
          <w:tcPr>
            <w:tcW w:w="8931"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0" w:hRule="atLeast"/>
          <w:jc w:val="center"/>
        </w:trPr>
        <w:tc>
          <w:tcPr>
            <w:tcW w:w="3176"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经济分类科目</w:t>
            </w:r>
          </w:p>
        </w:tc>
        <w:tc>
          <w:tcPr>
            <w:tcW w:w="2220"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color w:val="000000"/>
                <w:kern w:val="0"/>
                <w:sz w:val="20"/>
              </w:rPr>
              <w:t>合计</w:t>
            </w:r>
          </w:p>
        </w:tc>
        <w:tc>
          <w:tcPr>
            <w:tcW w:w="1704"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eastAsia="宋体"/>
                <w:color w:val="000000"/>
                <w:sz w:val="20"/>
              </w:rPr>
            </w:pPr>
            <w:r>
              <w:rPr>
                <w:rFonts w:hint="eastAsia" w:eastAsia="宋体"/>
                <w:color w:val="000000"/>
                <w:sz w:val="20"/>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color w:val="000000"/>
                <w:kern w:val="0"/>
                <w:sz w:val="20"/>
                <w:lang/>
              </w:rPr>
            </w:pPr>
            <w:r>
              <w:rPr>
                <w:rFonts w:eastAsia="宋体"/>
                <w:color w:val="000000"/>
                <w:kern w:val="0"/>
                <w:sz w:val="20"/>
                <w:lang/>
              </w:rPr>
              <w:t>1427.36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color w:val="000000"/>
                <w:kern w:val="0"/>
                <w:sz w:val="20"/>
                <w:lang/>
              </w:rPr>
            </w:pPr>
            <w:r>
              <w:rPr>
                <w:rFonts w:eastAsia="宋体"/>
                <w:color w:val="000000"/>
                <w:kern w:val="0"/>
                <w:sz w:val="20"/>
                <w:lang/>
              </w:rPr>
              <w:t>1427.36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color w:val="000000"/>
                <w:kern w:val="0"/>
                <w:sz w:val="20"/>
                <w:lang/>
              </w:rPr>
            </w:pPr>
            <w:r>
              <w:rPr>
                <w:rFonts w:eastAsia="宋体"/>
                <w:color w:val="000000"/>
                <w:kern w:val="0"/>
                <w:sz w:val="20"/>
                <w:lang/>
              </w:rPr>
              <w:t>1427.36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color w:val="000000"/>
                <w:kern w:val="0"/>
                <w:sz w:val="20"/>
                <w:lang/>
              </w:rPr>
            </w:pPr>
            <w:r>
              <w:rPr>
                <w:rFonts w:eastAsia="宋体"/>
                <w:color w:val="000000"/>
                <w:kern w:val="0"/>
                <w:sz w:val="20"/>
                <w:lang/>
              </w:rPr>
              <w:t>1427.36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kern w:val="0"/>
                <w:sz w:val="20"/>
              </w:rPr>
            </w:pPr>
            <w:r>
              <w:rPr>
                <w:rFonts w:eastAsia="宋体"/>
                <w:color w:val="000000"/>
                <w:kern w:val="0"/>
                <w:sz w:val="20"/>
                <w:lang/>
              </w:rPr>
              <w:t>571.20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pPr>
            <w:r>
              <w:rPr>
                <w:rFonts w:eastAsia="宋体"/>
                <w:color w:val="000000"/>
                <w:kern w:val="0"/>
                <w:sz w:val="20"/>
                <w:lang/>
              </w:rPr>
              <w:t>571.20</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kern w:val="0"/>
                <w:sz w:val="20"/>
              </w:rPr>
            </w:pPr>
            <w:r>
              <w:rPr>
                <w:rFonts w:eastAsia="宋体"/>
                <w:color w:val="000000"/>
                <w:kern w:val="0"/>
                <w:sz w:val="20"/>
                <w:lang/>
              </w:rPr>
              <w:t>49.79</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pPr>
            <w:r>
              <w:rPr>
                <w:rFonts w:eastAsia="宋体"/>
                <w:color w:val="000000"/>
                <w:kern w:val="0"/>
                <w:sz w:val="20"/>
                <w:lang/>
              </w:rPr>
              <w:t>49.79</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kern w:val="0"/>
                <w:sz w:val="20"/>
              </w:rPr>
            </w:pPr>
            <w:r>
              <w:rPr>
                <w:rFonts w:eastAsia="宋体"/>
                <w:color w:val="000000"/>
                <w:kern w:val="0"/>
                <w:sz w:val="20"/>
                <w:lang/>
              </w:rPr>
              <w:t>109.47</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pPr>
            <w:r>
              <w:rPr>
                <w:rFonts w:eastAsia="宋体"/>
                <w:color w:val="000000"/>
                <w:kern w:val="0"/>
                <w:sz w:val="20"/>
                <w:lang/>
              </w:rPr>
              <w:t>109.47</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lang/>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kern w:val="0"/>
                <w:sz w:val="20"/>
              </w:rPr>
            </w:pPr>
            <w:r>
              <w:rPr>
                <w:rFonts w:eastAsia="宋体"/>
                <w:color w:val="000000"/>
                <w:kern w:val="0"/>
                <w:sz w:val="20"/>
                <w:lang/>
              </w:rPr>
              <w:t>285.82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pPr>
            <w:r>
              <w:rPr>
                <w:rFonts w:eastAsia="宋体"/>
                <w:color w:val="000000"/>
                <w:kern w:val="0"/>
                <w:sz w:val="20"/>
                <w:lang/>
              </w:rPr>
              <w:t>285.82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lang/>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kern w:val="0"/>
                <w:sz w:val="20"/>
              </w:rPr>
            </w:pPr>
            <w:r>
              <w:rPr>
                <w:rFonts w:eastAsia="宋体"/>
                <w:color w:val="000000"/>
                <w:kern w:val="0"/>
                <w:sz w:val="20"/>
                <w:lang/>
              </w:rPr>
              <w:t>160.56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pPr>
            <w:r>
              <w:rPr>
                <w:rFonts w:eastAsia="宋体"/>
                <w:color w:val="000000"/>
                <w:kern w:val="0"/>
                <w:sz w:val="20"/>
                <w:lang/>
              </w:rPr>
              <w:t>160.56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lang/>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kern w:val="0"/>
                <w:sz w:val="20"/>
              </w:rPr>
            </w:pPr>
            <w:r>
              <w:rPr>
                <w:rFonts w:eastAsia="宋体"/>
                <w:color w:val="000000"/>
                <w:kern w:val="0"/>
                <w:sz w:val="20"/>
                <w:lang/>
              </w:rPr>
              <w:t>39.35</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pPr>
            <w:r>
              <w:rPr>
                <w:rFonts w:eastAsia="宋体"/>
                <w:color w:val="000000"/>
                <w:kern w:val="0"/>
                <w:sz w:val="20"/>
                <w:lang/>
              </w:rPr>
              <w:t>39.35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kern w:val="0"/>
                <w:sz w:val="20"/>
              </w:rPr>
            </w:pPr>
            <w:r>
              <w:rPr>
                <w:rFonts w:eastAsia="宋体"/>
                <w:color w:val="000000"/>
                <w:kern w:val="0"/>
                <w:sz w:val="20"/>
                <w:lang/>
              </w:rPr>
              <w:t>64.93</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pPr>
            <w:r>
              <w:rPr>
                <w:rFonts w:eastAsia="宋体"/>
                <w:color w:val="000000"/>
                <w:kern w:val="0"/>
                <w:sz w:val="20"/>
                <w:lang/>
              </w:rPr>
              <w:t>64.93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kern w:val="0"/>
                <w:sz w:val="20"/>
              </w:rPr>
            </w:pPr>
            <w:r>
              <w:rPr>
                <w:rFonts w:eastAsia="宋体"/>
                <w:color w:val="000000"/>
                <w:kern w:val="0"/>
                <w:sz w:val="20"/>
                <w:lang/>
              </w:rPr>
              <w:t>9.12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pPr>
            <w:r>
              <w:rPr>
                <w:rFonts w:eastAsia="宋体"/>
                <w:color w:val="000000"/>
                <w:kern w:val="0"/>
                <w:sz w:val="20"/>
                <w:lang/>
              </w:rPr>
              <w:t>9.12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kern w:val="0"/>
                <w:sz w:val="20"/>
              </w:rPr>
            </w:pPr>
            <w:r>
              <w:rPr>
                <w:rFonts w:eastAsia="宋体"/>
                <w:color w:val="000000"/>
                <w:kern w:val="0"/>
                <w:sz w:val="20"/>
                <w:lang/>
              </w:rPr>
              <w:t>120.26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pPr>
            <w:r>
              <w:rPr>
                <w:rFonts w:eastAsia="宋体"/>
                <w:color w:val="000000"/>
                <w:kern w:val="0"/>
                <w:sz w:val="20"/>
                <w:lang/>
              </w:rPr>
              <w:t>120.26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kern w:val="0"/>
                <w:sz w:val="20"/>
              </w:rPr>
            </w:pPr>
            <w:r>
              <w:rPr>
                <w:rFonts w:eastAsia="宋体"/>
                <w:color w:val="000000"/>
                <w:kern w:val="0"/>
                <w:sz w:val="20"/>
                <w:lang/>
              </w:rPr>
              <w:t>12.91</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pPr>
            <w:r>
              <w:rPr>
                <w:rFonts w:eastAsia="宋体"/>
                <w:color w:val="000000"/>
                <w:kern w:val="0"/>
                <w:sz w:val="20"/>
                <w:lang/>
              </w:rPr>
              <w:t>12.91</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lang/>
              </w:rPr>
              <w:t>对个人和家庭的补助</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rPr>
                <w:rFonts w:eastAsia="宋体"/>
                <w:kern w:val="0"/>
                <w:sz w:val="20"/>
              </w:rPr>
            </w:pPr>
            <w:r>
              <w:rPr>
                <w:rFonts w:eastAsia="宋体"/>
                <w:color w:val="000000"/>
                <w:kern w:val="0"/>
                <w:sz w:val="20"/>
                <w:lang/>
              </w:rPr>
              <w:t>3.9</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bottom"/>
            </w:pPr>
            <w:r>
              <w:rPr>
                <w:rFonts w:eastAsia="宋体"/>
                <w:color w:val="000000"/>
                <w:kern w:val="0"/>
                <w:sz w:val="20"/>
                <w:lang/>
              </w:rPr>
              <w:t>3.9</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kern w:val="0"/>
                <w:sz w:val="20"/>
              </w:rPr>
            </w:pPr>
            <w:r>
              <w:rPr>
                <w:rFonts w:ascii="Arial" w:hAnsi="Arial" w:eastAsia="宋体" w:cs="Arial"/>
                <w:color w:val="000000"/>
                <w:kern w:val="0"/>
                <w:sz w:val="20"/>
                <w:lang/>
              </w:rPr>
              <w:t>　退休费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r>
              <w:rPr>
                <w:rFonts w:eastAsia="宋体"/>
                <w:color w:val="000000"/>
                <w:kern w:val="0"/>
                <w:sz w:val="20"/>
                <w:lang/>
              </w:rPr>
              <w:t>3.9</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pPr>
            <w:r>
              <w:rPr>
                <w:rFonts w:eastAsia="宋体"/>
                <w:color w:val="000000"/>
                <w:kern w:val="0"/>
                <w:sz w:val="20"/>
                <w:lang/>
              </w:rPr>
              <w:t>3.9</w:t>
            </w: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lang/>
              </w:rPr>
            </w:pPr>
          </w:p>
        </w:tc>
        <w:tc>
          <w:tcPr>
            <w:tcW w:w="2220" w:type="dxa"/>
            <w:tcBorders>
              <w:top w:val="single" w:color="auto" w:sz="4" w:space="0"/>
              <w:left w:val="single" w:color="auto" w:sz="4" w:space="0"/>
              <w:bottom w:val="single" w:color="auto" w:sz="4" w:space="0"/>
              <w:right w:val="single" w:color="auto" w:sz="4" w:space="0"/>
            </w:tcBorders>
            <w:vAlign w:val="bottom"/>
          </w:tcPr>
          <w:p>
            <w:pPr>
              <w:widowControl/>
              <w:jc w:val="center"/>
              <w:textAlignment w:val="bottom"/>
              <w:rPr>
                <w:rFonts w:ascii="Arial" w:hAnsi="Arial" w:eastAsia="宋体" w:cs="Arial"/>
                <w:color w:val="000000"/>
                <w:kern w:val="0"/>
                <w:sz w:val="20"/>
                <w:lang/>
              </w:rPr>
            </w:pPr>
          </w:p>
        </w:tc>
        <w:tc>
          <w:tcPr>
            <w:tcW w:w="1704" w:type="dxa"/>
            <w:tcBorders>
              <w:top w:val="single" w:color="auto" w:sz="4" w:space="0"/>
              <w:left w:val="single" w:color="auto" w:sz="4" w:space="0"/>
              <w:bottom w:val="single" w:color="auto" w:sz="4" w:space="0"/>
              <w:right w:val="single" w:color="auto" w:sz="4" w:space="0"/>
            </w:tcBorders>
            <w:vAlign w:val="bottom"/>
          </w:tcPr>
          <w:p>
            <w:pPr>
              <w:widowControl/>
              <w:jc w:val="center"/>
              <w:textAlignment w:val="bottom"/>
              <w:rPr>
                <w:rFonts w:ascii="Arial" w:hAnsi="Arial" w:eastAsia="宋体" w:cs="Arial"/>
                <w:color w:val="000000"/>
                <w:kern w:val="0"/>
                <w:sz w:val="20"/>
                <w:lang/>
              </w:rPr>
            </w:pP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right"/>
            </w:pPr>
          </w:p>
        </w:tc>
      </w:tr>
    </w:tbl>
    <w:p>
      <w:pPr>
        <w:ind w:firstLine="480" w:firstLineChars="200"/>
        <w:rPr>
          <w:rFonts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1"/>
        <w:tblW w:w="91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4783"/>
        <w:gridCol w:w="1646"/>
        <w:gridCol w:w="1378"/>
        <w:gridCol w:w="13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eastAsia="方正小标宋简体"/>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rPr>
              <w:t>1</w:t>
            </w:r>
            <w:r>
              <w:rPr>
                <w:rFonts w:eastAsia="宋体"/>
                <w:color w:val="000000"/>
                <w:kern w:val="0"/>
                <w:sz w:val="28"/>
                <w:szCs w:val="28"/>
                <w:u w:val="single"/>
              </w:rPr>
              <w:t xml:space="preserve">13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rPr>
              <w:t>1</w:t>
            </w:r>
            <w:r>
              <w:rPr>
                <w:rFonts w:eastAsia="宋体"/>
                <w:color w:val="000000"/>
                <w:kern w:val="0"/>
                <w:sz w:val="28"/>
                <w:szCs w:val="28"/>
                <w:u w:val="single"/>
              </w:rPr>
              <w:t xml:space="preserve">06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rPr>
              <w:t>7</w:t>
            </w:r>
            <w:r>
              <w:rPr>
                <w:rFonts w:eastAsia="宋体"/>
                <w:color w:val="000000"/>
                <w:kern w:val="0"/>
                <w:sz w:val="28"/>
                <w:szCs w:val="28"/>
                <w:u w:val="single"/>
              </w:rPr>
              <w:t xml:space="preserve"> </w:t>
            </w:r>
            <w:r>
              <w:rPr>
                <w:color w:val="000000"/>
                <w:kern w:val="0"/>
                <w:sz w:val="28"/>
                <w:szCs w:val="28"/>
              </w:rPr>
              <w:t>人。</w:t>
            </w:r>
          </w:p>
          <w:p>
            <w:pPr>
              <w:widowControl/>
              <w:jc w:val="left"/>
              <w:rPr>
                <w:color w:val="000000"/>
                <w:kern w:val="0"/>
                <w:sz w:val="28"/>
                <w:szCs w:val="28"/>
              </w:rPr>
            </w:pPr>
            <w:r>
              <w:rPr>
                <w:rFonts w:hint="eastAsia"/>
                <w:color w:val="000000"/>
                <w:kern w:val="0"/>
                <w:sz w:val="28"/>
                <w:szCs w:val="28"/>
              </w:rPr>
              <w:t xml:space="preserve">       </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1"/>
        <w:tblpPr w:leftFromText="180" w:rightFromText="180" w:horzAnchor="margin" w:tblpXSpec="left" w:tblpY="321"/>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147"/>
        <w:gridCol w:w="1704"/>
        <w:gridCol w:w="23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p>
          <w:p>
            <w:pPr>
              <w:widowControl/>
              <w:jc w:val="center"/>
              <w:rPr>
                <w:rFonts w:ascii="宋体" w:hAnsi="宋体" w:eastAsia="宋体" w:cs="宋体"/>
                <w:kern w:val="0"/>
                <w:sz w:val="20"/>
              </w:rPr>
            </w:pPr>
            <w:r>
              <w:rPr>
                <w:rFonts w:hint="eastAsia" w:eastAsia="方正小标宋简体"/>
                <w:kern w:val="0"/>
                <w:sz w:val="36"/>
                <w:szCs w:val="36"/>
              </w:rPr>
              <w:t>政府性基金预算支出表</w:t>
            </w:r>
          </w:p>
          <w:p>
            <w:pPr>
              <w:widowControl/>
              <w:jc w:val="right"/>
              <w:rPr>
                <w:rFonts w:ascii="宋体" w:hAnsi="宋体" w:eastAsia="宋体" w:cs="宋体"/>
                <w:color w:val="000000"/>
                <w:kern w:val="0"/>
                <w:sz w:val="20"/>
              </w:rPr>
            </w:pPr>
          </w:p>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ascii="楷体" w:hAnsi="楷体" w:eastAsia="楷体" w:cs="楷体"/>
          <w:kern w:val="0"/>
          <w:sz w:val="24"/>
          <w:szCs w:val="24"/>
        </w:rPr>
      </w:pPr>
      <w:r>
        <w:rPr>
          <w:rFonts w:eastAsia="楷体_GB2312"/>
          <w:kern w:val="0"/>
          <w:szCs w:val="32"/>
        </w:rPr>
        <w:t xml:space="preserve">   </w:t>
      </w:r>
    </w:p>
    <w:tbl>
      <w:tblPr>
        <w:tblStyle w:val="11"/>
        <w:tblpPr w:leftFromText="180" w:rightFromText="180" w:vertAnchor="page" w:horzAnchor="page" w:tblpX="1260" w:tblpY="232"/>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267"/>
        <w:gridCol w:w="2269"/>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p>
          <w:p>
            <w:pPr>
              <w:widowControl/>
              <w:ind w:firstLine="2520" w:firstLineChars="700"/>
              <w:rPr>
                <w:rFonts w:eastAsia="方正小标宋简体"/>
                <w:kern w:val="0"/>
                <w:sz w:val="36"/>
                <w:szCs w:val="36"/>
              </w:rPr>
            </w:pPr>
          </w:p>
          <w:p>
            <w:pPr>
              <w:widowControl/>
              <w:jc w:val="center"/>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eastAsia="方正小标宋简体"/>
                <w:kern w:val="0"/>
                <w:sz w:val="36"/>
                <w:szCs w:val="36"/>
              </w:rPr>
            </w:pPr>
          </w:p>
          <w:p>
            <w:pPr>
              <w:widowControl/>
              <w:jc w:val="center"/>
              <w:rPr>
                <w:rFonts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bl>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pPr>
    </w:p>
    <w:tbl>
      <w:tblPr>
        <w:tblStyle w:val="11"/>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59"/>
        <w:gridCol w:w="1063"/>
        <w:gridCol w:w="1107"/>
        <w:gridCol w:w="864"/>
        <w:gridCol w:w="613"/>
        <w:gridCol w:w="600"/>
        <w:gridCol w:w="392"/>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613"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513" w:type="dxa"/>
            <w:gridSpan w:val="3"/>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98" w:hRule="atLeast"/>
          <w:jc w:val="center"/>
        </w:trPr>
        <w:tc>
          <w:tcPr>
            <w:tcW w:w="759"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w:t>
            </w:r>
          </w:p>
        </w:tc>
        <w:tc>
          <w:tcPr>
            <w:tcW w:w="613"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合计</w:t>
            </w:r>
          </w:p>
        </w:tc>
        <w:tc>
          <w:tcPr>
            <w:tcW w:w="1513"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财政专户</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613" w:type="dxa"/>
            <w:vMerge w:val="continue"/>
            <w:vAlign w:val="center"/>
          </w:tcPr>
          <w:p>
            <w:pPr>
              <w:autoSpaceDN w:val="0"/>
              <w:jc w:val="center"/>
              <w:textAlignment w:val="center"/>
              <w:rPr>
                <w:rFonts w:ascii="Calibri" w:hAnsi="Calibri" w:eastAsia="华文细黑"/>
                <w:color w:val="000000"/>
                <w:sz w:val="20"/>
                <w:szCs w:val="22"/>
              </w:rPr>
            </w:pPr>
          </w:p>
        </w:tc>
        <w:tc>
          <w:tcPr>
            <w:tcW w:w="600"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92"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公共</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国有资本经营</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37" w:hRule="exact"/>
          <w:jc w:val="center"/>
        </w:trPr>
        <w:tc>
          <w:tcPr>
            <w:tcW w:w="759" w:type="dxa"/>
            <w:vAlign w:val="center"/>
          </w:tcPr>
          <w:p>
            <w:pPr>
              <w:jc w:val="left"/>
              <w:rPr>
                <w:rFonts w:ascii="Calibri" w:hAnsi="Calibri" w:eastAsia="楷体"/>
                <w:kern w:val="0"/>
                <w:sz w:val="15"/>
                <w:szCs w:val="15"/>
              </w:rPr>
            </w:pPr>
            <w:r>
              <w:rPr>
                <w:rFonts w:hint="eastAsia" w:ascii="Calibri" w:hAnsi="Calibri" w:eastAsia="楷体"/>
                <w:kern w:val="0"/>
                <w:sz w:val="15"/>
                <w:szCs w:val="15"/>
              </w:rPr>
              <w:t>311专项业务支出</w:t>
            </w:r>
          </w:p>
        </w:tc>
        <w:tc>
          <w:tcPr>
            <w:tcW w:w="1063" w:type="dxa"/>
            <w:vAlign w:val="center"/>
          </w:tcPr>
          <w:p>
            <w:pPr>
              <w:widowControl/>
              <w:jc w:val="left"/>
              <w:textAlignment w:val="center"/>
              <w:rPr>
                <w:rFonts w:ascii="Calibri" w:hAnsi="Calibri" w:eastAsia="楷体"/>
                <w:kern w:val="0"/>
                <w:sz w:val="15"/>
                <w:szCs w:val="15"/>
              </w:rPr>
            </w:pPr>
            <w:r>
              <w:rPr>
                <w:rFonts w:ascii="Arial" w:hAnsi="Arial" w:eastAsia="宋体" w:cs="Arial"/>
                <w:color w:val="000000"/>
                <w:kern w:val="0"/>
                <w:sz w:val="15"/>
                <w:szCs w:val="15"/>
                <w:lang/>
              </w:rPr>
              <w:t>教育系统2024年校园安保人员工资</w:t>
            </w:r>
          </w:p>
        </w:tc>
        <w:tc>
          <w:tcPr>
            <w:tcW w:w="1107" w:type="dxa"/>
            <w:vAlign w:val="center"/>
          </w:tcPr>
          <w:p>
            <w:pPr>
              <w:widowControl/>
              <w:jc w:val="left"/>
              <w:textAlignment w:val="center"/>
              <w:rPr>
                <w:rFonts w:ascii="Calibri" w:hAnsi="Calibri" w:eastAsia="楷体"/>
                <w:kern w:val="0"/>
                <w:sz w:val="15"/>
                <w:szCs w:val="15"/>
              </w:rPr>
            </w:pPr>
            <w:r>
              <w:rPr>
                <w:rFonts w:ascii="Arial" w:hAnsi="Arial" w:eastAsia="宋体" w:cs="Arial"/>
                <w:color w:val="000000"/>
                <w:kern w:val="0"/>
                <w:sz w:val="15"/>
                <w:szCs w:val="15"/>
                <w:lang/>
              </w:rPr>
              <w:t>通榆县</w:t>
            </w:r>
            <w:r>
              <w:rPr>
                <w:rFonts w:hint="eastAsia" w:ascii="Arial" w:hAnsi="Arial" w:eastAsia="宋体" w:cs="Arial"/>
                <w:color w:val="000000"/>
                <w:kern w:val="0"/>
                <w:sz w:val="15"/>
                <w:szCs w:val="15"/>
                <w:lang/>
              </w:rPr>
              <w:t>第二实验</w:t>
            </w:r>
            <w:r>
              <w:rPr>
                <w:rFonts w:ascii="Arial" w:hAnsi="Arial" w:eastAsia="宋体" w:cs="Arial"/>
                <w:color w:val="000000"/>
                <w:kern w:val="0"/>
                <w:sz w:val="15"/>
                <w:szCs w:val="15"/>
                <w:lang/>
              </w:rPr>
              <w:t>小学校2024年校园人员安保工资</w:t>
            </w:r>
          </w:p>
        </w:tc>
        <w:tc>
          <w:tcPr>
            <w:tcW w:w="864" w:type="dxa"/>
            <w:vAlign w:val="center"/>
          </w:tcPr>
          <w:p>
            <w:pPr>
              <w:widowControl/>
              <w:jc w:val="left"/>
              <w:textAlignment w:val="center"/>
              <w:rPr>
                <w:rFonts w:ascii="Calibri" w:hAnsi="Calibri" w:eastAsia="楷体"/>
                <w:kern w:val="0"/>
                <w:sz w:val="15"/>
                <w:szCs w:val="15"/>
              </w:rPr>
            </w:pPr>
            <w:r>
              <w:rPr>
                <w:rFonts w:hint="eastAsia" w:ascii="Arial" w:hAnsi="Arial" w:eastAsia="宋体" w:cs="Arial"/>
                <w:color w:val="000000"/>
                <w:kern w:val="0"/>
                <w:sz w:val="15"/>
                <w:szCs w:val="15"/>
                <w:lang/>
              </w:rPr>
              <w:t>通榆县第二实验小学校</w:t>
            </w:r>
          </w:p>
        </w:tc>
        <w:tc>
          <w:tcPr>
            <w:tcW w:w="613" w:type="dxa"/>
            <w:vAlign w:val="center"/>
          </w:tcPr>
          <w:p>
            <w:pPr>
              <w:widowControl/>
              <w:jc w:val="center"/>
              <w:textAlignment w:val="bottom"/>
              <w:rPr>
                <w:rFonts w:eastAsia="楷体"/>
                <w:kern w:val="0"/>
                <w:sz w:val="18"/>
                <w:szCs w:val="18"/>
              </w:rPr>
            </w:pPr>
            <w:r>
              <w:rPr>
                <w:rFonts w:eastAsia="宋体"/>
                <w:color w:val="000000"/>
                <w:kern w:val="0"/>
                <w:sz w:val="18"/>
                <w:lang/>
              </w:rPr>
              <w:t>8.86</w:t>
            </w:r>
          </w:p>
        </w:tc>
        <w:tc>
          <w:tcPr>
            <w:tcW w:w="600" w:type="dxa"/>
            <w:vAlign w:val="center"/>
          </w:tcPr>
          <w:p>
            <w:pPr>
              <w:widowControl/>
              <w:jc w:val="center"/>
              <w:textAlignment w:val="bottom"/>
              <w:rPr>
                <w:rFonts w:eastAsia="楷体"/>
                <w:kern w:val="0"/>
                <w:sz w:val="18"/>
                <w:szCs w:val="18"/>
              </w:rPr>
            </w:pPr>
            <w:r>
              <w:rPr>
                <w:rFonts w:eastAsia="宋体"/>
                <w:color w:val="000000"/>
                <w:kern w:val="0"/>
                <w:sz w:val="18"/>
                <w:lang/>
              </w:rPr>
              <w:t>8.86</w:t>
            </w:r>
          </w:p>
        </w:tc>
        <w:tc>
          <w:tcPr>
            <w:tcW w:w="392" w:type="dxa"/>
            <w:vAlign w:val="center"/>
          </w:tcPr>
          <w:p>
            <w:pPr>
              <w:jc w:val="center"/>
              <w:rPr>
                <w:rFonts w:eastAsia="楷体"/>
                <w:kern w:val="0"/>
                <w:sz w:val="18"/>
                <w:szCs w:val="18"/>
              </w:rPr>
            </w:pPr>
          </w:p>
        </w:tc>
        <w:tc>
          <w:tcPr>
            <w:tcW w:w="521" w:type="dxa"/>
            <w:vAlign w:val="center"/>
          </w:tcPr>
          <w:p>
            <w:pPr>
              <w:spacing w:line="700" w:lineRule="exact"/>
              <w:jc w:val="center"/>
              <w:rPr>
                <w:rFonts w:eastAsia="楷体"/>
                <w:kern w:val="0"/>
                <w:sz w:val="18"/>
                <w:szCs w:val="18"/>
              </w:rPr>
            </w:pPr>
          </w:p>
        </w:tc>
        <w:tc>
          <w:tcPr>
            <w:tcW w:w="564" w:type="dxa"/>
            <w:vAlign w:val="center"/>
          </w:tcPr>
          <w:p>
            <w:pPr>
              <w:spacing w:line="700" w:lineRule="exact"/>
              <w:jc w:val="center"/>
              <w:rPr>
                <w:rFonts w:eastAsia="楷体"/>
                <w:kern w:val="0"/>
                <w:sz w:val="18"/>
                <w:szCs w:val="18"/>
              </w:rPr>
            </w:pPr>
          </w:p>
        </w:tc>
        <w:tc>
          <w:tcPr>
            <w:tcW w:w="532" w:type="dxa"/>
            <w:vAlign w:val="center"/>
          </w:tcPr>
          <w:p>
            <w:pPr>
              <w:spacing w:line="700" w:lineRule="exact"/>
              <w:jc w:val="center"/>
              <w:rPr>
                <w:rFonts w:ascii="Calibri" w:hAnsi="Calibri" w:eastAsia="楷体"/>
                <w:kern w:val="0"/>
                <w:sz w:val="18"/>
                <w:szCs w:val="18"/>
              </w:rPr>
            </w:pPr>
          </w:p>
        </w:tc>
        <w:tc>
          <w:tcPr>
            <w:tcW w:w="598" w:type="dxa"/>
            <w:vAlign w:val="center"/>
          </w:tcPr>
          <w:p>
            <w:pPr>
              <w:spacing w:line="700" w:lineRule="exact"/>
              <w:jc w:val="center"/>
              <w:rPr>
                <w:rFonts w:ascii="Calibri" w:hAnsi="Calibri" w:eastAsia="楷体"/>
                <w:kern w:val="0"/>
                <w:sz w:val="18"/>
                <w:szCs w:val="18"/>
              </w:rPr>
            </w:pPr>
          </w:p>
        </w:tc>
        <w:tc>
          <w:tcPr>
            <w:tcW w:w="443" w:type="dxa"/>
            <w:vAlign w:val="center"/>
          </w:tcPr>
          <w:p>
            <w:pPr>
              <w:spacing w:line="700" w:lineRule="exact"/>
              <w:jc w:val="center"/>
              <w:rPr>
                <w:rFonts w:ascii="Calibri" w:hAnsi="Calibri" w:eastAsia="楷体"/>
                <w:kern w:val="0"/>
                <w:sz w:val="18"/>
                <w:szCs w:val="18"/>
              </w:rPr>
            </w:pPr>
          </w:p>
        </w:tc>
        <w:tc>
          <w:tcPr>
            <w:tcW w:w="425" w:type="dxa"/>
            <w:vAlign w:val="center"/>
          </w:tcPr>
          <w:p>
            <w:pPr>
              <w:spacing w:line="700" w:lineRule="exact"/>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87" w:hRule="exact"/>
          <w:jc w:val="center"/>
        </w:trPr>
        <w:tc>
          <w:tcPr>
            <w:tcW w:w="759" w:type="dxa"/>
            <w:vAlign w:val="center"/>
          </w:tcPr>
          <w:p>
            <w:pPr>
              <w:jc w:val="center"/>
              <w:rPr>
                <w:rFonts w:ascii="Calibri" w:hAnsi="Calibri" w:eastAsia="楷体"/>
                <w:kern w:val="0"/>
                <w:sz w:val="15"/>
                <w:szCs w:val="15"/>
              </w:rPr>
            </w:pPr>
            <w:r>
              <w:rPr>
                <w:rFonts w:hint="eastAsia" w:ascii="Calibri" w:hAnsi="Calibri" w:eastAsia="楷体"/>
                <w:kern w:val="0"/>
                <w:sz w:val="15"/>
                <w:szCs w:val="15"/>
              </w:rPr>
              <w:t>311专项业务支出</w:t>
            </w:r>
          </w:p>
        </w:tc>
        <w:tc>
          <w:tcPr>
            <w:tcW w:w="1063" w:type="dxa"/>
            <w:vAlign w:val="center"/>
          </w:tcPr>
          <w:p>
            <w:pPr>
              <w:widowControl/>
              <w:jc w:val="left"/>
              <w:textAlignment w:val="center"/>
              <w:rPr>
                <w:rFonts w:ascii="Calibri" w:hAnsi="Calibri" w:eastAsia="楷体"/>
                <w:kern w:val="0"/>
                <w:sz w:val="15"/>
                <w:szCs w:val="15"/>
              </w:rPr>
            </w:pPr>
            <w:r>
              <w:rPr>
                <w:rFonts w:ascii="Arial" w:hAnsi="Arial" w:eastAsia="宋体" w:cs="Arial"/>
                <w:color w:val="000000"/>
                <w:kern w:val="0"/>
                <w:sz w:val="15"/>
                <w:szCs w:val="15"/>
                <w:lang/>
              </w:rPr>
              <w:t>教育系统2024年驻村工作队生活补贴资金</w:t>
            </w:r>
          </w:p>
        </w:tc>
        <w:tc>
          <w:tcPr>
            <w:tcW w:w="1107" w:type="dxa"/>
            <w:vAlign w:val="center"/>
          </w:tcPr>
          <w:p>
            <w:pPr>
              <w:widowControl/>
              <w:jc w:val="left"/>
              <w:textAlignment w:val="center"/>
              <w:rPr>
                <w:rFonts w:ascii="Calibri" w:hAnsi="Calibri" w:eastAsia="楷体"/>
                <w:kern w:val="0"/>
                <w:sz w:val="15"/>
                <w:szCs w:val="15"/>
              </w:rPr>
            </w:pPr>
            <w:r>
              <w:rPr>
                <w:rFonts w:ascii="Arial" w:hAnsi="Arial" w:eastAsia="宋体" w:cs="Arial"/>
                <w:color w:val="000000"/>
                <w:kern w:val="0"/>
                <w:sz w:val="15"/>
                <w:szCs w:val="15"/>
                <w:lang/>
              </w:rPr>
              <w:t>通榆县</w:t>
            </w:r>
            <w:r>
              <w:rPr>
                <w:rFonts w:hint="eastAsia" w:ascii="Arial" w:hAnsi="Arial" w:eastAsia="宋体" w:cs="Arial"/>
                <w:color w:val="000000"/>
                <w:kern w:val="0"/>
                <w:sz w:val="15"/>
                <w:szCs w:val="15"/>
                <w:lang/>
              </w:rPr>
              <w:t>第二实验</w:t>
            </w:r>
            <w:r>
              <w:rPr>
                <w:rFonts w:ascii="Arial" w:hAnsi="Arial" w:eastAsia="宋体" w:cs="Arial"/>
                <w:color w:val="000000"/>
                <w:kern w:val="0"/>
                <w:sz w:val="15"/>
                <w:szCs w:val="15"/>
                <w:lang/>
              </w:rPr>
              <w:t>小学校2024年驻村工作队生活补贴资金</w:t>
            </w:r>
          </w:p>
        </w:tc>
        <w:tc>
          <w:tcPr>
            <w:tcW w:w="864" w:type="dxa"/>
            <w:vAlign w:val="center"/>
          </w:tcPr>
          <w:p>
            <w:pPr>
              <w:widowControl/>
              <w:jc w:val="left"/>
              <w:textAlignment w:val="center"/>
              <w:rPr>
                <w:rFonts w:ascii="Calibri" w:hAnsi="Calibri" w:eastAsia="楷体"/>
                <w:kern w:val="0"/>
                <w:sz w:val="15"/>
                <w:szCs w:val="15"/>
              </w:rPr>
            </w:pPr>
            <w:r>
              <w:rPr>
                <w:rFonts w:hint="eastAsia" w:ascii="Arial" w:hAnsi="Arial" w:eastAsia="宋体" w:cs="Arial"/>
                <w:color w:val="000000"/>
                <w:kern w:val="0"/>
                <w:sz w:val="15"/>
                <w:szCs w:val="15"/>
                <w:lang/>
              </w:rPr>
              <w:t>通榆县第二实验小学校</w:t>
            </w:r>
          </w:p>
        </w:tc>
        <w:tc>
          <w:tcPr>
            <w:tcW w:w="613" w:type="dxa"/>
            <w:vAlign w:val="center"/>
          </w:tcPr>
          <w:p>
            <w:pPr>
              <w:widowControl/>
              <w:jc w:val="center"/>
              <w:textAlignment w:val="bottom"/>
              <w:rPr>
                <w:rFonts w:eastAsia="楷体"/>
                <w:kern w:val="0"/>
                <w:sz w:val="18"/>
                <w:szCs w:val="18"/>
              </w:rPr>
            </w:pPr>
            <w:r>
              <w:rPr>
                <w:rFonts w:eastAsia="宋体"/>
                <w:color w:val="000000"/>
                <w:kern w:val="0"/>
                <w:sz w:val="18"/>
                <w:lang/>
              </w:rPr>
              <w:t>3.6</w:t>
            </w:r>
          </w:p>
        </w:tc>
        <w:tc>
          <w:tcPr>
            <w:tcW w:w="600" w:type="dxa"/>
            <w:vAlign w:val="center"/>
          </w:tcPr>
          <w:p>
            <w:pPr>
              <w:widowControl/>
              <w:jc w:val="center"/>
              <w:textAlignment w:val="bottom"/>
              <w:rPr>
                <w:rFonts w:eastAsia="楷体"/>
                <w:kern w:val="0"/>
                <w:sz w:val="18"/>
                <w:szCs w:val="18"/>
              </w:rPr>
            </w:pPr>
            <w:r>
              <w:rPr>
                <w:rFonts w:eastAsia="宋体"/>
                <w:color w:val="000000"/>
                <w:kern w:val="0"/>
                <w:sz w:val="18"/>
                <w:lang/>
              </w:rPr>
              <w:t>3.6</w:t>
            </w:r>
          </w:p>
        </w:tc>
        <w:tc>
          <w:tcPr>
            <w:tcW w:w="392" w:type="dxa"/>
            <w:vAlign w:val="center"/>
          </w:tcPr>
          <w:p>
            <w:pPr>
              <w:jc w:val="center"/>
              <w:rPr>
                <w:rFonts w:eastAsia="楷体"/>
                <w:kern w:val="0"/>
                <w:sz w:val="18"/>
                <w:szCs w:val="18"/>
              </w:rPr>
            </w:pPr>
          </w:p>
        </w:tc>
        <w:tc>
          <w:tcPr>
            <w:tcW w:w="521" w:type="dxa"/>
            <w:vAlign w:val="center"/>
          </w:tcPr>
          <w:p>
            <w:pPr>
              <w:spacing w:line="700" w:lineRule="exact"/>
              <w:jc w:val="center"/>
              <w:rPr>
                <w:rFonts w:eastAsia="楷体"/>
                <w:kern w:val="0"/>
                <w:sz w:val="18"/>
                <w:szCs w:val="18"/>
              </w:rPr>
            </w:pPr>
          </w:p>
        </w:tc>
        <w:tc>
          <w:tcPr>
            <w:tcW w:w="564" w:type="dxa"/>
            <w:vAlign w:val="center"/>
          </w:tcPr>
          <w:p>
            <w:pPr>
              <w:spacing w:line="700" w:lineRule="exact"/>
              <w:jc w:val="center"/>
              <w:rPr>
                <w:rFonts w:eastAsia="楷体"/>
                <w:kern w:val="0"/>
                <w:sz w:val="18"/>
                <w:szCs w:val="18"/>
              </w:rPr>
            </w:pPr>
          </w:p>
        </w:tc>
        <w:tc>
          <w:tcPr>
            <w:tcW w:w="532" w:type="dxa"/>
            <w:vAlign w:val="center"/>
          </w:tcPr>
          <w:p>
            <w:pPr>
              <w:spacing w:line="700" w:lineRule="exact"/>
              <w:jc w:val="center"/>
              <w:rPr>
                <w:rFonts w:ascii="Calibri" w:hAnsi="Calibri" w:eastAsia="楷体"/>
                <w:kern w:val="0"/>
                <w:sz w:val="18"/>
                <w:szCs w:val="18"/>
              </w:rPr>
            </w:pPr>
          </w:p>
        </w:tc>
        <w:tc>
          <w:tcPr>
            <w:tcW w:w="598" w:type="dxa"/>
            <w:vAlign w:val="center"/>
          </w:tcPr>
          <w:p>
            <w:pPr>
              <w:spacing w:line="700" w:lineRule="exact"/>
              <w:jc w:val="center"/>
              <w:rPr>
                <w:rFonts w:ascii="Calibri" w:hAnsi="Calibri" w:eastAsia="楷体"/>
                <w:kern w:val="0"/>
                <w:sz w:val="18"/>
                <w:szCs w:val="18"/>
              </w:rPr>
            </w:pPr>
          </w:p>
        </w:tc>
        <w:tc>
          <w:tcPr>
            <w:tcW w:w="443" w:type="dxa"/>
            <w:vAlign w:val="center"/>
          </w:tcPr>
          <w:p>
            <w:pPr>
              <w:spacing w:line="700" w:lineRule="exact"/>
              <w:jc w:val="center"/>
              <w:rPr>
                <w:rFonts w:ascii="Calibri" w:hAnsi="Calibri" w:eastAsia="楷体"/>
                <w:kern w:val="0"/>
                <w:sz w:val="18"/>
                <w:szCs w:val="18"/>
              </w:rPr>
            </w:pPr>
          </w:p>
        </w:tc>
        <w:tc>
          <w:tcPr>
            <w:tcW w:w="425" w:type="dxa"/>
            <w:vAlign w:val="center"/>
          </w:tcPr>
          <w:p>
            <w:pPr>
              <w:spacing w:line="700" w:lineRule="exact"/>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27" w:hRule="exact"/>
          <w:jc w:val="center"/>
        </w:trPr>
        <w:tc>
          <w:tcPr>
            <w:tcW w:w="759" w:type="dxa"/>
            <w:vAlign w:val="center"/>
          </w:tcPr>
          <w:p>
            <w:pPr>
              <w:autoSpaceDN w:val="0"/>
              <w:jc w:val="center"/>
              <w:textAlignment w:val="center"/>
              <w:rPr>
                <w:rFonts w:ascii="Calibri" w:hAnsi="Calibri" w:eastAsia="华文细黑"/>
                <w:color w:val="000000"/>
                <w:sz w:val="18"/>
                <w:szCs w:val="18"/>
              </w:rPr>
            </w:pPr>
            <w:r>
              <w:rPr>
                <w:rFonts w:hint="eastAsia" w:ascii="Calibri" w:hAnsi="Calibri" w:eastAsia="华文细黑"/>
                <w:color w:val="000000"/>
                <w:sz w:val="18"/>
                <w:szCs w:val="18"/>
              </w:rPr>
              <w:t>合计</w:t>
            </w:r>
          </w:p>
        </w:tc>
        <w:tc>
          <w:tcPr>
            <w:tcW w:w="1063" w:type="dxa"/>
            <w:vAlign w:val="center"/>
          </w:tcPr>
          <w:p>
            <w:pPr>
              <w:autoSpaceDN w:val="0"/>
              <w:jc w:val="center"/>
              <w:textAlignment w:val="center"/>
              <w:rPr>
                <w:rFonts w:ascii="Calibri" w:hAnsi="Calibri" w:eastAsia="华文细黑"/>
                <w:color w:val="000000"/>
                <w:sz w:val="18"/>
                <w:szCs w:val="18"/>
              </w:rPr>
            </w:pPr>
          </w:p>
        </w:tc>
        <w:tc>
          <w:tcPr>
            <w:tcW w:w="1107" w:type="dxa"/>
            <w:vAlign w:val="center"/>
          </w:tcPr>
          <w:p>
            <w:pPr>
              <w:spacing w:line="700" w:lineRule="exact"/>
              <w:jc w:val="center"/>
              <w:rPr>
                <w:rFonts w:ascii="Calibri" w:hAnsi="Calibri" w:eastAsia="楷体"/>
                <w:kern w:val="0"/>
                <w:sz w:val="18"/>
                <w:szCs w:val="18"/>
              </w:rPr>
            </w:pPr>
          </w:p>
        </w:tc>
        <w:tc>
          <w:tcPr>
            <w:tcW w:w="864" w:type="dxa"/>
            <w:vAlign w:val="center"/>
          </w:tcPr>
          <w:p>
            <w:pPr>
              <w:jc w:val="center"/>
              <w:rPr>
                <w:rFonts w:ascii="Calibri" w:hAnsi="Calibri" w:eastAsia="楷体"/>
                <w:kern w:val="0"/>
                <w:sz w:val="18"/>
                <w:szCs w:val="18"/>
              </w:rPr>
            </w:pPr>
          </w:p>
        </w:tc>
        <w:tc>
          <w:tcPr>
            <w:tcW w:w="613" w:type="dxa"/>
            <w:vAlign w:val="center"/>
          </w:tcPr>
          <w:p>
            <w:pPr>
              <w:widowControl/>
              <w:jc w:val="center"/>
              <w:textAlignment w:val="bottom"/>
              <w:rPr>
                <w:rFonts w:eastAsia="楷体"/>
                <w:kern w:val="0"/>
                <w:sz w:val="18"/>
                <w:szCs w:val="15"/>
              </w:rPr>
            </w:pPr>
            <w:r>
              <w:rPr>
                <w:rFonts w:eastAsia="宋体"/>
                <w:color w:val="000000"/>
                <w:kern w:val="0"/>
                <w:sz w:val="18"/>
                <w:szCs w:val="15"/>
                <w:lang/>
              </w:rPr>
              <w:t>12.46</w:t>
            </w:r>
          </w:p>
        </w:tc>
        <w:tc>
          <w:tcPr>
            <w:tcW w:w="600" w:type="dxa"/>
            <w:vAlign w:val="center"/>
          </w:tcPr>
          <w:p>
            <w:pPr>
              <w:widowControl/>
              <w:jc w:val="center"/>
              <w:textAlignment w:val="bottom"/>
              <w:rPr>
                <w:rFonts w:eastAsia="楷体"/>
                <w:kern w:val="0"/>
                <w:sz w:val="18"/>
                <w:szCs w:val="15"/>
              </w:rPr>
            </w:pPr>
            <w:r>
              <w:rPr>
                <w:rFonts w:eastAsia="宋体"/>
                <w:color w:val="000000"/>
                <w:kern w:val="0"/>
                <w:sz w:val="18"/>
                <w:szCs w:val="15"/>
                <w:lang/>
              </w:rPr>
              <w:t>12.46</w:t>
            </w:r>
          </w:p>
        </w:tc>
        <w:tc>
          <w:tcPr>
            <w:tcW w:w="392" w:type="dxa"/>
            <w:vAlign w:val="center"/>
          </w:tcPr>
          <w:p>
            <w:pPr>
              <w:jc w:val="center"/>
              <w:rPr>
                <w:rFonts w:eastAsia="楷体"/>
                <w:kern w:val="0"/>
                <w:sz w:val="18"/>
                <w:szCs w:val="15"/>
              </w:rPr>
            </w:pPr>
          </w:p>
        </w:tc>
        <w:tc>
          <w:tcPr>
            <w:tcW w:w="521" w:type="dxa"/>
            <w:vAlign w:val="center"/>
          </w:tcPr>
          <w:p>
            <w:pPr>
              <w:spacing w:line="700" w:lineRule="exact"/>
              <w:jc w:val="center"/>
              <w:rPr>
                <w:rFonts w:eastAsia="楷体"/>
                <w:kern w:val="0"/>
                <w:sz w:val="18"/>
                <w:szCs w:val="15"/>
              </w:rPr>
            </w:pPr>
          </w:p>
        </w:tc>
        <w:tc>
          <w:tcPr>
            <w:tcW w:w="564" w:type="dxa"/>
            <w:vAlign w:val="top"/>
          </w:tcPr>
          <w:p>
            <w:pPr>
              <w:spacing w:line="700" w:lineRule="exact"/>
              <w:rPr>
                <w:rFonts w:eastAsia="楷体"/>
                <w:kern w:val="0"/>
                <w:sz w:val="18"/>
                <w:szCs w:val="15"/>
              </w:rPr>
            </w:pPr>
          </w:p>
        </w:tc>
        <w:tc>
          <w:tcPr>
            <w:tcW w:w="532" w:type="dxa"/>
            <w:vAlign w:val="center"/>
          </w:tcPr>
          <w:p>
            <w:pPr>
              <w:jc w:val="center"/>
              <w:rPr>
                <w:rFonts w:ascii="Calibri" w:hAnsi="Calibri" w:eastAsia="楷体"/>
                <w:kern w:val="0"/>
                <w:sz w:val="15"/>
                <w:szCs w:val="15"/>
              </w:rPr>
            </w:pPr>
          </w:p>
        </w:tc>
        <w:tc>
          <w:tcPr>
            <w:tcW w:w="598" w:type="dxa"/>
            <w:vAlign w:val="center"/>
          </w:tcPr>
          <w:p>
            <w:pPr>
              <w:spacing w:line="700" w:lineRule="exact"/>
              <w:jc w:val="center"/>
              <w:rPr>
                <w:rFonts w:ascii="Calibri" w:hAnsi="Calibri" w:eastAsia="楷体"/>
                <w:kern w:val="0"/>
                <w:sz w:val="15"/>
                <w:szCs w:val="15"/>
              </w:rPr>
            </w:pPr>
          </w:p>
        </w:tc>
        <w:tc>
          <w:tcPr>
            <w:tcW w:w="443" w:type="dxa"/>
            <w:vAlign w:val="center"/>
          </w:tcPr>
          <w:p>
            <w:pPr>
              <w:spacing w:line="700" w:lineRule="exact"/>
              <w:jc w:val="center"/>
              <w:rPr>
                <w:rFonts w:ascii="Calibri" w:hAnsi="Calibri" w:eastAsia="楷体"/>
                <w:kern w:val="0"/>
                <w:sz w:val="15"/>
                <w:szCs w:val="15"/>
              </w:rPr>
            </w:pPr>
          </w:p>
        </w:tc>
        <w:tc>
          <w:tcPr>
            <w:tcW w:w="425" w:type="dxa"/>
            <w:vAlign w:val="center"/>
          </w:tcPr>
          <w:p>
            <w:pPr>
              <w:spacing w:line="700" w:lineRule="exact"/>
              <w:jc w:val="center"/>
              <w:rPr>
                <w:rFonts w:ascii="Calibri" w:hAnsi="Calibri" w:eastAsia="楷体"/>
                <w:kern w:val="0"/>
                <w:sz w:val="18"/>
                <w:szCs w:val="18"/>
              </w:rPr>
            </w:pPr>
          </w:p>
        </w:tc>
      </w:tr>
    </w:tbl>
    <w:p>
      <w:pPr>
        <w:spacing w:line="700" w:lineRule="exact"/>
        <w:rPr>
          <w:rFonts w:eastAsia="楷体"/>
          <w:kern w:val="0"/>
          <w:szCs w:val="32"/>
        </w:rPr>
      </w:pPr>
    </w:p>
    <w:tbl>
      <w:tblPr>
        <w:tblStyle w:val="11"/>
        <w:tblpPr w:leftFromText="180" w:rightFromText="180" w:vertAnchor="text" w:horzAnchor="page" w:tblpX="1217" w:tblpY="483"/>
        <w:tblOverlap w:val="never"/>
        <w:tblW w:w="95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r>
              <w:rPr>
                <w:rFonts w:hint="eastAsia" w:eastAsia="方正小标宋简体"/>
                <w:kern w:val="0"/>
                <w:sz w:val="36"/>
                <w:szCs w:val="36"/>
              </w:rPr>
              <w:t>项目支出绩效目标表</w:t>
            </w:r>
          </w:p>
          <w:p>
            <w:pPr>
              <w:widowControl/>
              <w:jc w:val="center"/>
              <w:textAlignment w:val="center"/>
              <w:rPr>
                <w:rFonts w:hint="eastAsia" w:ascii="黑体" w:hAnsi="宋体" w:eastAsia="黑体" w:cs="黑体"/>
                <w:color w:val="000000"/>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Arial" w:hAnsi="Arial" w:eastAsia="宋体" w:cs="Arial"/>
                <w:color w:val="000000"/>
                <w:kern w:val="0"/>
                <w:sz w:val="20"/>
                <w:lang/>
              </w:rPr>
              <w:t>通榆县第二实验小学校</w:t>
            </w:r>
            <w:r>
              <w:rPr>
                <w:rFonts w:ascii="Arial" w:hAnsi="Arial" w:eastAsia="宋体" w:cs="Arial"/>
                <w:color w:val="000000"/>
                <w:kern w:val="0"/>
                <w:sz w:val="20"/>
                <w:lang/>
              </w:rPr>
              <w:t>2024年校园安保人员工资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8.</w:t>
            </w:r>
            <w:r>
              <w:rPr>
                <w:rFonts w:ascii="宋体" w:hAnsi="宋体" w:eastAsia="宋体" w:cs="宋体"/>
                <w:color w:val="000000"/>
                <w:sz w:val="20"/>
              </w:rPr>
              <w:t>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8.</w:t>
            </w:r>
            <w:r>
              <w:rPr>
                <w:rFonts w:ascii="宋体" w:hAnsi="宋体" w:eastAsia="宋体" w:cs="宋体"/>
                <w:color w:val="000000"/>
                <w:sz w:val="20"/>
              </w:rPr>
              <w:t>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vAlign w:val="top"/>
          </w:tcPr>
          <w:p>
            <w:pPr>
              <w:autoSpaceDN w:val="0"/>
              <w:jc w:val="left"/>
              <w:textAlignment w:val="center"/>
              <w:rPr>
                <w:rFonts w:ascii="宋体" w:hAnsi="宋体" w:eastAsia="宋体" w:cs="宋体"/>
                <w:color w:val="000000"/>
                <w:sz w:val="20"/>
              </w:rPr>
            </w:pPr>
            <w:r>
              <w:rPr>
                <w:rFonts w:hint="eastAsia" w:ascii="宋体" w:hAnsi="宋体" w:eastAsia="宋体" w:cs="宋体"/>
                <w:color w:val="000000"/>
                <w:sz w:val="20"/>
              </w:rPr>
              <w:t>按文件要求支出此项资金，资金到位后及时足额进行发放，达到安保人员满意，教师及学生满意。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安保人员工资发放月数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12个月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保障标准符合率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ascii="宋体" w:hAnsi="宋体" w:eastAsia="宋体" w:cs="宋体"/>
                <w:color w:val="000000"/>
                <w:sz w:val="20"/>
              </w:rPr>
              <w:t>发放标准</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680元/人/月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发放及时率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ascii="宋体" w:hAnsi="宋体" w:eastAsia="宋体" w:cs="宋体"/>
                <w:color w:val="000000"/>
                <w:sz w:val="20"/>
              </w:rPr>
              <w:t>100</w:t>
            </w:r>
            <w:r>
              <w:rPr>
                <w:rFonts w:hint="eastAsia" w:ascii="宋体" w:hAnsi="宋体" w:eastAsia="宋体" w:cs="宋体"/>
                <w:color w:val="000000"/>
                <w:sz w:val="2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政策知晓率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安保人员满意度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99%</w:t>
            </w:r>
          </w:p>
        </w:tc>
      </w:tr>
    </w:tbl>
    <w:p>
      <w:pPr>
        <w:spacing w:line="700" w:lineRule="exact"/>
        <w:rPr>
          <w:rFonts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tbl>
      <w:tblPr>
        <w:tblStyle w:val="11"/>
        <w:tblpPr w:leftFromText="180" w:rightFromText="180" w:vertAnchor="text" w:horzAnchor="page" w:tblpX="1217" w:tblpY="483"/>
        <w:tblOverlap w:val="never"/>
        <w:tblW w:w="95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9582" w:type="dxa"/>
            <w:gridSpan w:val="5"/>
            <w:vAlign w:val="center"/>
          </w:tcPr>
          <w:p>
            <w:pPr>
              <w:widowControl/>
              <w:textAlignment w:val="center"/>
              <w:rPr>
                <w:rFonts w:hint="eastAsia" w:eastAsia="方正小标宋简体"/>
                <w:kern w:val="0"/>
                <w:sz w:val="36"/>
                <w:szCs w:val="36"/>
              </w:rPr>
            </w:pPr>
          </w:p>
          <w:p>
            <w:pPr>
              <w:widowControl/>
              <w:textAlignment w:val="center"/>
              <w:rPr>
                <w:rFonts w:hint="eastAsia" w:eastAsia="方正小标宋简体"/>
                <w:kern w:val="0"/>
                <w:sz w:val="36"/>
                <w:szCs w:val="36"/>
              </w:rPr>
            </w:pPr>
          </w:p>
          <w:p>
            <w:pPr>
              <w:widowControl/>
              <w:jc w:val="center"/>
              <w:textAlignment w:val="center"/>
              <w:rPr>
                <w:rFonts w:eastAsia="方正小标宋简体"/>
                <w:kern w:val="0"/>
                <w:sz w:val="36"/>
                <w:szCs w:val="36"/>
              </w:rPr>
            </w:pPr>
            <w:r>
              <w:rPr>
                <w:rFonts w:hint="eastAsia" w:eastAsia="方正小标宋简体"/>
                <w:kern w:val="0"/>
                <w:sz w:val="36"/>
                <w:szCs w:val="36"/>
              </w:rPr>
              <w:t>项目支出绩效目标表</w:t>
            </w:r>
          </w:p>
          <w:p>
            <w:pPr>
              <w:widowControl/>
              <w:jc w:val="center"/>
              <w:textAlignment w:val="center"/>
              <w:rPr>
                <w:rFonts w:hint="eastAsia" w:ascii="黑体" w:hAnsi="宋体" w:eastAsia="黑体" w:cs="黑体"/>
                <w:color w:val="000000"/>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ascii="Arial" w:hAnsi="Arial" w:eastAsia="宋体" w:cs="Arial"/>
                <w:color w:val="000000"/>
                <w:kern w:val="0"/>
                <w:sz w:val="20"/>
                <w:szCs w:val="15"/>
                <w:lang/>
              </w:rPr>
              <w:t>通榆县</w:t>
            </w:r>
            <w:r>
              <w:rPr>
                <w:rFonts w:hint="eastAsia" w:ascii="Arial" w:hAnsi="Arial" w:eastAsia="宋体" w:cs="Arial"/>
                <w:color w:val="000000"/>
                <w:kern w:val="0"/>
                <w:sz w:val="20"/>
                <w:szCs w:val="15"/>
                <w:lang/>
              </w:rPr>
              <w:t>第二实验</w:t>
            </w:r>
            <w:r>
              <w:rPr>
                <w:rFonts w:ascii="Arial" w:hAnsi="Arial" w:eastAsia="宋体" w:cs="Arial"/>
                <w:color w:val="000000"/>
                <w:kern w:val="0"/>
                <w:sz w:val="20"/>
                <w:szCs w:val="15"/>
                <w:lang/>
              </w:rPr>
              <w:t>小学校2024年驻村工作队生活补贴资金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ascii="宋体" w:hAnsi="宋体" w:eastAsia="宋体" w:cs="宋体"/>
                <w:color w:val="000000"/>
                <w:sz w:val="20"/>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ascii="宋体" w:hAnsi="宋体" w:eastAsia="宋体" w:cs="宋体"/>
                <w:color w:val="000000"/>
                <w:sz w:val="20"/>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vAlign w:val="top"/>
          </w:tcPr>
          <w:p>
            <w:pPr>
              <w:autoSpaceDN w:val="0"/>
              <w:jc w:val="left"/>
              <w:textAlignment w:val="center"/>
              <w:rPr>
                <w:rFonts w:ascii="宋体" w:hAnsi="宋体" w:eastAsia="宋体" w:cs="宋体"/>
                <w:color w:val="000000"/>
                <w:sz w:val="20"/>
              </w:rPr>
            </w:pPr>
            <w:r>
              <w:rPr>
                <w:rFonts w:hint="eastAsia" w:ascii="宋体" w:hAnsi="宋体" w:eastAsia="宋体" w:cs="宋体"/>
                <w:color w:val="000000"/>
                <w:sz w:val="20"/>
              </w:rPr>
              <w:t>按文件要求支出此项资金，资金到位后及时足额进行发放，达到驻村工作队队员满意。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驻村队员生活补贴发放月数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12个月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保障标准符合率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发放标准</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ascii="宋体" w:hAnsi="宋体" w:eastAsia="宋体" w:cs="宋体"/>
                <w:color w:val="000000"/>
                <w:sz w:val="20"/>
              </w:rPr>
              <w:t>100元</w:t>
            </w:r>
            <w:r>
              <w:rPr>
                <w:rFonts w:hint="eastAsia" w:ascii="宋体" w:hAnsi="宋体" w:eastAsia="宋体" w:cs="宋体"/>
                <w:color w:val="000000"/>
                <w:sz w:val="20"/>
              </w:rPr>
              <w:t>/人/天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发放及时率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ascii="宋体" w:hAnsi="宋体" w:eastAsia="宋体" w:cs="宋体"/>
                <w:color w:val="000000"/>
                <w:sz w:val="20"/>
              </w:rPr>
              <w:t>100</w:t>
            </w:r>
            <w:r>
              <w:rPr>
                <w:rFonts w:hint="eastAsia" w:ascii="宋体" w:hAnsi="宋体" w:eastAsia="宋体" w:cs="宋体"/>
                <w:color w:val="000000"/>
                <w:sz w:val="2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政策知晓率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驻村队员满意度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99%</w:t>
            </w:r>
          </w:p>
        </w:tc>
      </w:tr>
    </w:tbl>
    <w:p>
      <w:pPr>
        <w:spacing w:line="700" w:lineRule="exact"/>
        <w:rPr>
          <w:rFonts w:ascii="楷体" w:hAnsi="楷体" w:eastAsia="楷体" w:cs="楷体"/>
          <w:kern w:val="0"/>
          <w:sz w:val="24"/>
          <w:szCs w:val="24"/>
        </w:rPr>
      </w:pPr>
    </w:p>
    <w:p>
      <w:pPr>
        <w:ind w:firstLine="720" w:firstLineChars="200"/>
        <w:jc w:val="center"/>
        <w:rPr>
          <w:rFonts w:eastAsia="黑体"/>
          <w:sz w:val="36"/>
          <w:szCs w:val="36"/>
        </w:rPr>
      </w:pPr>
    </w:p>
    <w:p>
      <w:pPr>
        <w:ind w:firstLine="720" w:firstLineChars="200"/>
        <w:jc w:val="center"/>
        <w:rPr>
          <w:rFonts w:hint="eastAsia"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rPr>
        <w:t>2024</w:t>
      </w:r>
      <w:r>
        <w:rPr>
          <w:rFonts w:eastAsia="黑体"/>
          <w:szCs w:val="32"/>
        </w:rPr>
        <w:t>年收支预算总体情况</w:t>
      </w:r>
    </w:p>
    <w:p>
      <w:pPr>
        <w:ind w:firstLine="640" w:firstLineChars="200"/>
        <w:rPr>
          <w:rFonts w:ascii="仿宋_GB2312" w:hAnsi="仿宋_GB2312" w:cs="仿宋_GB2312"/>
          <w:szCs w:val="32"/>
        </w:rPr>
      </w:pPr>
      <w:r>
        <w:rPr>
          <w:rFonts w:hint="eastAsia" w:ascii="仿宋_GB2312" w:hAnsi="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w:t>
      </w:r>
      <w:r>
        <w:rPr>
          <w:rFonts w:hint="eastAsia" w:ascii="仿宋_GB2312" w:hAnsi="仿宋_GB2312" w:cs="仿宋_GB2312"/>
          <w:szCs w:val="32"/>
          <w:u w:val="single"/>
        </w:rPr>
        <w:t>1</w:t>
      </w:r>
      <w:r>
        <w:rPr>
          <w:rFonts w:ascii="仿宋_GB2312" w:hAnsi="仿宋_GB2312" w:cs="仿宋_GB2312"/>
          <w:szCs w:val="32"/>
          <w:u w:val="single"/>
        </w:rPr>
        <w:t>439.82</w:t>
      </w:r>
      <w:r>
        <w:rPr>
          <w:rFonts w:hint="eastAsia" w:ascii="仿宋_GB2312" w:hAnsi="仿宋_GB2312" w:cs="仿宋_GB2312"/>
          <w:szCs w:val="32"/>
        </w:rPr>
        <w:t>万元，其中：当年预算</w:t>
      </w:r>
      <w:r>
        <w:rPr>
          <w:rFonts w:hint="eastAsia" w:ascii="仿宋_GB2312" w:hAnsi="仿宋_GB2312" w:cs="仿宋_GB2312"/>
          <w:szCs w:val="32"/>
          <w:u w:val="single"/>
        </w:rPr>
        <w:t>1</w:t>
      </w:r>
      <w:r>
        <w:rPr>
          <w:rFonts w:ascii="仿宋_GB2312" w:hAnsi="仿宋_GB2312" w:cs="仿宋_GB2312"/>
          <w:szCs w:val="32"/>
          <w:u w:val="single"/>
        </w:rPr>
        <w:t>439.82</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万元。2024年当年预算比2023年预算减少</w:t>
      </w:r>
      <w:r>
        <w:rPr>
          <w:rFonts w:ascii="仿宋_GB2312" w:hAnsi="仿宋_GB2312" w:cs="仿宋_GB2312"/>
          <w:szCs w:val="32"/>
          <w:u w:val="single"/>
        </w:rPr>
        <w:t>239.8</w:t>
      </w:r>
      <w:r>
        <w:rPr>
          <w:rFonts w:hint="eastAsia" w:ascii="仿宋_GB2312" w:hAnsi="仿宋_GB2312" w:cs="仿宋_GB2312"/>
          <w:szCs w:val="32"/>
        </w:rPr>
        <w:t>万元，主要原因是</w:t>
      </w:r>
      <w:r>
        <w:rPr>
          <w:rFonts w:hint="eastAsia" w:ascii="仿宋_GB2312" w:hAnsi="仿宋_GB2312" w:cs="仿宋_GB2312"/>
          <w:szCs w:val="32"/>
          <w:u w:val="single"/>
        </w:rPr>
        <w:t>新增退休人员和在职死亡人员，导致人员经费等支出减少</w:t>
      </w:r>
      <w:r>
        <w:rPr>
          <w:rFonts w:hint="eastAsia" w:ascii="仿宋_GB2312" w:hAnsi="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二、2024年收入预算情况</w:t>
      </w:r>
    </w:p>
    <w:p>
      <w:pPr>
        <w:ind w:firstLine="640" w:firstLineChars="200"/>
        <w:rPr>
          <w:rFonts w:ascii="仿宋_GB2312" w:hAnsi="仿宋_GB2312" w:cs="仿宋_GB2312"/>
          <w:szCs w:val="32"/>
        </w:rPr>
      </w:pPr>
      <w:r>
        <w:rPr>
          <w:rFonts w:hint="eastAsia" w:ascii="仿宋_GB2312" w:hAnsi="仿宋_GB2312" w:cs="仿宋_GB2312"/>
          <w:szCs w:val="32"/>
        </w:rPr>
        <w:t>2024年收入预算</w:t>
      </w:r>
      <w:r>
        <w:rPr>
          <w:rFonts w:hint="eastAsia" w:ascii="仿宋_GB2312" w:hAnsi="仿宋_GB2312" w:cs="仿宋_GB2312"/>
          <w:szCs w:val="32"/>
          <w:u w:val="single"/>
        </w:rPr>
        <w:t>1</w:t>
      </w:r>
      <w:r>
        <w:rPr>
          <w:rFonts w:ascii="仿宋_GB2312" w:hAnsi="仿宋_GB2312" w:cs="仿宋_GB2312"/>
          <w:szCs w:val="32"/>
          <w:u w:val="single"/>
        </w:rPr>
        <w:t>439.82</w:t>
      </w:r>
      <w:r>
        <w:rPr>
          <w:rFonts w:hint="eastAsia" w:ascii="仿宋_GB2312" w:hAnsi="仿宋_GB2312" w:cs="仿宋_GB2312"/>
          <w:szCs w:val="32"/>
        </w:rPr>
        <w:t>万元，其中：本年收入</w:t>
      </w:r>
      <w:r>
        <w:rPr>
          <w:rFonts w:hint="eastAsia" w:ascii="仿宋_GB2312" w:hAnsi="仿宋_GB2312" w:cs="仿宋_GB2312"/>
          <w:szCs w:val="32"/>
          <w:u w:val="single"/>
        </w:rPr>
        <w:t>1</w:t>
      </w:r>
      <w:r>
        <w:rPr>
          <w:rFonts w:ascii="仿宋_GB2312" w:hAnsi="仿宋_GB2312" w:cs="仿宋_GB2312"/>
          <w:szCs w:val="32"/>
          <w:u w:val="single"/>
        </w:rPr>
        <w:t>439.82</w:t>
      </w:r>
      <w:r>
        <w:rPr>
          <w:rFonts w:hint="eastAsia" w:ascii="仿宋_GB2312" w:hAnsi="仿宋_GB2312" w:cs="仿宋_GB2312"/>
          <w:szCs w:val="32"/>
        </w:rPr>
        <w:t>万元，占</w:t>
      </w:r>
      <w:r>
        <w:rPr>
          <w:rFonts w:ascii="仿宋_GB2312" w:hAnsi="仿宋_GB2312" w:cs="仿宋_GB2312"/>
          <w:szCs w:val="32"/>
          <w:u w:val="single"/>
        </w:rPr>
        <w:t>100</w:t>
      </w:r>
      <w:r>
        <w:rPr>
          <w:rFonts w:hint="eastAsia" w:ascii="仿宋_GB2312" w:hAnsi="仿宋_GB2312" w:cs="仿宋_GB2312"/>
          <w:szCs w:val="32"/>
        </w:rPr>
        <w:t>%；上年结转</w:t>
      </w:r>
      <w:r>
        <w:rPr>
          <w:rFonts w:ascii="仿宋_GB2312" w:hAnsi="仿宋_GB2312" w:cs="仿宋_GB2312"/>
          <w:szCs w:val="32"/>
          <w:u w:val="single"/>
        </w:rPr>
        <w:t>0</w:t>
      </w:r>
      <w:r>
        <w:rPr>
          <w:rFonts w:hint="eastAsia" w:ascii="仿宋_GB2312" w:hAnsi="仿宋_GB2312" w:cs="仿宋_GB2312"/>
          <w:szCs w:val="32"/>
        </w:rPr>
        <w:t>万元，占</w:t>
      </w:r>
      <w:r>
        <w:rPr>
          <w:rFonts w:hint="eastAsia" w:ascii="仿宋_GB2312" w:hAnsi="仿宋_GB2312" w:cs="仿宋_GB2312"/>
          <w:szCs w:val="32"/>
          <w:u w:val="single"/>
        </w:rPr>
        <w:t>0</w:t>
      </w:r>
      <w:r>
        <w:rPr>
          <w:rFonts w:ascii="仿宋_GB2312" w:hAnsi="仿宋_GB2312" w:cs="仿宋_GB2312"/>
          <w:szCs w:val="32"/>
          <w:u w:val="single"/>
        </w:rPr>
        <w:t xml:space="preserve"> </w:t>
      </w:r>
      <w:r>
        <w:rPr>
          <w:rFonts w:hint="eastAsia" w:ascii="仿宋_GB2312" w:hAnsi="仿宋_GB2312" w:cs="仿宋_GB2312"/>
          <w:szCs w:val="32"/>
        </w:rPr>
        <w:t>%。本年收入中，一般公共预算拨款收入</w:t>
      </w:r>
      <w:r>
        <w:rPr>
          <w:rFonts w:hint="eastAsia" w:ascii="仿宋_GB2312" w:hAnsi="仿宋_GB2312" w:cs="仿宋_GB2312"/>
          <w:szCs w:val="32"/>
          <w:u w:val="single"/>
        </w:rPr>
        <w:t>1</w:t>
      </w:r>
      <w:r>
        <w:rPr>
          <w:rFonts w:ascii="仿宋_GB2312" w:hAnsi="仿宋_GB2312" w:cs="仿宋_GB2312"/>
          <w:szCs w:val="32"/>
          <w:u w:val="single"/>
        </w:rPr>
        <w:t>439.82</w:t>
      </w:r>
      <w:r>
        <w:rPr>
          <w:rFonts w:hint="eastAsia" w:ascii="仿宋_GB2312" w:hAnsi="仿宋_GB2312" w:cs="仿宋_GB2312"/>
          <w:szCs w:val="32"/>
        </w:rPr>
        <w:t>万元，占</w:t>
      </w:r>
      <w:r>
        <w:rPr>
          <w:rFonts w:hint="eastAsia" w:ascii="仿宋_GB2312" w:hAnsi="仿宋_GB2312" w:cs="仿宋_GB2312"/>
          <w:szCs w:val="32"/>
          <w:u w:val="single"/>
        </w:rPr>
        <w:t>100</w:t>
      </w:r>
      <w:r>
        <w:rPr>
          <w:rFonts w:hint="eastAsia" w:ascii="仿宋_GB2312" w:hAnsi="仿宋_GB2312" w:cs="仿宋_GB2312"/>
          <w:szCs w:val="32"/>
        </w:rPr>
        <w:t>%；政府性基金预算拨款收入</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%；国有资本经营预算拨款收入</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%；财政专户管理资金收入</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%；事业收入</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%；上级补助收入</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%；附属单位上缴收入</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%；事业单位经营收入</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%；其他收入</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%。上年结转中，一般公共预算拨款结转</w:t>
      </w:r>
      <w:r>
        <w:rPr>
          <w:rFonts w:hint="eastAsia" w:ascii="仿宋_GB2312" w:hAnsi="仿宋_GB2312" w:cs="仿宋_GB2312"/>
          <w:szCs w:val="32"/>
          <w:u w:val="single"/>
        </w:rPr>
        <w:t xml:space="preserve">  </w:t>
      </w:r>
      <w:r>
        <w:rPr>
          <w:rFonts w:ascii="仿宋_GB2312" w:hAnsi="仿宋_GB2312" w:cs="仿宋_GB2312"/>
          <w:szCs w:val="32"/>
          <w:u w:val="single"/>
        </w:rPr>
        <w:t>0</w:t>
      </w:r>
      <w:r>
        <w:rPr>
          <w:rFonts w:hint="eastAsia" w:ascii="仿宋_GB2312" w:hAnsi="仿宋_GB2312" w:cs="仿宋_GB2312"/>
          <w:szCs w:val="32"/>
          <w:u w:val="single"/>
        </w:rPr>
        <w:t xml:space="preserve">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%；政府性基金预算拨款结转</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%；国有资本经营预算拨款结转</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%；财政专户管理资金结转结余</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%；单位资金结转</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%；用事业基金弥补收支差额</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rPr>
        <w:t>未涉及到的资金填“0”。</w:t>
      </w:r>
    </w:p>
    <w:p>
      <w:pPr>
        <w:ind w:firstLine="640" w:firstLineChars="200"/>
        <w:rPr>
          <w:rFonts w:ascii="黑体" w:hAnsi="黑体" w:eastAsia="黑体" w:cs="黑体"/>
          <w:szCs w:val="32"/>
        </w:rPr>
      </w:pPr>
      <w:r>
        <w:rPr>
          <w:rFonts w:eastAsia="楷体"/>
          <w:szCs w:val="30"/>
        </w:rPr>
        <w:br w:type="page"/>
      </w:r>
      <w:r>
        <w:rPr>
          <w:rFonts w:hint="eastAsia" w:ascii="黑体" w:hAnsi="黑体" w:eastAsia="黑体" w:cs="黑体"/>
          <w:szCs w:val="32"/>
        </w:rPr>
        <w:t>三、2024年支出预算情况</w:t>
      </w:r>
    </w:p>
    <w:p>
      <w:pPr>
        <w:ind w:firstLine="640" w:firstLineChars="200"/>
        <w:rPr>
          <w:rFonts w:ascii="仿宋_GB2312" w:hAnsi="仿宋_GB2312" w:cs="仿宋_GB2312"/>
          <w:szCs w:val="32"/>
        </w:rPr>
      </w:pPr>
      <w:r>
        <w:rPr>
          <w:rFonts w:hint="eastAsia" w:ascii="仿宋_GB2312" w:hAnsi="仿宋_GB2312" w:cs="仿宋_GB2312"/>
          <w:szCs w:val="32"/>
        </w:rPr>
        <w:t>2024年支出预算</w:t>
      </w:r>
      <w:r>
        <w:rPr>
          <w:rFonts w:hint="eastAsia" w:ascii="仿宋_GB2312" w:hAnsi="仿宋_GB2312" w:cs="仿宋_GB2312"/>
          <w:szCs w:val="32"/>
          <w:u w:val="single"/>
        </w:rPr>
        <w:t>1</w:t>
      </w:r>
      <w:r>
        <w:rPr>
          <w:rFonts w:ascii="仿宋_GB2312" w:hAnsi="仿宋_GB2312" w:cs="仿宋_GB2312"/>
          <w:szCs w:val="32"/>
          <w:u w:val="single"/>
        </w:rPr>
        <w:t>439.82</w:t>
      </w:r>
      <w:r>
        <w:rPr>
          <w:rFonts w:hint="eastAsia" w:ascii="仿宋_GB2312" w:hAnsi="仿宋_GB2312" w:cs="仿宋_GB2312"/>
          <w:szCs w:val="32"/>
        </w:rPr>
        <w:t>万元，其中：基本支出</w:t>
      </w:r>
      <w:r>
        <w:rPr>
          <w:rFonts w:hint="eastAsia" w:ascii="仿宋_GB2312" w:hAnsi="仿宋_GB2312" w:cs="仿宋_GB2312"/>
          <w:szCs w:val="32"/>
          <w:u w:val="single"/>
        </w:rPr>
        <w:t>1</w:t>
      </w:r>
      <w:r>
        <w:rPr>
          <w:rFonts w:ascii="仿宋_GB2312" w:hAnsi="仿宋_GB2312" w:cs="仿宋_GB2312"/>
          <w:szCs w:val="32"/>
          <w:u w:val="single"/>
        </w:rPr>
        <w:t>427.36</w:t>
      </w:r>
      <w:r>
        <w:rPr>
          <w:rFonts w:hint="eastAsia" w:ascii="仿宋_GB2312" w:hAnsi="仿宋_GB2312" w:cs="仿宋_GB2312"/>
          <w:szCs w:val="32"/>
        </w:rPr>
        <w:t>万元，占</w:t>
      </w:r>
      <w:r>
        <w:rPr>
          <w:rFonts w:hint="eastAsia" w:ascii="仿宋_GB2312" w:hAnsi="仿宋_GB2312" w:cs="仿宋_GB2312"/>
          <w:szCs w:val="32"/>
          <w:u w:val="single"/>
        </w:rPr>
        <w:t>9</w:t>
      </w:r>
      <w:r>
        <w:rPr>
          <w:rFonts w:ascii="仿宋_GB2312" w:hAnsi="仿宋_GB2312" w:cs="仿宋_GB2312"/>
          <w:szCs w:val="32"/>
          <w:u w:val="single"/>
        </w:rPr>
        <w:t>9</w:t>
      </w:r>
      <w:r>
        <w:rPr>
          <w:rFonts w:hint="eastAsia" w:ascii="仿宋_GB2312" w:hAnsi="仿宋_GB2312" w:cs="仿宋_GB2312"/>
          <w:szCs w:val="32"/>
        </w:rPr>
        <w:t>%；项目支出</w:t>
      </w:r>
      <w:r>
        <w:rPr>
          <w:rFonts w:ascii="仿宋_GB2312" w:hAnsi="仿宋_GB2312" w:cs="仿宋_GB2312"/>
          <w:szCs w:val="32"/>
          <w:u w:val="single"/>
        </w:rPr>
        <w:t>12.46</w:t>
      </w:r>
      <w:r>
        <w:rPr>
          <w:rFonts w:hint="eastAsia" w:ascii="仿宋_GB2312" w:hAnsi="仿宋_GB2312" w:cs="仿宋_GB2312"/>
          <w:szCs w:val="32"/>
        </w:rPr>
        <w:t>万元，占</w:t>
      </w:r>
      <w:r>
        <w:rPr>
          <w:rFonts w:hint="eastAsia" w:ascii="仿宋_GB2312" w:hAnsi="仿宋_GB2312" w:cs="仿宋_GB2312"/>
          <w:szCs w:val="32"/>
          <w:u w:val="single"/>
        </w:rPr>
        <w:t>1</w:t>
      </w:r>
      <w:r>
        <w:rPr>
          <w:rFonts w:hint="eastAsia" w:ascii="仿宋_GB2312" w:hAnsi="仿宋_GB2312" w:cs="仿宋_GB2312"/>
          <w:szCs w:val="32"/>
        </w:rPr>
        <w:t>%；事业单位经营支出</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%；上缴上级支出</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%；对附属单位补助支出</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ascii="黑体" w:hAnsi="黑体" w:eastAsia="黑体" w:cs="黑体"/>
          <w:szCs w:val="32"/>
        </w:rPr>
      </w:pPr>
      <w:r>
        <w:rPr>
          <w:rFonts w:eastAsia="楷体"/>
          <w:szCs w:val="32"/>
        </w:rPr>
        <w:br w:type="page"/>
      </w:r>
      <w:r>
        <w:rPr>
          <w:rFonts w:hint="eastAsia" w:ascii="黑体" w:hAnsi="黑体" w:eastAsia="黑体" w:cs="黑体"/>
          <w:szCs w:val="32"/>
        </w:rPr>
        <w:t>四、2024年财政拨款收支预算情况</w:t>
      </w:r>
    </w:p>
    <w:p>
      <w:pPr>
        <w:ind w:firstLine="600"/>
        <w:rPr>
          <w:szCs w:val="32"/>
        </w:rPr>
      </w:pPr>
      <w:r>
        <w:rPr>
          <w:rFonts w:hint="eastAsia" w:ascii="仿宋_GB2312" w:hAnsi="仿宋_GB2312" w:cs="仿宋_GB2312"/>
          <w:szCs w:val="32"/>
        </w:rPr>
        <w:t>2024年财政拨款收支总预算</w:t>
      </w:r>
      <w:r>
        <w:rPr>
          <w:rFonts w:hint="eastAsia" w:ascii="仿宋_GB2312" w:hAnsi="仿宋_GB2312" w:cs="仿宋_GB2312"/>
          <w:szCs w:val="32"/>
          <w:u w:val="single"/>
        </w:rPr>
        <w:t>1</w:t>
      </w:r>
      <w:r>
        <w:rPr>
          <w:rFonts w:ascii="仿宋_GB2312" w:hAnsi="仿宋_GB2312" w:cs="仿宋_GB2312"/>
          <w:szCs w:val="32"/>
          <w:u w:val="single"/>
        </w:rPr>
        <w:t>439.82</w:t>
      </w:r>
      <w:r>
        <w:rPr>
          <w:rFonts w:hint="eastAsia" w:ascii="仿宋_GB2312" w:hAnsi="仿宋_GB2312" w:cs="仿宋_GB2312"/>
          <w:szCs w:val="32"/>
        </w:rPr>
        <w:t>万元，其中：本年收入</w:t>
      </w:r>
      <w:r>
        <w:rPr>
          <w:rFonts w:hint="eastAsia" w:ascii="仿宋_GB2312" w:hAnsi="仿宋_GB2312" w:cs="仿宋_GB2312"/>
          <w:szCs w:val="32"/>
          <w:u w:val="single"/>
        </w:rPr>
        <w:t>1</w:t>
      </w:r>
      <w:r>
        <w:rPr>
          <w:rFonts w:ascii="仿宋_GB2312" w:hAnsi="仿宋_GB2312" w:cs="仿宋_GB2312"/>
          <w:szCs w:val="32"/>
          <w:u w:val="single"/>
        </w:rPr>
        <w:t>439.82</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万元。支出包括：</w:t>
      </w:r>
      <w:r>
        <w:rPr>
          <w:rFonts w:hint="eastAsia" w:ascii="仿宋_GB2312" w:hAnsi="仿宋_GB2312" w:cs="仿宋_GB2312"/>
          <w:kern w:val="0"/>
          <w:szCs w:val="32"/>
        </w:rPr>
        <w:t>一般公共服务支出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国防支出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公共安全支出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教育支出</w:t>
      </w:r>
      <w:r>
        <w:rPr>
          <w:rFonts w:hint="eastAsia" w:ascii="仿宋_GB2312" w:hAnsi="仿宋_GB2312" w:cs="仿宋_GB2312"/>
          <w:szCs w:val="32"/>
          <w:u w:val="single"/>
        </w:rPr>
        <w:t xml:space="preserve">  1</w:t>
      </w:r>
      <w:r>
        <w:rPr>
          <w:rFonts w:ascii="仿宋_GB2312" w:hAnsi="仿宋_GB2312" w:cs="仿宋_GB2312"/>
          <w:szCs w:val="32"/>
          <w:u w:val="single"/>
        </w:rPr>
        <w:t>045.59</w:t>
      </w:r>
      <w:r>
        <w:rPr>
          <w:rFonts w:hint="eastAsia" w:ascii="仿宋_GB2312" w:hAnsi="仿宋_GB2312" w:cs="仿宋_GB2312"/>
          <w:szCs w:val="32"/>
          <w:u w:val="single"/>
        </w:rPr>
        <w:t xml:space="preserve">  </w:t>
      </w:r>
      <w:r>
        <w:rPr>
          <w:rFonts w:hint="eastAsia" w:ascii="仿宋_GB2312" w:hAnsi="仿宋_GB2312" w:cs="仿宋_GB2312"/>
          <w:szCs w:val="32"/>
        </w:rPr>
        <w:t>万元，</w:t>
      </w:r>
      <w:r>
        <w:rPr>
          <w:rFonts w:hint="eastAsia" w:ascii="仿宋_GB2312" w:hAnsi="仿宋_GB2312" w:cs="仿宋_GB2312"/>
          <w:kern w:val="0"/>
          <w:szCs w:val="32"/>
        </w:rPr>
        <w:t>科学技术支出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文化旅游体育与传媒支出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社会保障和就业支出</w:t>
      </w:r>
      <w:r>
        <w:rPr>
          <w:rFonts w:hint="eastAsia" w:ascii="仿宋_GB2312" w:hAnsi="仿宋_GB2312" w:cs="仿宋_GB2312"/>
          <w:szCs w:val="32"/>
          <w:u w:val="single"/>
        </w:rPr>
        <w:t xml:space="preserve">  2</w:t>
      </w:r>
      <w:r>
        <w:rPr>
          <w:rFonts w:ascii="仿宋_GB2312" w:hAnsi="仿宋_GB2312" w:cs="仿宋_GB2312"/>
          <w:szCs w:val="32"/>
          <w:u w:val="single"/>
        </w:rPr>
        <w:t>07.02</w:t>
      </w:r>
      <w:r>
        <w:rPr>
          <w:rFonts w:hint="eastAsia" w:ascii="仿宋_GB2312" w:hAnsi="仿宋_GB2312" w:cs="仿宋_GB2312"/>
          <w:szCs w:val="32"/>
          <w:u w:val="single"/>
        </w:rPr>
        <w:t xml:space="preserve">  </w:t>
      </w:r>
      <w:r>
        <w:rPr>
          <w:rFonts w:hint="eastAsia" w:ascii="仿宋_GB2312" w:hAnsi="仿宋_GB2312" w:cs="仿宋_GB2312"/>
          <w:szCs w:val="32"/>
        </w:rPr>
        <w:t>万元，</w:t>
      </w:r>
      <w:r>
        <w:rPr>
          <w:rFonts w:hint="eastAsia" w:ascii="仿宋_GB2312" w:hAnsi="仿宋_GB2312" w:cs="仿宋_GB2312"/>
          <w:kern w:val="0"/>
          <w:szCs w:val="32"/>
        </w:rPr>
        <w:t>社会保险基金支出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卫生健康支出</w:t>
      </w:r>
      <w:r>
        <w:rPr>
          <w:rFonts w:hint="eastAsia" w:ascii="仿宋_GB2312" w:hAnsi="仿宋_GB2312" w:cs="仿宋_GB2312"/>
          <w:szCs w:val="32"/>
          <w:u w:val="single"/>
        </w:rPr>
        <w:t xml:space="preserve">  </w:t>
      </w:r>
      <w:r>
        <w:rPr>
          <w:rFonts w:ascii="仿宋_GB2312" w:hAnsi="仿宋_GB2312" w:cs="仿宋_GB2312"/>
          <w:szCs w:val="32"/>
          <w:u w:val="single"/>
        </w:rPr>
        <w:t>66.94</w:t>
      </w:r>
      <w:r>
        <w:rPr>
          <w:rFonts w:hint="eastAsia" w:ascii="仿宋_GB2312" w:hAnsi="仿宋_GB2312" w:cs="仿宋_GB2312"/>
          <w:szCs w:val="32"/>
          <w:u w:val="single"/>
        </w:rPr>
        <w:t xml:space="preserve">  </w:t>
      </w:r>
      <w:r>
        <w:rPr>
          <w:rFonts w:hint="eastAsia" w:ascii="仿宋_GB2312" w:hAnsi="仿宋_GB2312" w:cs="仿宋_GB2312"/>
          <w:szCs w:val="32"/>
        </w:rPr>
        <w:t>万元，</w:t>
      </w:r>
      <w:r>
        <w:rPr>
          <w:rFonts w:hint="eastAsia" w:ascii="仿宋_GB2312" w:hAnsi="仿宋_GB2312" w:cs="仿宋_GB2312"/>
          <w:kern w:val="0"/>
          <w:szCs w:val="32"/>
        </w:rPr>
        <w:t>节能环保支出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城乡社区支出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农林水支出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交通运输支出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资源勘探信息等支出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商业服务业等支出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金融支出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援助其他地区支出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自然资源海洋气象等支出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住房保障支出</w:t>
      </w:r>
      <w:r>
        <w:rPr>
          <w:rFonts w:hint="eastAsia" w:ascii="仿宋_GB2312" w:hAnsi="仿宋_GB2312" w:cs="仿宋_GB2312"/>
          <w:szCs w:val="32"/>
          <w:u w:val="single"/>
        </w:rPr>
        <w:t xml:space="preserve">  1</w:t>
      </w:r>
      <w:r>
        <w:rPr>
          <w:rFonts w:ascii="仿宋_GB2312" w:hAnsi="仿宋_GB2312" w:cs="仿宋_GB2312"/>
          <w:szCs w:val="32"/>
          <w:u w:val="single"/>
        </w:rPr>
        <w:t>20.26</w:t>
      </w:r>
      <w:r>
        <w:rPr>
          <w:rFonts w:hint="eastAsia" w:ascii="仿宋_GB2312" w:hAnsi="仿宋_GB2312" w:cs="仿宋_GB2312"/>
          <w:szCs w:val="32"/>
          <w:u w:val="single"/>
        </w:rPr>
        <w:t xml:space="preserve">  </w:t>
      </w:r>
      <w:r>
        <w:rPr>
          <w:rFonts w:hint="eastAsia" w:ascii="仿宋_GB2312" w:hAnsi="仿宋_GB2312" w:cs="仿宋_GB2312"/>
          <w:szCs w:val="32"/>
        </w:rPr>
        <w:t>万元，</w:t>
      </w:r>
      <w:r>
        <w:rPr>
          <w:rFonts w:hint="eastAsia" w:ascii="仿宋_GB2312" w:hAnsi="仿宋_GB2312" w:cs="仿宋_GB2312"/>
          <w:kern w:val="0"/>
          <w:szCs w:val="32"/>
        </w:rPr>
        <w:t>粮油物资储备支出</w:t>
      </w:r>
      <w:r>
        <w:rPr>
          <w:rFonts w:hint="eastAsia" w:ascii="仿宋_GB2312" w:hAnsi="仿宋_GB2312" w:cs="仿宋_GB2312"/>
          <w:szCs w:val="32"/>
          <w:u w:val="single"/>
        </w:rPr>
        <w:t xml:space="preserve">  0  </w:t>
      </w:r>
      <w:r>
        <w:rPr>
          <w:rFonts w:hint="eastAsia" w:ascii="仿宋_GB2312" w:hAnsi="仿宋_GB2312" w:cs="仿宋_GB2312"/>
          <w:szCs w:val="32"/>
        </w:rPr>
        <w:t>万元，灾害防治及应急管理支出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其他支出</w:t>
      </w:r>
      <w:r>
        <w:rPr>
          <w:rFonts w:hint="eastAsia" w:ascii="仿宋_GB2312" w:hAnsi="仿宋_GB2312" w:cs="仿宋_GB2312"/>
          <w:szCs w:val="32"/>
          <w:u w:val="single"/>
        </w:rPr>
        <w:t xml:space="preserve">  0  </w:t>
      </w:r>
      <w:r>
        <w:rPr>
          <w:rFonts w:hint="eastAsia" w:ascii="仿宋_GB2312" w:hAnsi="仿宋_GB2312" w:cs="仿宋_GB2312"/>
          <w:szCs w:val="32"/>
        </w:rPr>
        <w:t>万元，</w:t>
      </w:r>
      <w:r>
        <w:rPr>
          <w:rFonts w:hint="eastAsia" w:ascii="仿宋_GB2312" w:hAnsi="仿宋_GB2312" w:cs="仿宋_GB2312"/>
          <w:kern w:val="0"/>
          <w:szCs w:val="32"/>
        </w:rPr>
        <w:t>结转下年支出</w:t>
      </w:r>
      <w:r>
        <w:rPr>
          <w:rFonts w:hint="eastAsia" w:ascii="仿宋_GB2312" w:hAnsi="仿宋_GB2312" w:cs="仿宋_GB2312"/>
          <w:szCs w:val="32"/>
          <w:u w:val="single"/>
        </w:rPr>
        <w:t xml:space="preserve">  0  </w:t>
      </w:r>
      <w:r>
        <w:rPr>
          <w:rFonts w:hint="eastAsia" w:ascii="仿宋_GB2312" w:hAnsi="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五、2024年一般公共预算支出情况</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2024年一般公共预算拨款</w:t>
      </w:r>
      <w:r>
        <w:rPr>
          <w:rFonts w:hint="eastAsia" w:ascii="仿宋_GB2312" w:hAnsi="仿宋_GB2312" w:cs="仿宋_GB2312"/>
          <w:szCs w:val="32"/>
          <w:u w:val="single"/>
        </w:rPr>
        <w:t>1</w:t>
      </w:r>
      <w:r>
        <w:rPr>
          <w:rFonts w:ascii="仿宋_GB2312" w:hAnsi="仿宋_GB2312" w:cs="仿宋_GB2312"/>
          <w:szCs w:val="32"/>
          <w:u w:val="single"/>
        </w:rPr>
        <w:t>439.82</w:t>
      </w:r>
      <w:r>
        <w:rPr>
          <w:rFonts w:hint="eastAsia" w:ascii="仿宋_GB2312" w:hAnsi="仿宋_GB2312" w:cs="仿宋_GB2312"/>
          <w:szCs w:val="32"/>
        </w:rPr>
        <w:t>万元，其中：基本支出</w:t>
      </w:r>
      <w:r>
        <w:rPr>
          <w:rFonts w:hint="eastAsia" w:ascii="仿宋_GB2312" w:hAnsi="仿宋_GB2312" w:cs="仿宋_GB2312"/>
          <w:szCs w:val="32"/>
          <w:u w:val="single"/>
        </w:rPr>
        <w:t>1</w:t>
      </w:r>
      <w:r>
        <w:rPr>
          <w:rFonts w:ascii="仿宋_GB2312" w:hAnsi="仿宋_GB2312" w:cs="仿宋_GB2312"/>
          <w:szCs w:val="32"/>
          <w:u w:val="single"/>
        </w:rPr>
        <w:t>427.36</w:t>
      </w:r>
      <w:r>
        <w:rPr>
          <w:rFonts w:hint="eastAsia" w:ascii="仿宋_GB2312" w:hAnsi="仿宋_GB2312" w:cs="仿宋_GB2312"/>
          <w:szCs w:val="32"/>
        </w:rPr>
        <w:t>万元，占</w:t>
      </w:r>
      <w:r>
        <w:rPr>
          <w:rFonts w:hint="eastAsia" w:ascii="仿宋_GB2312" w:hAnsi="仿宋_GB2312" w:cs="仿宋_GB2312"/>
          <w:szCs w:val="32"/>
          <w:u w:val="single"/>
        </w:rPr>
        <w:t>9</w:t>
      </w:r>
      <w:r>
        <w:rPr>
          <w:rFonts w:ascii="仿宋_GB2312" w:hAnsi="仿宋_GB2312" w:cs="仿宋_GB2312"/>
          <w:szCs w:val="32"/>
          <w:u w:val="single"/>
        </w:rPr>
        <w:t>9</w:t>
      </w:r>
      <w:r>
        <w:rPr>
          <w:rFonts w:hint="eastAsia" w:ascii="仿宋_GB2312" w:hAnsi="仿宋_GB2312" w:cs="仿宋_GB2312"/>
          <w:szCs w:val="32"/>
        </w:rPr>
        <w:t>%；项目支出</w:t>
      </w:r>
      <w:r>
        <w:rPr>
          <w:rFonts w:ascii="仿宋_GB2312" w:hAnsi="仿宋_GB2312" w:cs="仿宋_GB2312"/>
          <w:szCs w:val="32"/>
          <w:u w:val="single"/>
        </w:rPr>
        <w:t>12.46</w:t>
      </w:r>
      <w:r>
        <w:rPr>
          <w:rFonts w:hint="eastAsia" w:ascii="仿宋_GB2312" w:hAnsi="仿宋_GB2312" w:cs="仿宋_GB2312"/>
          <w:szCs w:val="32"/>
        </w:rPr>
        <w:t>万元，占</w:t>
      </w:r>
      <w:r>
        <w:rPr>
          <w:rFonts w:ascii="仿宋_GB2312" w:hAnsi="仿宋_GB2312" w:cs="仿宋_GB2312"/>
          <w:szCs w:val="32"/>
          <w:u w:val="single"/>
        </w:rPr>
        <w:t>1</w:t>
      </w:r>
      <w:r>
        <w:rPr>
          <w:rFonts w:hint="eastAsia" w:ascii="仿宋_GB2312" w:hAnsi="仿宋_GB2312" w:cs="仿宋_GB2312"/>
          <w:szCs w:val="32"/>
        </w:rPr>
        <w:t>%。基本支出中，人员经费</w:t>
      </w:r>
      <w:r>
        <w:rPr>
          <w:rFonts w:hint="eastAsia" w:ascii="仿宋_GB2312" w:hAnsi="仿宋_GB2312" w:cs="仿宋_GB2312"/>
          <w:szCs w:val="32"/>
          <w:u w:val="single"/>
        </w:rPr>
        <w:t>1</w:t>
      </w:r>
      <w:r>
        <w:rPr>
          <w:rFonts w:ascii="仿宋_GB2312" w:hAnsi="仿宋_GB2312" w:cs="仿宋_GB2312"/>
          <w:szCs w:val="32"/>
          <w:u w:val="single"/>
        </w:rPr>
        <w:t>427.36</w:t>
      </w:r>
      <w:r>
        <w:rPr>
          <w:rFonts w:hint="eastAsia" w:ascii="仿宋_GB2312" w:hAnsi="仿宋_GB2312" w:cs="仿宋_GB2312"/>
          <w:szCs w:val="32"/>
        </w:rPr>
        <w:t>万元，占</w:t>
      </w:r>
      <w:r>
        <w:rPr>
          <w:rFonts w:hint="eastAsia" w:ascii="仿宋_GB2312" w:hAnsi="仿宋_GB2312" w:cs="仿宋_GB2312"/>
          <w:szCs w:val="32"/>
          <w:u w:val="single"/>
        </w:rPr>
        <w:t>100</w:t>
      </w:r>
      <w:r>
        <w:rPr>
          <w:rFonts w:hint="eastAsia" w:ascii="仿宋_GB2312" w:hAnsi="仿宋_GB2312" w:cs="仿宋_GB2312"/>
          <w:szCs w:val="32"/>
        </w:rPr>
        <w:t>%；公用经费</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一般公共服务（类）支出</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%，主要用于_____________________。</w:t>
      </w:r>
    </w:p>
    <w:p>
      <w:pPr>
        <w:spacing w:line="520" w:lineRule="exact"/>
        <w:ind w:firstLine="200"/>
        <w:rPr>
          <w:rFonts w:ascii="仿宋_GB2312" w:hAnsi="仿宋_GB2312" w:cs="仿宋_GB2312"/>
          <w:szCs w:val="32"/>
        </w:rPr>
      </w:pPr>
      <w:r>
        <w:rPr>
          <w:rFonts w:hint="eastAsia" w:ascii="仿宋_GB2312" w:hAnsi="仿宋_GB2312" w:cs="仿宋_GB2312"/>
          <w:szCs w:val="32"/>
        </w:rPr>
        <w:t>国防（类）支出</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%，主要用于_____________________。</w:t>
      </w:r>
    </w:p>
    <w:p>
      <w:pPr>
        <w:spacing w:line="520" w:lineRule="exact"/>
        <w:ind w:firstLine="200"/>
        <w:rPr>
          <w:rFonts w:ascii="仿宋_GB2312" w:hAnsi="仿宋_GB2312" w:cs="仿宋_GB2312"/>
          <w:szCs w:val="32"/>
        </w:rPr>
      </w:pPr>
      <w:r>
        <w:rPr>
          <w:rFonts w:hint="eastAsia" w:ascii="仿宋_GB2312" w:hAnsi="仿宋_GB2312" w:cs="仿宋_GB2312"/>
          <w:szCs w:val="32"/>
        </w:rPr>
        <w:t>教育（类）支出</w:t>
      </w:r>
      <w:r>
        <w:rPr>
          <w:rFonts w:hint="eastAsia" w:ascii="仿宋_GB2312" w:hAnsi="仿宋_GB2312" w:cs="仿宋_GB2312"/>
          <w:szCs w:val="32"/>
          <w:u w:val="single"/>
        </w:rPr>
        <w:t xml:space="preserve">  1</w:t>
      </w:r>
      <w:r>
        <w:rPr>
          <w:rFonts w:ascii="仿宋_GB2312" w:hAnsi="仿宋_GB2312" w:cs="仿宋_GB2312"/>
          <w:szCs w:val="32"/>
          <w:u w:val="single"/>
        </w:rPr>
        <w:t>045.59</w:t>
      </w:r>
      <w:r>
        <w:rPr>
          <w:rFonts w:hint="eastAsia" w:ascii="仿宋_GB2312" w:hAnsi="仿宋_GB2312" w:cs="仿宋_GB2312"/>
          <w:szCs w:val="32"/>
          <w:u w:val="single"/>
        </w:rPr>
        <w:t xml:space="preserve">  </w:t>
      </w:r>
      <w:r>
        <w:rPr>
          <w:rFonts w:hint="eastAsia" w:ascii="仿宋_GB2312" w:hAnsi="仿宋_GB2312" w:cs="仿宋_GB2312"/>
          <w:szCs w:val="32"/>
        </w:rPr>
        <w:t>万元，占</w:t>
      </w:r>
      <w:r>
        <w:rPr>
          <w:rFonts w:hint="eastAsia" w:ascii="仿宋_GB2312" w:hAnsi="仿宋_GB2312" w:cs="仿宋_GB2312"/>
          <w:szCs w:val="32"/>
          <w:u w:val="single"/>
        </w:rPr>
        <w:t>7</w:t>
      </w:r>
      <w:r>
        <w:rPr>
          <w:rFonts w:ascii="仿宋_GB2312" w:hAnsi="仿宋_GB2312" w:cs="仿宋_GB2312"/>
          <w:szCs w:val="32"/>
          <w:u w:val="single"/>
        </w:rPr>
        <w:t>2.6</w:t>
      </w:r>
      <w:r>
        <w:rPr>
          <w:rFonts w:hint="eastAsia" w:ascii="仿宋_GB2312" w:hAnsi="仿宋_GB2312" w:cs="仿宋_GB2312"/>
          <w:szCs w:val="32"/>
        </w:rPr>
        <w:t>%，主要用于</w:t>
      </w:r>
      <w:r>
        <w:rPr>
          <w:rFonts w:hint="eastAsia" w:ascii="仿宋_GB2312" w:hAnsi="仿宋_GB2312" w:cs="仿宋_GB2312"/>
          <w:szCs w:val="32"/>
          <w:u w:val="single"/>
        </w:rPr>
        <w:t>在职及退休人员工资及补贴的支出</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科学技术（类）支出</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%，主要用于_____________________。</w:t>
      </w:r>
    </w:p>
    <w:p>
      <w:pPr>
        <w:spacing w:line="520" w:lineRule="exact"/>
        <w:ind w:firstLine="200"/>
        <w:rPr>
          <w:rFonts w:ascii="仿宋_GB2312" w:hAnsi="仿宋_GB2312" w:cs="仿宋_GB2312"/>
          <w:szCs w:val="32"/>
        </w:rPr>
      </w:pPr>
      <w:r>
        <w:rPr>
          <w:rFonts w:hint="eastAsia" w:ascii="仿宋_GB2312" w:hAnsi="仿宋_GB2312" w:cs="仿宋_GB2312"/>
          <w:szCs w:val="32"/>
        </w:rPr>
        <w:t>文化旅游体育与传媒（类）支出</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%，主要用于_____________________。</w:t>
      </w:r>
    </w:p>
    <w:p>
      <w:pPr>
        <w:spacing w:line="520" w:lineRule="exact"/>
        <w:ind w:firstLine="200"/>
        <w:rPr>
          <w:rFonts w:ascii="仿宋_GB2312" w:hAnsi="仿宋_GB2312" w:cs="仿宋_GB2312"/>
          <w:szCs w:val="32"/>
        </w:rPr>
      </w:pPr>
      <w:r>
        <w:rPr>
          <w:rFonts w:hint="eastAsia" w:ascii="仿宋_GB2312" w:hAnsi="仿宋_GB2312" w:cs="仿宋_GB2312"/>
          <w:szCs w:val="32"/>
        </w:rPr>
        <w:t>社会保障和就业（类）支出</w:t>
      </w:r>
      <w:r>
        <w:rPr>
          <w:rFonts w:hint="eastAsia" w:ascii="仿宋_GB2312" w:hAnsi="仿宋_GB2312" w:cs="仿宋_GB2312"/>
          <w:szCs w:val="32"/>
          <w:u w:val="single"/>
        </w:rPr>
        <w:t xml:space="preserve">  2</w:t>
      </w:r>
      <w:r>
        <w:rPr>
          <w:rFonts w:ascii="仿宋_GB2312" w:hAnsi="仿宋_GB2312" w:cs="仿宋_GB2312"/>
          <w:szCs w:val="32"/>
          <w:u w:val="single"/>
        </w:rPr>
        <w:t>07.02</w:t>
      </w:r>
      <w:r>
        <w:rPr>
          <w:rFonts w:hint="eastAsia" w:ascii="仿宋_GB2312" w:hAnsi="仿宋_GB2312" w:cs="仿宋_GB2312"/>
          <w:szCs w:val="32"/>
          <w:u w:val="single"/>
        </w:rPr>
        <w:t xml:space="preserve">  </w:t>
      </w:r>
      <w:r>
        <w:rPr>
          <w:rFonts w:hint="eastAsia" w:ascii="仿宋_GB2312" w:hAnsi="仿宋_GB2312" w:cs="仿宋_GB2312"/>
          <w:szCs w:val="32"/>
        </w:rPr>
        <w:t>万元，占</w:t>
      </w:r>
      <w:r>
        <w:rPr>
          <w:rFonts w:ascii="仿宋_GB2312" w:hAnsi="仿宋_GB2312" w:cs="仿宋_GB2312"/>
          <w:szCs w:val="32"/>
          <w:u w:val="single"/>
        </w:rPr>
        <w:t>14.4</w:t>
      </w:r>
      <w:r>
        <w:rPr>
          <w:rFonts w:hint="eastAsia" w:ascii="仿宋_GB2312" w:hAnsi="仿宋_GB2312" w:cs="仿宋_GB2312"/>
          <w:szCs w:val="32"/>
        </w:rPr>
        <w:t>%，主要用于</w:t>
      </w:r>
      <w:r>
        <w:rPr>
          <w:rFonts w:hint="eastAsia" w:ascii="仿宋_GB2312" w:hAnsi="仿宋_GB2312" w:cs="仿宋_GB2312"/>
          <w:szCs w:val="32"/>
          <w:u w:val="single"/>
        </w:rPr>
        <w:t>在职职工的养老保险、失业保险等费用支出</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农林水支出（类）支出</w:t>
      </w:r>
      <w:r>
        <w:rPr>
          <w:rFonts w:hint="eastAsia" w:ascii="仿宋_GB2312" w:hAnsi="仿宋_GB2312" w:cs="仿宋_GB2312"/>
          <w:szCs w:val="32"/>
          <w:u w:val="single"/>
        </w:rPr>
        <w:t xml:space="preserve">  0  </w:t>
      </w:r>
      <w:r>
        <w:rPr>
          <w:rFonts w:hint="eastAsia" w:ascii="仿宋_GB2312" w:hAnsi="仿宋_GB2312" w:cs="仿宋_GB2312"/>
          <w:szCs w:val="32"/>
        </w:rPr>
        <w:t>万元，占</w:t>
      </w:r>
      <w:r>
        <w:rPr>
          <w:rFonts w:hint="eastAsia" w:ascii="仿宋_GB2312" w:hAnsi="仿宋_GB2312" w:cs="仿宋_GB2312"/>
          <w:szCs w:val="32"/>
          <w:u w:val="single"/>
        </w:rPr>
        <w:t xml:space="preserve">  0  </w:t>
      </w:r>
      <w:r>
        <w:rPr>
          <w:rFonts w:hint="eastAsia" w:ascii="仿宋_GB2312" w:hAnsi="仿宋_GB2312" w:cs="仿宋_GB2312"/>
          <w:szCs w:val="32"/>
        </w:rPr>
        <w:t>%，主要用于_____________________。</w:t>
      </w:r>
    </w:p>
    <w:p>
      <w:pPr>
        <w:spacing w:line="520" w:lineRule="exact"/>
        <w:ind w:firstLine="200"/>
        <w:rPr>
          <w:szCs w:val="32"/>
        </w:rPr>
      </w:pPr>
      <w:r>
        <w:rPr>
          <w:rFonts w:hint="eastAsia" w:ascii="仿宋_GB2312" w:hAnsi="仿宋_GB2312" w:cs="仿宋_GB2312"/>
          <w:szCs w:val="32"/>
        </w:rPr>
        <w:t>住房保障（类）支出</w:t>
      </w:r>
      <w:r>
        <w:rPr>
          <w:rFonts w:hint="eastAsia" w:ascii="仿宋_GB2312" w:hAnsi="仿宋_GB2312" w:cs="仿宋_GB2312"/>
          <w:szCs w:val="32"/>
          <w:u w:val="single"/>
        </w:rPr>
        <w:t xml:space="preserve">  1</w:t>
      </w:r>
      <w:r>
        <w:rPr>
          <w:rFonts w:ascii="仿宋_GB2312" w:hAnsi="仿宋_GB2312" w:cs="仿宋_GB2312"/>
          <w:szCs w:val="32"/>
          <w:u w:val="single"/>
        </w:rPr>
        <w:t>20.26</w:t>
      </w:r>
      <w:r>
        <w:rPr>
          <w:rFonts w:hint="eastAsia" w:ascii="仿宋_GB2312" w:hAnsi="仿宋_GB2312" w:cs="仿宋_GB2312"/>
          <w:szCs w:val="32"/>
          <w:u w:val="single"/>
        </w:rPr>
        <w:t xml:space="preserve">  </w:t>
      </w:r>
      <w:r>
        <w:rPr>
          <w:rFonts w:hint="eastAsia" w:ascii="仿宋_GB2312" w:hAnsi="仿宋_GB2312" w:cs="仿宋_GB2312"/>
          <w:szCs w:val="32"/>
        </w:rPr>
        <w:t>万元，占</w:t>
      </w:r>
      <w:r>
        <w:rPr>
          <w:rFonts w:ascii="仿宋_GB2312" w:hAnsi="仿宋_GB2312" w:cs="仿宋_GB2312"/>
          <w:szCs w:val="32"/>
          <w:u w:val="single"/>
        </w:rPr>
        <w:t>8.3</w:t>
      </w:r>
      <w:r>
        <w:rPr>
          <w:rFonts w:hint="eastAsia" w:ascii="仿宋_GB2312" w:hAnsi="仿宋_GB2312" w:cs="仿宋_GB2312"/>
          <w:szCs w:val="32"/>
        </w:rPr>
        <w:t>%，主要用于</w:t>
      </w:r>
      <w:r>
        <w:rPr>
          <w:rFonts w:hint="eastAsia" w:ascii="仿宋_GB2312" w:hAnsi="仿宋_GB2312" w:cs="仿宋_GB2312"/>
          <w:szCs w:val="32"/>
          <w:u w:val="single"/>
        </w:rPr>
        <w:t>在职人员住房公积金缴费的支出</w:t>
      </w:r>
      <w:r>
        <w:rPr>
          <w:rFonts w:hint="eastAsia" w:ascii="仿宋_GB2312" w:hAnsi="仿宋_GB2312" w:cs="仿宋_GB2312"/>
          <w:szCs w:val="32"/>
        </w:rPr>
        <w:t>。</w:t>
      </w: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ascii="黑体" w:hAnsi="黑体" w:eastAsia="黑体" w:cs="黑体"/>
          <w:szCs w:val="32"/>
        </w:rPr>
      </w:pPr>
      <w:r>
        <w:rPr>
          <w:rFonts w:eastAsia="楷体"/>
          <w:szCs w:val="32"/>
        </w:rPr>
        <w:br w:type="page"/>
      </w:r>
      <w:r>
        <w:rPr>
          <w:rFonts w:hint="eastAsia" w:ascii="黑体" w:hAnsi="黑体" w:eastAsia="黑体" w:cs="黑体"/>
          <w:szCs w:val="32"/>
        </w:rPr>
        <w:t>六、2024年一般公共预算基本支出情况</w:t>
      </w:r>
    </w:p>
    <w:p>
      <w:pPr>
        <w:ind w:firstLine="640"/>
        <w:rPr>
          <w:rFonts w:ascii="仿宋_GB2312" w:hAnsi="仿宋_GB2312" w:cs="仿宋_GB2312"/>
          <w:szCs w:val="32"/>
        </w:rPr>
      </w:pPr>
      <w:r>
        <w:rPr>
          <w:rFonts w:hint="eastAsia" w:ascii="仿宋_GB2312" w:hAnsi="仿宋_GB2312" w:cs="仿宋_GB2312"/>
          <w:szCs w:val="32"/>
        </w:rPr>
        <w:t>2024年一般公共预算基本支出</w:t>
      </w:r>
      <w:r>
        <w:rPr>
          <w:rFonts w:hint="eastAsia" w:ascii="仿宋_GB2312" w:hAnsi="仿宋_GB2312" w:cs="仿宋_GB2312"/>
          <w:szCs w:val="32"/>
          <w:u w:val="single"/>
        </w:rPr>
        <w:t>1</w:t>
      </w:r>
      <w:r>
        <w:rPr>
          <w:rFonts w:ascii="仿宋_GB2312" w:hAnsi="仿宋_GB2312" w:cs="仿宋_GB2312"/>
          <w:szCs w:val="32"/>
          <w:u w:val="single"/>
        </w:rPr>
        <w:t>427.36</w:t>
      </w:r>
      <w:r>
        <w:rPr>
          <w:rFonts w:hint="eastAsia" w:ascii="仿宋_GB2312" w:hAnsi="仿宋_GB2312" w:cs="仿宋_GB2312"/>
          <w:szCs w:val="32"/>
        </w:rPr>
        <w:t>万元，其中：</w:t>
      </w:r>
    </w:p>
    <w:p>
      <w:pPr>
        <w:ind w:firstLine="640" w:firstLineChars="200"/>
        <w:rPr>
          <w:rFonts w:ascii="仿宋_GB2312" w:hAnsi="仿宋_GB2312" w:cs="仿宋_GB2312"/>
          <w:kern w:val="0"/>
          <w:szCs w:val="32"/>
        </w:rPr>
      </w:pPr>
      <w:r>
        <w:rPr>
          <w:rFonts w:hint="eastAsia" w:ascii="仿宋_GB2312" w:hAnsi="仿宋_GB2312" w:cs="仿宋_GB2312"/>
          <w:szCs w:val="32"/>
        </w:rPr>
        <w:t>人员经费</w:t>
      </w:r>
      <w:r>
        <w:rPr>
          <w:rFonts w:hint="eastAsia" w:ascii="仿宋_GB2312" w:hAnsi="仿宋_GB2312" w:cs="仿宋_GB2312"/>
          <w:szCs w:val="32"/>
          <w:u w:val="single"/>
        </w:rPr>
        <w:t>1</w:t>
      </w:r>
      <w:r>
        <w:rPr>
          <w:rFonts w:ascii="仿宋_GB2312" w:hAnsi="仿宋_GB2312" w:cs="仿宋_GB2312"/>
          <w:szCs w:val="32"/>
          <w:u w:val="single"/>
        </w:rPr>
        <w:t>427.36</w:t>
      </w:r>
      <w:r>
        <w:rPr>
          <w:rFonts w:hint="eastAsia" w:ascii="仿宋_GB2312" w:hAnsi="仿宋_GB2312" w:cs="仿宋_GB2312"/>
          <w:szCs w:val="32"/>
        </w:rPr>
        <w:t>万元，主要包括：</w:t>
      </w:r>
      <w:r>
        <w:rPr>
          <w:rFonts w:hint="eastAsia" w:ascii="仿宋_GB2312" w:hAnsi="仿宋_GB2312" w:cs="仿宋_GB2312"/>
          <w:kern w:val="0"/>
          <w:szCs w:val="32"/>
        </w:rPr>
        <w:t>基本工资、津贴补贴</w:t>
      </w:r>
      <w:r>
        <w:rPr>
          <w:rFonts w:hint="eastAsia" w:ascii="仿宋_GB2312" w:hAnsi="仿宋_GB2312" w:cs="仿宋_GB2312"/>
          <w:szCs w:val="32"/>
        </w:rPr>
        <w:t>、</w:t>
      </w:r>
      <w:r>
        <w:rPr>
          <w:rFonts w:hint="eastAsia" w:ascii="仿宋_GB2312" w:hAnsi="仿宋_GB2312" w:cs="仿宋_GB2312"/>
          <w:kern w:val="0"/>
          <w:szCs w:val="32"/>
        </w:rPr>
        <w:t>奖金</w:t>
      </w:r>
      <w:r>
        <w:rPr>
          <w:rFonts w:hint="eastAsia" w:ascii="仿宋_GB2312" w:hAnsi="仿宋_GB2312" w:cs="仿宋_GB2312"/>
          <w:szCs w:val="32"/>
        </w:rPr>
        <w:t>、</w:t>
      </w:r>
      <w:r>
        <w:rPr>
          <w:rFonts w:hint="eastAsia" w:ascii="仿宋_GB2312" w:hAnsi="仿宋_GB2312" w:cs="仿宋_GB2312"/>
          <w:kern w:val="0"/>
          <w:szCs w:val="32"/>
        </w:rPr>
        <w:t>社会保障缴费</w:t>
      </w:r>
      <w:r>
        <w:rPr>
          <w:rFonts w:hint="eastAsia" w:ascii="仿宋_GB2312" w:hAnsi="仿宋_GB2312" w:cs="仿宋_GB2312"/>
          <w:szCs w:val="32"/>
        </w:rPr>
        <w:t>、</w:t>
      </w:r>
      <w:r>
        <w:rPr>
          <w:rFonts w:hint="eastAsia" w:ascii="仿宋_GB2312" w:hAnsi="仿宋_GB2312" w:cs="仿宋_GB2312"/>
          <w:kern w:val="0"/>
          <w:szCs w:val="32"/>
        </w:rPr>
        <w:t>其他工资福利支出</w:t>
      </w:r>
      <w:r>
        <w:rPr>
          <w:rFonts w:hint="eastAsia" w:ascii="仿宋_GB2312" w:hAnsi="仿宋_GB2312" w:cs="仿宋_GB2312"/>
          <w:szCs w:val="32"/>
        </w:rPr>
        <w:t>、</w:t>
      </w:r>
      <w:r>
        <w:rPr>
          <w:rFonts w:hint="eastAsia" w:ascii="仿宋_GB2312" w:hAnsi="仿宋_GB2312" w:cs="仿宋_GB2312"/>
          <w:kern w:val="0"/>
          <w:szCs w:val="32"/>
        </w:rPr>
        <w:t>离休费</w:t>
      </w:r>
      <w:r>
        <w:rPr>
          <w:rFonts w:hint="eastAsia" w:ascii="仿宋_GB2312" w:hAnsi="仿宋_GB2312" w:cs="仿宋_GB2312"/>
          <w:szCs w:val="32"/>
        </w:rPr>
        <w:t>、</w:t>
      </w:r>
      <w:r>
        <w:rPr>
          <w:rFonts w:hint="eastAsia" w:ascii="仿宋_GB2312" w:hAnsi="仿宋_GB2312" w:cs="仿宋_GB2312"/>
          <w:kern w:val="0"/>
          <w:szCs w:val="32"/>
        </w:rPr>
        <w:t>退休费</w:t>
      </w:r>
      <w:r>
        <w:rPr>
          <w:rFonts w:hint="eastAsia" w:ascii="仿宋_GB2312" w:hAnsi="仿宋_GB2312" w:cs="仿宋_GB2312"/>
          <w:szCs w:val="32"/>
        </w:rPr>
        <w:t>、</w:t>
      </w:r>
      <w:r>
        <w:rPr>
          <w:rFonts w:hint="eastAsia" w:ascii="仿宋_GB2312" w:hAnsi="仿宋_GB2312" w:cs="仿宋_GB2312"/>
          <w:kern w:val="0"/>
          <w:szCs w:val="32"/>
        </w:rPr>
        <w:t>抚恤金</w:t>
      </w:r>
      <w:r>
        <w:rPr>
          <w:rFonts w:hint="eastAsia" w:ascii="仿宋_GB2312" w:hAnsi="仿宋_GB2312" w:cs="仿宋_GB2312"/>
          <w:szCs w:val="32"/>
        </w:rPr>
        <w:t>、</w:t>
      </w:r>
      <w:r>
        <w:rPr>
          <w:rFonts w:hint="eastAsia" w:ascii="仿宋_GB2312" w:hAnsi="仿宋_GB2312" w:cs="仿宋_GB2312"/>
          <w:kern w:val="0"/>
          <w:szCs w:val="32"/>
        </w:rPr>
        <w:t>生活补助</w:t>
      </w:r>
      <w:r>
        <w:rPr>
          <w:rFonts w:hint="eastAsia" w:ascii="仿宋_GB2312" w:hAnsi="仿宋_GB2312" w:cs="仿宋_GB2312"/>
          <w:szCs w:val="32"/>
        </w:rPr>
        <w:t>、</w:t>
      </w:r>
      <w:r>
        <w:rPr>
          <w:rFonts w:hint="eastAsia" w:ascii="仿宋_GB2312" w:hAnsi="仿宋_GB2312" w:cs="仿宋_GB2312"/>
          <w:kern w:val="0"/>
          <w:szCs w:val="32"/>
        </w:rPr>
        <w:t>助学金</w:t>
      </w:r>
      <w:r>
        <w:rPr>
          <w:rFonts w:hint="eastAsia" w:ascii="仿宋_GB2312" w:hAnsi="仿宋_GB2312" w:cs="仿宋_GB2312"/>
          <w:szCs w:val="32"/>
        </w:rPr>
        <w:t>、</w:t>
      </w:r>
      <w:r>
        <w:rPr>
          <w:rFonts w:hint="eastAsia" w:ascii="仿宋_GB2312" w:hAnsi="仿宋_GB2312" w:cs="仿宋_GB2312"/>
          <w:kern w:val="0"/>
          <w:szCs w:val="32"/>
        </w:rPr>
        <w:t>住房公积金</w:t>
      </w:r>
      <w:r>
        <w:rPr>
          <w:rFonts w:hint="eastAsia" w:ascii="仿宋_GB2312" w:hAnsi="仿宋_GB2312" w:cs="仿宋_GB2312"/>
          <w:szCs w:val="32"/>
        </w:rPr>
        <w:t>、</w:t>
      </w:r>
      <w:r>
        <w:rPr>
          <w:rFonts w:hint="eastAsia" w:ascii="仿宋_GB2312" w:hAnsi="仿宋_GB2312" w:cs="仿宋_GB2312"/>
          <w:kern w:val="0"/>
          <w:szCs w:val="32"/>
        </w:rPr>
        <w:t>采暖补贴</w:t>
      </w:r>
      <w:r>
        <w:rPr>
          <w:rFonts w:hint="eastAsia" w:ascii="仿宋_GB2312" w:hAnsi="仿宋_GB2312" w:cs="仿宋_GB2312"/>
          <w:szCs w:val="32"/>
        </w:rPr>
        <w:t>、</w:t>
      </w:r>
      <w:r>
        <w:rPr>
          <w:rFonts w:hint="eastAsia" w:ascii="仿宋_GB2312" w:hAnsi="仿宋_GB2312" w:cs="仿宋_GB2312"/>
          <w:kern w:val="0"/>
          <w:szCs w:val="32"/>
        </w:rPr>
        <w:t>其他对个人和家庭的补助支出。</w:t>
      </w:r>
    </w:p>
    <w:p>
      <w:pPr>
        <w:ind w:firstLine="640" w:firstLineChars="200"/>
        <w:rPr>
          <w:szCs w:val="32"/>
        </w:rPr>
      </w:pPr>
      <w:r>
        <w:rPr>
          <w:rFonts w:hint="eastAsia" w:ascii="仿宋_GB2312" w:hAnsi="仿宋_GB2312" w:cs="仿宋_GB2312"/>
          <w:kern w:val="0"/>
          <w:szCs w:val="32"/>
        </w:rPr>
        <w:t>公用经费</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万元，主要包括：</w:t>
      </w:r>
      <w:r>
        <w:rPr>
          <w:rFonts w:hint="eastAsia" w:ascii="仿宋_GB2312" w:hAnsi="仿宋_GB2312" w:cs="仿宋_GB2312"/>
          <w:kern w:val="0"/>
          <w:szCs w:val="32"/>
        </w:rPr>
        <w:t>办公费</w:t>
      </w:r>
      <w:r>
        <w:rPr>
          <w:rFonts w:hint="eastAsia" w:ascii="仿宋_GB2312" w:hAnsi="仿宋_GB2312" w:cs="仿宋_GB2312"/>
          <w:szCs w:val="32"/>
        </w:rPr>
        <w:t>、</w:t>
      </w:r>
      <w:r>
        <w:rPr>
          <w:rFonts w:hint="eastAsia" w:ascii="仿宋_GB2312" w:hAnsi="仿宋_GB2312" w:cs="仿宋_GB2312"/>
          <w:kern w:val="0"/>
          <w:szCs w:val="32"/>
        </w:rPr>
        <w:t>印刷费</w:t>
      </w:r>
      <w:r>
        <w:rPr>
          <w:rFonts w:hint="eastAsia" w:ascii="仿宋_GB2312" w:hAnsi="仿宋_GB2312" w:cs="仿宋_GB2312"/>
          <w:szCs w:val="32"/>
        </w:rPr>
        <w:t>、</w:t>
      </w:r>
      <w:r>
        <w:rPr>
          <w:rFonts w:hint="eastAsia" w:ascii="仿宋_GB2312" w:hAnsi="仿宋_GB2312" w:cs="仿宋_GB2312"/>
          <w:kern w:val="0"/>
          <w:szCs w:val="32"/>
        </w:rPr>
        <w:t>水费</w:t>
      </w:r>
      <w:r>
        <w:rPr>
          <w:rFonts w:hint="eastAsia" w:ascii="仿宋_GB2312" w:hAnsi="仿宋_GB2312" w:cs="仿宋_GB2312"/>
          <w:szCs w:val="32"/>
        </w:rPr>
        <w:t>、</w:t>
      </w:r>
      <w:r>
        <w:rPr>
          <w:rFonts w:hint="eastAsia" w:ascii="仿宋_GB2312" w:hAnsi="仿宋_GB2312" w:cs="仿宋_GB2312"/>
          <w:kern w:val="0"/>
          <w:szCs w:val="32"/>
        </w:rPr>
        <w:t>电费</w:t>
      </w:r>
      <w:r>
        <w:rPr>
          <w:rFonts w:hint="eastAsia" w:ascii="仿宋_GB2312" w:hAnsi="仿宋_GB2312" w:cs="仿宋_GB2312"/>
          <w:szCs w:val="32"/>
        </w:rPr>
        <w:t>、</w:t>
      </w:r>
      <w:r>
        <w:rPr>
          <w:rFonts w:hint="eastAsia" w:ascii="仿宋_GB2312" w:hAnsi="仿宋_GB2312" w:cs="仿宋_GB2312"/>
          <w:kern w:val="0"/>
          <w:szCs w:val="32"/>
        </w:rPr>
        <w:t>邮电费</w:t>
      </w:r>
      <w:r>
        <w:rPr>
          <w:rFonts w:hint="eastAsia" w:ascii="仿宋_GB2312" w:hAnsi="仿宋_GB2312" w:cs="仿宋_GB2312"/>
          <w:szCs w:val="32"/>
        </w:rPr>
        <w:t>、</w:t>
      </w:r>
      <w:r>
        <w:rPr>
          <w:rFonts w:hint="eastAsia" w:ascii="仿宋_GB2312" w:hAnsi="仿宋_GB2312" w:cs="仿宋_GB2312"/>
          <w:kern w:val="0"/>
          <w:szCs w:val="32"/>
        </w:rPr>
        <w:t>取暖费</w:t>
      </w:r>
      <w:r>
        <w:rPr>
          <w:rFonts w:hint="eastAsia" w:ascii="仿宋_GB2312" w:hAnsi="仿宋_GB2312" w:cs="仿宋_GB2312"/>
          <w:szCs w:val="32"/>
        </w:rPr>
        <w:t>、</w:t>
      </w:r>
      <w:r>
        <w:rPr>
          <w:rFonts w:hint="eastAsia" w:ascii="仿宋_GB2312" w:hAnsi="仿宋_GB2312" w:cs="仿宋_GB2312"/>
          <w:kern w:val="0"/>
          <w:szCs w:val="32"/>
        </w:rPr>
        <w:t>物业管理费</w:t>
      </w:r>
      <w:r>
        <w:rPr>
          <w:rFonts w:hint="eastAsia" w:ascii="仿宋_GB2312" w:hAnsi="仿宋_GB2312" w:cs="仿宋_GB2312"/>
          <w:szCs w:val="32"/>
        </w:rPr>
        <w:t>、</w:t>
      </w:r>
      <w:r>
        <w:rPr>
          <w:rFonts w:hint="eastAsia" w:ascii="仿宋_GB2312" w:hAnsi="仿宋_GB2312" w:cs="仿宋_GB2312"/>
          <w:kern w:val="0"/>
          <w:szCs w:val="32"/>
        </w:rPr>
        <w:t>差旅费</w:t>
      </w:r>
      <w:r>
        <w:rPr>
          <w:rFonts w:hint="eastAsia" w:ascii="仿宋_GB2312" w:hAnsi="仿宋_GB2312" w:cs="仿宋_GB2312"/>
          <w:szCs w:val="32"/>
        </w:rPr>
        <w:t>、</w:t>
      </w:r>
      <w:r>
        <w:rPr>
          <w:rFonts w:hint="eastAsia" w:ascii="仿宋_GB2312" w:hAnsi="仿宋_GB2312" w:cs="仿宋_GB2312"/>
          <w:kern w:val="0"/>
          <w:szCs w:val="32"/>
        </w:rPr>
        <w:t>维修（护）费</w:t>
      </w:r>
      <w:r>
        <w:rPr>
          <w:rFonts w:hint="eastAsia" w:ascii="仿宋_GB2312" w:hAnsi="仿宋_GB2312" w:cs="仿宋_GB2312"/>
          <w:szCs w:val="32"/>
        </w:rPr>
        <w:t>、</w:t>
      </w:r>
      <w:r>
        <w:rPr>
          <w:rFonts w:hint="eastAsia" w:ascii="仿宋_GB2312" w:hAnsi="仿宋_GB2312" w:cs="仿宋_GB2312"/>
          <w:kern w:val="0"/>
          <w:szCs w:val="32"/>
        </w:rPr>
        <w:t>会议费</w:t>
      </w:r>
      <w:r>
        <w:rPr>
          <w:rFonts w:hint="eastAsia" w:ascii="仿宋_GB2312" w:hAnsi="仿宋_GB2312" w:cs="仿宋_GB2312"/>
          <w:szCs w:val="32"/>
        </w:rPr>
        <w:t>、</w:t>
      </w:r>
      <w:r>
        <w:rPr>
          <w:rFonts w:hint="eastAsia" w:ascii="仿宋_GB2312" w:hAnsi="仿宋_GB2312" w:cs="仿宋_GB2312"/>
          <w:kern w:val="0"/>
          <w:szCs w:val="32"/>
        </w:rPr>
        <w:t>培训费</w:t>
      </w:r>
      <w:r>
        <w:rPr>
          <w:rFonts w:hint="eastAsia" w:ascii="仿宋_GB2312" w:hAnsi="仿宋_GB2312" w:cs="仿宋_GB2312"/>
          <w:szCs w:val="32"/>
        </w:rPr>
        <w:t>、</w:t>
      </w:r>
      <w:r>
        <w:rPr>
          <w:rFonts w:hint="eastAsia" w:ascii="仿宋_GB2312" w:hAnsi="仿宋_GB2312" w:cs="仿宋_GB2312"/>
          <w:kern w:val="0"/>
          <w:szCs w:val="32"/>
        </w:rPr>
        <w:t>公务接待费</w:t>
      </w:r>
      <w:r>
        <w:rPr>
          <w:rFonts w:hint="eastAsia" w:ascii="仿宋_GB2312" w:hAnsi="仿宋_GB2312" w:cs="仿宋_GB2312"/>
          <w:szCs w:val="32"/>
        </w:rPr>
        <w:t>、</w:t>
      </w:r>
      <w:r>
        <w:rPr>
          <w:rFonts w:hint="eastAsia" w:ascii="仿宋_GB2312" w:hAnsi="仿宋_GB2312" w:cs="仿宋_GB2312"/>
          <w:kern w:val="0"/>
          <w:szCs w:val="32"/>
        </w:rPr>
        <w:t>工会经费、福利费</w:t>
      </w:r>
      <w:r>
        <w:rPr>
          <w:rFonts w:hint="eastAsia" w:ascii="仿宋_GB2312" w:hAnsi="仿宋_GB2312" w:cs="仿宋_GB2312"/>
          <w:szCs w:val="32"/>
        </w:rPr>
        <w:t>、公</w:t>
      </w:r>
      <w:r>
        <w:rPr>
          <w:rFonts w:hint="eastAsia" w:ascii="仿宋_GB2312" w:hAnsi="仿宋_GB2312" w:cs="仿宋_GB2312"/>
          <w:kern w:val="0"/>
          <w:szCs w:val="32"/>
        </w:rPr>
        <w:t>务用车运行维护费</w:t>
      </w:r>
      <w:r>
        <w:rPr>
          <w:rFonts w:hint="eastAsia" w:ascii="仿宋_GB2312" w:hAnsi="仿宋_GB2312" w:cs="仿宋_GB2312"/>
          <w:szCs w:val="32"/>
        </w:rPr>
        <w:t>、</w:t>
      </w:r>
      <w:r>
        <w:rPr>
          <w:rFonts w:hint="eastAsia" w:ascii="仿宋_GB2312" w:hAnsi="仿宋_GB2312" w:cs="仿宋_GB2312"/>
          <w:kern w:val="0"/>
          <w:szCs w:val="32"/>
        </w:rPr>
        <w:t>其他交通补助</w:t>
      </w:r>
      <w:r>
        <w:rPr>
          <w:rFonts w:hint="eastAsia" w:ascii="仿宋_GB2312" w:hAnsi="仿宋_GB2312" w:cs="仿宋_GB2312"/>
          <w:szCs w:val="32"/>
        </w:rPr>
        <w:t>、</w:t>
      </w:r>
      <w:r>
        <w:rPr>
          <w:rFonts w:hint="eastAsia" w:ascii="仿宋_GB2312" w:hAnsi="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七、2024年一般公共预算财政拨款“三公”经费情况</w:t>
      </w:r>
    </w:p>
    <w:p>
      <w:pPr>
        <w:ind w:firstLine="640" w:firstLineChars="200"/>
        <w:rPr>
          <w:rFonts w:ascii="仿宋_GB2312" w:hAnsi="仿宋_GB2312" w:cs="仿宋_GB2312"/>
          <w:szCs w:val="32"/>
        </w:rPr>
      </w:pPr>
      <w:r>
        <w:rPr>
          <w:rFonts w:hint="eastAsia" w:ascii="仿宋_GB2312" w:hAnsi="仿宋_GB2312" w:cs="仿宋_GB2312"/>
          <w:szCs w:val="32"/>
        </w:rPr>
        <w:t>2024年“三公”经费预算数为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万元，其中:当年预算</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万元；上年结转</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万元。2024年当年预算数比2023年预算数增加（减少）</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万元。其中：</w:t>
      </w:r>
    </w:p>
    <w:p>
      <w:pPr>
        <w:ind w:firstLine="640" w:firstLineChars="200"/>
        <w:rPr>
          <w:rFonts w:ascii="仿宋_GB2312" w:hAnsi="仿宋_GB2312" w:cs="仿宋_GB2312"/>
          <w:szCs w:val="32"/>
        </w:rPr>
      </w:pPr>
      <w:r>
        <w:rPr>
          <w:rFonts w:hint="eastAsia" w:ascii="仿宋_GB2312" w:hAnsi="仿宋_GB2312" w:cs="仿宋_GB2312"/>
          <w:szCs w:val="32"/>
        </w:rPr>
        <w:t>1.因公出国（境）费</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万元，其中：当年预算</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万元；上年结转</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万元。2024年当年预算数比2023年预算数增加（减少）</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万元，主要原因是</w:t>
      </w:r>
      <w:r>
        <w:rPr>
          <w:rFonts w:hint="eastAsia" w:ascii="仿宋_GB2312" w:hAnsi="仿宋_GB2312" w:cs="仿宋_GB2312"/>
          <w:szCs w:val="32"/>
          <w:u w:val="single"/>
        </w:rPr>
        <w:t>无因公出国（境）需求</w:t>
      </w:r>
      <w:r>
        <w:rPr>
          <w:rFonts w:hint="eastAsia" w:ascii="仿宋_GB2312" w:hAnsi="仿宋_GB2312" w:cs="仿宋_GB2312"/>
          <w:szCs w:val="32"/>
        </w:rPr>
        <w:t>。</w:t>
      </w:r>
    </w:p>
    <w:p>
      <w:pPr>
        <w:ind w:firstLine="640" w:firstLineChars="200"/>
        <w:rPr>
          <w:rFonts w:ascii="仿宋_GB2312" w:hAnsi="仿宋_GB2312" w:cs="仿宋_GB2312"/>
          <w:szCs w:val="32"/>
        </w:rPr>
      </w:pPr>
      <w:r>
        <w:rPr>
          <w:rFonts w:hint="eastAsia" w:ascii="仿宋_GB2312" w:hAnsi="仿宋_GB2312" w:cs="仿宋_GB2312"/>
          <w:szCs w:val="32"/>
        </w:rPr>
        <w:t>2.公务接待费</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万元，其中：当年预算</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万元；上年结转</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万元。2024年当年预算数比2023年预算数增加（减少）</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万元，主要原因是</w:t>
      </w:r>
      <w:r>
        <w:rPr>
          <w:rFonts w:hint="eastAsia" w:ascii="仿宋_GB2312" w:hAnsi="仿宋_GB2312" w:cs="仿宋_GB2312"/>
          <w:szCs w:val="32"/>
          <w:u w:val="single"/>
        </w:rPr>
        <w:t>无公务接待费用</w:t>
      </w:r>
      <w:r>
        <w:rPr>
          <w:rFonts w:hint="eastAsia" w:ascii="仿宋_GB2312" w:hAnsi="仿宋_GB2312" w:cs="仿宋_GB2312"/>
          <w:szCs w:val="32"/>
        </w:rPr>
        <w:t>。</w:t>
      </w:r>
    </w:p>
    <w:p>
      <w:pPr>
        <w:ind w:firstLine="640" w:firstLineChars="200"/>
        <w:rPr>
          <w:rFonts w:ascii="仿宋_GB2312" w:hAnsi="仿宋_GB2312" w:cs="仿宋_GB2312"/>
          <w:szCs w:val="32"/>
        </w:rPr>
      </w:pPr>
      <w:r>
        <w:rPr>
          <w:rFonts w:hint="eastAsia" w:ascii="仿宋_GB2312" w:hAnsi="仿宋_GB2312" w:cs="仿宋_GB2312"/>
          <w:szCs w:val="32"/>
        </w:rPr>
        <w:t>3.公务用车购置及运行费</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万元，其中：当年预算</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万元；上年结转</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万元。2024年当年预算数比2023年预算数增加（减少）</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万元。公务用车运行维护费</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万元，其中：当年预算</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万元；上年结转</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万元。2024年当年预算数比2023年预算数增加（减少）</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万元，主要原因是</w:t>
      </w:r>
      <w:r>
        <w:rPr>
          <w:rFonts w:hint="eastAsia" w:ascii="仿宋_GB2312" w:hAnsi="仿宋_GB2312" w:cs="仿宋_GB2312"/>
          <w:szCs w:val="32"/>
          <w:u w:val="single"/>
        </w:rPr>
        <w:t>无公车</w:t>
      </w:r>
      <w:r>
        <w:rPr>
          <w:rFonts w:hint="eastAsia" w:ascii="仿宋_GB2312" w:hAnsi="仿宋_GB2312" w:cs="仿宋_GB2312"/>
          <w:szCs w:val="32"/>
        </w:rPr>
        <w:t>；公务用车购置费</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万元，其中：当年预算</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万元；上年结转</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万元。2024年当年预算数比2023年预算数增加（减少）</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万元，主要原因是</w:t>
      </w:r>
      <w:r>
        <w:rPr>
          <w:rFonts w:hint="eastAsia" w:ascii="仿宋_GB2312" w:hAnsi="仿宋_GB2312" w:cs="仿宋_GB2312"/>
          <w:szCs w:val="32"/>
          <w:u w:val="single"/>
        </w:rPr>
        <w:t>无购买公车需要</w:t>
      </w:r>
      <w:r>
        <w:rPr>
          <w:rFonts w:hint="eastAsia" w:ascii="仿宋_GB2312" w:hAnsi="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八、2024年政府性基金预算支出情况</w:t>
      </w:r>
    </w:p>
    <w:p>
      <w:pPr>
        <w:ind w:firstLine="640"/>
        <w:rPr>
          <w:rFonts w:ascii="仿宋_GB2312" w:hAnsi="仿宋_GB2312" w:cs="仿宋_GB2312"/>
          <w:szCs w:val="32"/>
        </w:rPr>
      </w:pPr>
      <w:r>
        <w:rPr>
          <w:rFonts w:hint="eastAsia" w:ascii="仿宋_GB2312" w:hAnsi="仿宋_GB2312" w:cs="仿宋_GB2312"/>
          <w:szCs w:val="32"/>
        </w:rPr>
        <w:t>2024年政府性基金预算支出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万元，其中：基本支出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%；项目支出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%。基本支出中，人员经费</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%；公用经费</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w:t>
      </w:r>
    </w:p>
    <w:p>
      <w:pPr>
        <w:ind w:firstLine="640"/>
        <w:rPr>
          <w:rFonts w:ascii="仿宋_GB2312" w:hAnsi="仿宋_GB2312" w:cs="仿宋_GB2312"/>
          <w:szCs w:val="32"/>
        </w:rPr>
      </w:pPr>
      <w:r>
        <w:rPr>
          <w:rFonts w:hint="eastAsia" w:ascii="仿宋_GB2312" w:hAnsi="仿宋_GB2312" w:cs="仿宋_GB2312"/>
          <w:szCs w:val="32"/>
        </w:rPr>
        <w:t>科学技术（类）支出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%，主要用于_____________________。</w:t>
      </w:r>
    </w:p>
    <w:p>
      <w:pPr>
        <w:ind w:firstLine="640"/>
        <w:rPr>
          <w:rFonts w:ascii="仿宋_GB2312" w:hAnsi="仿宋_GB2312" w:cs="仿宋_GB2312"/>
          <w:szCs w:val="32"/>
        </w:rPr>
      </w:pPr>
      <w:r>
        <w:rPr>
          <w:rFonts w:hint="eastAsia" w:ascii="仿宋_GB2312" w:hAnsi="仿宋_GB2312" w:cs="仿宋_GB2312"/>
          <w:szCs w:val="32"/>
        </w:rPr>
        <w:t>文化旅游体育与传媒（类）支出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%，主要用于_____________________。</w:t>
      </w:r>
    </w:p>
    <w:p>
      <w:pPr>
        <w:ind w:firstLine="640"/>
        <w:rPr>
          <w:rFonts w:ascii="仿宋_GB2312" w:hAnsi="仿宋_GB2312" w:cs="仿宋_GB2312"/>
          <w:szCs w:val="32"/>
        </w:rPr>
      </w:pPr>
      <w:r>
        <w:rPr>
          <w:rFonts w:hint="eastAsia" w:ascii="仿宋_GB2312" w:hAnsi="仿宋_GB2312" w:cs="仿宋_GB2312"/>
          <w:szCs w:val="32"/>
        </w:rPr>
        <w:t>社会保障和就业（类）支出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%，主要用于_____________________。</w:t>
      </w:r>
    </w:p>
    <w:p>
      <w:pPr>
        <w:ind w:firstLine="640"/>
        <w:rPr>
          <w:rFonts w:ascii="仿宋_GB2312" w:hAnsi="仿宋_GB2312" w:cs="仿宋_GB2312"/>
          <w:szCs w:val="32"/>
        </w:rPr>
      </w:pPr>
      <w:r>
        <w:rPr>
          <w:rFonts w:hint="eastAsia" w:ascii="仿宋_GB2312" w:hAnsi="仿宋_GB2312" w:cs="仿宋_GB2312"/>
          <w:szCs w:val="32"/>
        </w:rPr>
        <w:t>农林水支出（类）支出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r>
        <w:rPr>
          <w:rFonts w:hint="eastAsia" w:ascii="黑体" w:hAnsi="黑体" w:eastAsia="黑体" w:cs="黑体"/>
          <w:szCs w:val="32"/>
        </w:rPr>
        <w:t>九、2024年国有资本经营预算支出情况</w:t>
      </w:r>
    </w:p>
    <w:p>
      <w:pPr>
        <w:ind w:firstLine="640"/>
        <w:rPr>
          <w:rFonts w:ascii="仿宋_GB2312" w:hAnsi="仿宋_GB2312" w:cs="仿宋_GB2312"/>
          <w:szCs w:val="32"/>
        </w:rPr>
      </w:pPr>
      <w:r>
        <w:rPr>
          <w:rFonts w:hint="eastAsia" w:ascii="仿宋_GB2312" w:hAnsi="仿宋_GB2312" w:cs="仿宋_GB2312"/>
          <w:szCs w:val="32"/>
        </w:rPr>
        <w:t>2024年国有资本经营预算支出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万元，其中：基本支出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%；项目支出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w:t>
      </w:r>
    </w:p>
    <w:p>
      <w:pPr>
        <w:ind w:firstLine="640"/>
        <w:rPr>
          <w:rFonts w:ascii="仿宋_GB2312" w:hAnsi="仿宋_GB2312" w:cs="仿宋_GB2312"/>
          <w:szCs w:val="32"/>
        </w:rPr>
      </w:pPr>
      <w:r>
        <w:rPr>
          <w:rFonts w:hint="eastAsia" w:ascii="仿宋_GB2312" w:hAnsi="仿宋_GB2312" w:cs="仿宋_GB2312"/>
          <w:szCs w:val="32"/>
        </w:rPr>
        <w:t>解决历史遗留问题及改革（款）支出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%，主要用于_____________________。</w:t>
      </w:r>
    </w:p>
    <w:p>
      <w:pPr>
        <w:ind w:firstLine="640"/>
        <w:rPr>
          <w:rFonts w:ascii="仿宋_GB2312" w:hAnsi="仿宋_GB2312" w:cs="仿宋_GB2312"/>
          <w:szCs w:val="32"/>
        </w:rPr>
      </w:pPr>
      <w:r>
        <w:rPr>
          <w:rFonts w:hint="eastAsia" w:ascii="仿宋_GB2312" w:hAnsi="仿宋_GB2312" w:cs="仿宋_GB2312"/>
          <w:szCs w:val="32"/>
        </w:rPr>
        <w:t>国有企业资本金注入（款）支出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%，主要用于_____________________。</w:t>
      </w:r>
    </w:p>
    <w:p>
      <w:pPr>
        <w:ind w:firstLine="640"/>
        <w:rPr>
          <w:rFonts w:ascii="仿宋_GB2312" w:hAnsi="仿宋_GB2312" w:cs="仿宋_GB2312"/>
          <w:szCs w:val="32"/>
        </w:rPr>
      </w:pPr>
      <w:r>
        <w:rPr>
          <w:rFonts w:hint="eastAsia" w:ascii="仿宋_GB2312" w:hAnsi="仿宋_GB2312" w:cs="仿宋_GB2312"/>
          <w:szCs w:val="32"/>
        </w:rPr>
        <w:t>国有企业政策性补贴（款）支出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%，主要用于_____________________。</w:t>
      </w:r>
    </w:p>
    <w:p>
      <w:pPr>
        <w:ind w:firstLine="640"/>
        <w:rPr>
          <w:rFonts w:ascii="仿宋_GB2312" w:hAnsi="仿宋_GB2312" w:cs="仿宋_GB2312"/>
          <w:szCs w:val="32"/>
        </w:rPr>
      </w:pPr>
      <w:r>
        <w:rPr>
          <w:rFonts w:hint="eastAsia" w:ascii="仿宋_GB2312" w:hAnsi="仿宋_GB2312" w:cs="仿宋_GB2312"/>
          <w:szCs w:val="32"/>
        </w:rPr>
        <w:t>其他国有资本经营预算（款）支出</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万元，占</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2024年部门本级、_______等____家行政单位以及_______等____家参公管理事业单位的机关运行经费财政拨款预算_______万元，比2023年预算增加（减少）_______万元，增长（下降）_______%，主要原因是_____________________。</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（二）政府采购情况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2024年政府采购预算总额</w:t>
      </w:r>
      <w:r>
        <w:rPr>
          <w:rFonts w:hint="eastAsia" w:ascii="仿宋_GB2312" w:hAnsi="仿宋_GB2312" w:cs="仿宋_GB2312"/>
          <w:kern w:val="0"/>
          <w:szCs w:val="32"/>
          <w:u w:val="single"/>
        </w:rPr>
        <w:t xml:space="preserve">  0</w:t>
      </w:r>
      <w:r>
        <w:rPr>
          <w:rFonts w:hint="eastAsia" w:ascii="仿宋_GB2312" w:hAnsi="仿宋_GB2312" w:cs="仿宋_GB2312"/>
          <w:szCs w:val="32"/>
          <w:u w:val="single"/>
        </w:rPr>
        <w:t xml:space="preserve">  </w:t>
      </w:r>
      <w:r>
        <w:rPr>
          <w:rFonts w:hint="eastAsia" w:ascii="仿宋_GB2312" w:hAnsi="仿宋_GB2312" w:cs="仿宋_GB2312"/>
          <w:szCs w:val="32"/>
        </w:rPr>
        <w:t>万元，其中：政府采购货物预算</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万元、政府采购工程预算</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万元、政府采购服务预算</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截至2023年8月底，部门本级和所属各预算单位共有车辆</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辆，土地</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平方米，房屋</w:t>
      </w:r>
      <w:r>
        <w:rPr>
          <w:rFonts w:hint="eastAsia" w:ascii="仿宋_GB2312" w:hAnsi="仿宋_GB2312" w:cs="仿宋_GB2312"/>
          <w:kern w:val="0"/>
          <w:szCs w:val="32"/>
          <w:u w:val="single"/>
        </w:rPr>
        <w:t xml:space="preserve">  </w:t>
      </w:r>
      <w:r>
        <w:rPr>
          <w:rFonts w:ascii="仿宋_GB2312" w:hAnsi="仿宋_GB2312" w:cs="仿宋_GB2312"/>
          <w:kern w:val="0"/>
          <w:szCs w:val="32"/>
          <w:u w:val="single"/>
        </w:rPr>
        <w:t>1760</w:t>
      </w:r>
      <w:r>
        <w:rPr>
          <w:rFonts w:hint="eastAsia" w:ascii="仿宋_GB2312" w:hAnsi="仿宋_GB2312" w:cs="仿宋_GB2312"/>
          <w:szCs w:val="32"/>
          <w:u w:val="single"/>
        </w:rPr>
        <w:t xml:space="preserve">  </w:t>
      </w:r>
      <w:r>
        <w:rPr>
          <w:rFonts w:hint="eastAsia" w:ascii="仿宋_GB2312" w:hAnsi="仿宋_GB2312" w:cs="仿宋_GB2312"/>
          <w:szCs w:val="32"/>
        </w:rPr>
        <w:t>平方米，单价50万元及以上的通用设备</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台/套，单价100万元及以上的专用设备实有数</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台/套。</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2024年部门预算安排购置车辆</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辆，安排购置土地</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平方米，安排购置房屋</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平方米，计划新增单价50万元及以上的通用设备</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台/套，计划新增单价100万元及以上的专用设备实有数</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szCs w:val="32"/>
        </w:rPr>
        <w:t>台/套。</w:t>
      </w:r>
    </w:p>
    <w:p>
      <w:pPr>
        <w:numPr>
          <w:ilvl w:val="0"/>
          <w:numId w:val="1"/>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rPr>
          <w:rFonts w:ascii="仿宋_GB2312" w:hAnsi="仿宋_GB2312" w:cs="仿宋_GB2312"/>
        </w:rPr>
      </w:pPr>
      <w:r>
        <w:rPr>
          <w:rFonts w:hint="eastAsia" w:ascii="仿宋_GB2312" w:hAnsi="仿宋_GB2312" w:cs="仿宋_GB2312"/>
        </w:rPr>
        <w:t>2024年部门项目支出</w:t>
      </w:r>
      <w:r>
        <w:rPr>
          <w:rFonts w:hint="eastAsia" w:ascii="仿宋_GB2312" w:hAnsi="仿宋_GB2312" w:cs="仿宋_GB2312"/>
          <w:kern w:val="0"/>
          <w:szCs w:val="32"/>
          <w:u w:val="single"/>
        </w:rPr>
        <w:t xml:space="preserve">  </w:t>
      </w:r>
      <w:r>
        <w:rPr>
          <w:rFonts w:ascii="仿宋_GB2312" w:hAnsi="仿宋_GB2312" w:cs="仿宋_GB2312"/>
          <w:kern w:val="0"/>
          <w:szCs w:val="32"/>
          <w:u w:val="single"/>
        </w:rPr>
        <w:t>12.46</w:t>
      </w:r>
      <w:r>
        <w:rPr>
          <w:rFonts w:hint="eastAsia" w:ascii="仿宋_GB2312" w:hAnsi="仿宋_GB2312" w:cs="仿宋_GB2312"/>
          <w:szCs w:val="32"/>
          <w:u w:val="single"/>
        </w:rPr>
        <w:t xml:space="preserve">  </w:t>
      </w:r>
      <w:r>
        <w:rPr>
          <w:rFonts w:hint="eastAsia" w:ascii="仿宋_GB2312" w:hAnsi="仿宋_GB2312" w:cs="仿宋_GB2312"/>
          <w:szCs w:val="32"/>
        </w:rPr>
        <w:t>万元，其中：一级项目</w:t>
      </w:r>
      <w:r>
        <w:rPr>
          <w:rFonts w:ascii="仿宋_GB2312" w:hAnsi="仿宋_GB2312" w:cs="仿宋_GB2312"/>
          <w:kern w:val="0"/>
          <w:szCs w:val="32"/>
          <w:u w:val="single"/>
        </w:rPr>
        <w:t>0</w:t>
      </w:r>
      <w:r>
        <w:rPr>
          <w:rFonts w:hint="eastAsia" w:ascii="仿宋_GB2312" w:hAnsi="仿宋_GB2312" w:cs="仿宋_GB2312"/>
          <w:szCs w:val="32"/>
          <w:u w:val="single"/>
        </w:rPr>
        <w:t xml:space="preserve"> </w:t>
      </w:r>
      <w:r>
        <w:rPr>
          <w:rFonts w:hint="eastAsia" w:ascii="仿宋_GB2312" w:hAnsi="仿宋_GB2312" w:cs="仿宋_GB2312"/>
          <w:szCs w:val="32"/>
        </w:rPr>
        <w:t>个，二级项目</w:t>
      </w:r>
      <w:r>
        <w:rPr>
          <w:rFonts w:hint="eastAsia" w:ascii="仿宋_GB2312" w:hAnsi="仿宋_GB2312" w:cs="仿宋_GB2312"/>
          <w:kern w:val="0"/>
          <w:szCs w:val="32"/>
          <w:u w:val="single"/>
        </w:rPr>
        <w:t xml:space="preserve">  </w:t>
      </w:r>
      <w:r>
        <w:rPr>
          <w:rFonts w:ascii="仿宋_GB2312" w:hAnsi="仿宋_GB2312" w:cs="仿宋_GB2312"/>
          <w:szCs w:val="32"/>
          <w:u w:val="single"/>
        </w:rPr>
        <w:t>2</w:t>
      </w:r>
      <w:r>
        <w:rPr>
          <w:rFonts w:hint="eastAsia" w:ascii="仿宋_GB2312" w:hAnsi="仿宋_GB2312" w:cs="仿宋_GB2312"/>
          <w:szCs w:val="32"/>
          <w:u w:val="single"/>
        </w:rPr>
        <w:t xml:space="preserve">  </w:t>
      </w:r>
      <w:r>
        <w:rPr>
          <w:rFonts w:hint="eastAsia" w:ascii="仿宋_GB2312" w:hAnsi="仿宋_GB2312" w:cs="仿宋_GB2312"/>
          <w:szCs w:val="32"/>
        </w:rPr>
        <w:t>个；使用本年拨款</w:t>
      </w:r>
      <w:r>
        <w:rPr>
          <w:rFonts w:hint="eastAsia" w:ascii="仿宋_GB2312" w:hAnsi="仿宋_GB2312" w:cs="仿宋_GB2312"/>
          <w:kern w:val="0"/>
          <w:szCs w:val="32"/>
          <w:u w:val="single"/>
        </w:rPr>
        <w:t xml:space="preserve">  </w:t>
      </w:r>
      <w:r>
        <w:rPr>
          <w:rFonts w:ascii="仿宋_GB2312" w:hAnsi="仿宋_GB2312" w:cs="仿宋_GB2312"/>
          <w:szCs w:val="32"/>
          <w:u w:val="single"/>
        </w:rPr>
        <w:t>12.46</w:t>
      </w:r>
      <w:r>
        <w:rPr>
          <w:rFonts w:hint="eastAsia" w:ascii="仿宋_GB2312" w:hAnsi="仿宋_GB2312" w:cs="仿宋_GB2312"/>
          <w:szCs w:val="32"/>
          <w:u w:val="single"/>
        </w:rPr>
        <w:t xml:space="preserve">  </w:t>
      </w:r>
      <w:r>
        <w:rPr>
          <w:rFonts w:hint="eastAsia" w:ascii="仿宋_GB2312" w:hAnsi="仿宋_GB2312" w:cs="仿宋_GB2312"/>
          <w:szCs w:val="32"/>
        </w:rPr>
        <w:t>万元，财政拨款结转</w:t>
      </w:r>
      <w:r>
        <w:rPr>
          <w:rFonts w:ascii="仿宋_GB2312" w:hAnsi="仿宋_GB2312" w:cs="仿宋_GB2312"/>
          <w:szCs w:val="32"/>
          <w:u w:val="single"/>
        </w:rPr>
        <w:t>0</w:t>
      </w:r>
      <w:r>
        <w:rPr>
          <w:rFonts w:hint="eastAsia" w:ascii="仿宋_GB2312" w:hAnsi="仿宋_GB2312" w:cs="仿宋_GB2312"/>
          <w:szCs w:val="32"/>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ascii="仿宋_GB2312" w:hAnsi="仿宋_GB2312" w:cs="仿宋_GB2312"/>
          <w:szCs w:val="32"/>
        </w:rPr>
      </w:pPr>
      <w:r>
        <w:rPr>
          <w:rFonts w:hint="eastAsia" w:ascii="仿宋_GB2312" w:hAnsi="仿宋_GB2312" w:cs="仿宋_GB2312"/>
        </w:rPr>
        <w:t>按照全面实施预算绩效管理的要求，结合本部门职能和重点工作，2024年确定</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rPr>
        <w:t>个一级项目支出的绩效目标和指标向社会公开，涉及金额</w:t>
      </w:r>
      <w:r>
        <w:rPr>
          <w:rFonts w:hint="eastAsia" w:ascii="仿宋_GB2312" w:hAnsi="仿宋_GB2312" w:cs="仿宋_GB2312"/>
          <w:kern w:val="0"/>
          <w:szCs w:val="32"/>
          <w:u w:val="single"/>
        </w:rPr>
        <w:t xml:space="preserve">  </w:t>
      </w:r>
      <w:r>
        <w:rPr>
          <w:rFonts w:hint="eastAsia" w:ascii="仿宋_GB2312" w:hAnsi="仿宋_GB2312" w:cs="仿宋_GB2312"/>
          <w:szCs w:val="32"/>
          <w:u w:val="single"/>
        </w:rPr>
        <w:t xml:space="preserve">0  </w:t>
      </w:r>
      <w:r>
        <w:rPr>
          <w:rFonts w:hint="eastAsia" w:ascii="仿宋_GB2312" w:hAnsi="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ascii="仿宋_GB2312" w:hAnsi="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cs="仿宋_GB2312"/>
          <w:szCs w:val="32"/>
        </w:rPr>
        <w:t>指除上述“一般公共预算拨款收入”、“政府性基金预算拨款收入”、“事业收入”、“事业单位经营收入”等以外的收入。</w:t>
      </w:r>
    </w:p>
    <w:p>
      <w:pPr>
        <w:ind w:firstLine="640"/>
        <w:rPr>
          <w:rFonts w:ascii="仿宋_GB2312" w:hAnsi="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4" w:type="default"/>
      <w:footerReference r:id="rId6" w:type="default"/>
      <w:headerReference r:id="rId5" w:type="even"/>
      <w:footerReference r:id="rId7"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287" w:usb1="080F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0000000000000000000"/>
    <w:charset w:val="86"/>
    <w:family w:val="auto"/>
    <w:pitch w:val="default"/>
    <w:sig w:usb0="00000000" w:usb1="00000000" w:usb2="00000000" w:usb3="00000000" w:csb0="00040000" w:csb1="00000000"/>
  </w:font>
  <w:font w:name="楷体">
    <w:altName w:val="楷体_GB2312"/>
    <w:panose1 w:val="02010609060101010101"/>
    <w:charset w:val="86"/>
    <w:family w:val="auto"/>
    <w:pitch w:val="default"/>
    <w:sig w:usb0="800002BF" w:usb1="38CF7CFA" w:usb2="00000016" w:usb3="00000000" w:csb0="00040001" w:csb1="00000000"/>
  </w:font>
  <w:font w:name="仿宋">
    <w:altName w:val="仿宋_GB2312"/>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20</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12321409">
    <w:nsid w:val="601A1281"/>
    <w:multiLevelType w:val="singleLevel"/>
    <w:tmpl w:val="601A1281"/>
    <w:lvl w:ilvl="0" w:tentative="1">
      <w:start w:val="4"/>
      <w:numFmt w:val="chineseCounting"/>
      <w:suff w:val="nothing"/>
      <w:lvlText w:val="（%1）"/>
      <w:lvlJc w:val="left"/>
    </w:lvl>
  </w:abstractNum>
  <w:num w:numId="1">
    <w:abstractNumId w:val="16123214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5"/>
  <w:drawingGridHorizontalSpacing w:val="156"/>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NGM2MjcwZWRmODk3Y2ExNDY1MDAwOGY3MTUwYmExNmQifQ=="/>
  </w:docVars>
  <w:rsids>
    <w:rsidRoot w:val="48674ED2"/>
    <w:rsid w:val="000111AA"/>
    <w:rsid w:val="000376C2"/>
    <w:rsid w:val="00040CB3"/>
    <w:rsid w:val="000B1154"/>
    <w:rsid w:val="000C6D48"/>
    <w:rsid w:val="000D7FB8"/>
    <w:rsid w:val="000E06DC"/>
    <w:rsid w:val="000E5FD6"/>
    <w:rsid w:val="00102492"/>
    <w:rsid w:val="0014243E"/>
    <w:rsid w:val="00145456"/>
    <w:rsid w:val="001502E6"/>
    <w:rsid w:val="002066B2"/>
    <w:rsid w:val="00210CCA"/>
    <w:rsid w:val="0022257B"/>
    <w:rsid w:val="00222758"/>
    <w:rsid w:val="002300BA"/>
    <w:rsid w:val="00292A39"/>
    <w:rsid w:val="002973C4"/>
    <w:rsid w:val="002A5441"/>
    <w:rsid w:val="002E4F2D"/>
    <w:rsid w:val="002E7CD8"/>
    <w:rsid w:val="003058FE"/>
    <w:rsid w:val="00313FDC"/>
    <w:rsid w:val="00345279"/>
    <w:rsid w:val="00357B6B"/>
    <w:rsid w:val="00367BC1"/>
    <w:rsid w:val="00391DDE"/>
    <w:rsid w:val="00396D8D"/>
    <w:rsid w:val="00397CCA"/>
    <w:rsid w:val="003D25D3"/>
    <w:rsid w:val="003D2B37"/>
    <w:rsid w:val="00412D07"/>
    <w:rsid w:val="00413302"/>
    <w:rsid w:val="00426F96"/>
    <w:rsid w:val="004369F8"/>
    <w:rsid w:val="004547A2"/>
    <w:rsid w:val="00454940"/>
    <w:rsid w:val="00461615"/>
    <w:rsid w:val="00487479"/>
    <w:rsid w:val="00493956"/>
    <w:rsid w:val="004B14BF"/>
    <w:rsid w:val="00514321"/>
    <w:rsid w:val="005403E9"/>
    <w:rsid w:val="00584D1B"/>
    <w:rsid w:val="00586A56"/>
    <w:rsid w:val="005C34D8"/>
    <w:rsid w:val="005D09CB"/>
    <w:rsid w:val="005D33A6"/>
    <w:rsid w:val="005D5B16"/>
    <w:rsid w:val="005F1162"/>
    <w:rsid w:val="005F314F"/>
    <w:rsid w:val="005F5AB7"/>
    <w:rsid w:val="0060264C"/>
    <w:rsid w:val="00623896"/>
    <w:rsid w:val="006358AE"/>
    <w:rsid w:val="00635A80"/>
    <w:rsid w:val="006B3914"/>
    <w:rsid w:val="006C5C6A"/>
    <w:rsid w:val="006C739F"/>
    <w:rsid w:val="006D0687"/>
    <w:rsid w:val="00710379"/>
    <w:rsid w:val="00741553"/>
    <w:rsid w:val="0074231E"/>
    <w:rsid w:val="0076069E"/>
    <w:rsid w:val="007638E0"/>
    <w:rsid w:val="00766EE2"/>
    <w:rsid w:val="007C1DEB"/>
    <w:rsid w:val="007D5F15"/>
    <w:rsid w:val="007E32A1"/>
    <w:rsid w:val="00803683"/>
    <w:rsid w:val="00812796"/>
    <w:rsid w:val="00825722"/>
    <w:rsid w:val="00832D02"/>
    <w:rsid w:val="00841DA8"/>
    <w:rsid w:val="00851A6F"/>
    <w:rsid w:val="00870789"/>
    <w:rsid w:val="00876AFD"/>
    <w:rsid w:val="00882542"/>
    <w:rsid w:val="008913D5"/>
    <w:rsid w:val="00896C22"/>
    <w:rsid w:val="008B3C90"/>
    <w:rsid w:val="008C034B"/>
    <w:rsid w:val="008F54F8"/>
    <w:rsid w:val="0091631A"/>
    <w:rsid w:val="00922347"/>
    <w:rsid w:val="00932BEF"/>
    <w:rsid w:val="0096603E"/>
    <w:rsid w:val="00983A8D"/>
    <w:rsid w:val="00990D15"/>
    <w:rsid w:val="009A6F03"/>
    <w:rsid w:val="009B2F41"/>
    <w:rsid w:val="009D205B"/>
    <w:rsid w:val="009E093A"/>
    <w:rsid w:val="009F7DBC"/>
    <w:rsid w:val="00A34894"/>
    <w:rsid w:val="00A73E5D"/>
    <w:rsid w:val="00A96058"/>
    <w:rsid w:val="00A97218"/>
    <w:rsid w:val="00AB210E"/>
    <w:rsid w:val="00AB772C"/>
    <w:rsid w:val="00AD4E96"/>
    <w:rsid w:val="00B05DD3"/>
    <w:rsid w:val="00B60748"/>
    <w:rsid w:val="00B62F90"/>
    <w:rsid w:val="00B642BF"/>
    <w:rsid w:val="00B668F4"/>
    <w:rsid w:val="00B75255"/>
    <w:rsid w:val="00BA7D5D"/>
    <w:rsid w:val="00BB6FD3"/>
    <w:rsid w:val="00BE1CDD"/>
    <w:rsid w:val="00C36C22"/>
    <w:rsid w:val="00C4554A"/>
    <w:rsid w:val="00C55740"/>
    <w:rsid w:val="00C60D5D"/>
    <w:rsid w:val="00C61DCF"/>
    <w:rsid w:val="00C72061"/>
    <w:rsid w:val="00C7255B"/>
    <w:rsid w:val="00CA1FFF"/>
    <w:rsid w:val="00CC6E11"/>
    <w:rsid w:val="00CC7209"/>
    <w:rsid w:val="00D00F51"/>
    <w:rsid w:val="00D22FF4"/>
    <w:rsid w:val="00D33284"/>
    <w:rsid w:val="00D44841"/>
    <w:rsid w:val="00D55467"/>
    <w:rsid w:val="00D66373"/>
    <w:rsid w:val="00D71247"/>
    <w:rsid w:val="00D8527F"/>
    <w:rsid w:val="00D86AFE"/>
    <w:rsid w:val="00DA78CC"/>
    <w:rsid w:val="00DF0F79"/>
    <w:rsid w:val="00E006F1"/>
    <w:rsid w:val="00E00855"/>
    <w:rsid w:val="00E02017"/>
    <w:rsid w:val="00E112A0"/>
    <w:rsid w:val="00E22C47"/>
    <w:rsid w:val="00E56E3F"/>
    <w:rsid w:val="00E56F79"/>
    <w:rsid w:val="00E67450"/>
    <w:rsid w:val="00E67C8A"/>
    <w:rsid w:val="00E82D48"/>
    <w:rsid w:val="00EC73B7"/>
    <w:rsid w:val="00ED6FF1"/>
    <w:rsid w:val="00EE1F67"/>
    <w:rsid w:val="00F2610C"/>
    <w:rsid w:val="00F4313C"/>
    <w:rsid w:val="00F47B19"/>
    <w:rsid w:val="00F7193F"/>
    <w:rsid w:val="00F7462C"/>
    <w:rsid w:val="00F821E5"/>
    <w:rsid w:val="00F8523B"/>
    <w:rsid w:val="00FB0803"/>
    <w:rsid w:val="00FC3A9E"/>
    <w:rsid w:val="00FC5CDE"/>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9636A"/>
    <w:rsid w:val="099F1312"/>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B7259C"/>
    <w:rsid w:val="13F21722"/>
    <w:rsid w:val="1441443C"/>
    <w:rsid w:val="14C12787"/>
    <w:rsid w:val="15593E10"/>
    <w:rsid w:val="1591523F"/>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830C27"/>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240D74"/>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86447F"/>
    <w:rsid w:val="45EB670F"/>
    <w:rsid w:val="46AB7C0D"/>
    <w:rsid w:val="46B8568D"/>
    <w:rsid w:val="46D44808"/>
    <w:rsid w:val="47BC511B"/>
    <w:rsid w:val="47CF49E6"/>
    <w:rsid w:val="481B3E31"/>
    <w:rsid w:val="4843587B"/>
    <w:rsid w:val="48674ED2"/>
    <w:rsid w:val="487708E6"/>
    <w:rsid w:val="48DF78A2"/>
    <w:rsid w:val="49645F71"/>
    <w:rsid w:val="499F5C68"/>
    <w:rsid w:val="4A906782"/>
    <w:rsid w:val="4AF16062"/>
    <w:rsid w:val="4B646DDD"/>
    <w:rsid w:val="4B7F44F8"/>
    <w:rsid w:val="4BAC24C5"/>
    <w:rsid w:val="4BFA0656"/>
    <w:rsid w:val="4C5567C9"/>
    <w:rsid w:val="4C747526"/>
    <w:rsid w:val="4D730507"/>
    <w:rsid w:val="4D741DD3"/>
    <w:rsid w:val="4DC93207"/>
    <w:rsid w:val="4E2A22FD"/>
    <w:rsid w:val="4E8D5761"/>
    <w:rsid w:val="4EF54A85"/>
    <w:rsid w:val="4F6F75D9"/>
    <w:rsid w:val="4F8E4BD5"/>
    <w:rsid w:val="501B3C66"/>
    <w:rsid w:val="504B40C5"/>
    <w:rsid w:val="50987DC2"/>
    <w:rsid w:val="50A4703E"/>
    <w:rsid w:val="50C47A43"/>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382BBD"/>
    <w:rsid w:val="5D5A7C63"/>
    <w:rsid w:val="5E256F6F"/>
    <w:rsid w:val="5F6235A9"/>
    <w:rsid w:val="614125C2"/>
    <w:rsid w:val="621F210B"/>
    <w:rsid w:val="624C5C52"/>
    <w:rsid w:val="63952BB5"/>
    <w:rsid w:val="63DF08E4"/>
    <w:rsid w:val="64127E15"/>
    <w:rsid w:val="64C04AFD"/>
    <w:rsid w:val="661A7B69"/>
    <w:rsid w:val="664909C1"/>
    <w:rsid w:val="66C63EB5"/>
    <w:rsid w:val="677772D0"/>
    <w:rsid w:val="679461D3"/>
    <w:rsid w:val="6858287E"/>
    <w:rsid w:val="69157114"/>
    <w:rsid w:val="691A443E"/>
    <w:rsid w:val="69FC6460"/>
    <w:rsid w:val="6A80735F"/>
    <w:rsid w:val="6ACC5E47"/>
    <w:rsid w:val="6AD43ED1"/>
    <w:rsid w:val="6B11024D"/>
    <w:rsid w:val="6B7D5B36"/>
    <w:rsid w:val="6CF120A8"/>
    <w:rsid w:val="6D78732D"/>
    <w:rsid w:val="6F1E68FE"/>
    <w:rsid w:val="714213DD"/>
    <w:rsid w:val="716507DE"/>
    <w:rsid w:val="717F272E"/>
    <w:rsid w:val="71C10A07"/>
    <w:rsid w:val="728027C6"/>
    <w:rsid w:val="72D54D7C"/>
    <w:rsid w:val="737664E0"/>
    <w:rsid w:val="73CB480E"/>
    <w:rsid w:val="73FE7ACC"/>
    <w:rsid w:val="74053F35"/>
    <w:rsid w:val="74556746"/>
    <w:rsid w:val="74AB7A24"/>
    <w:rsid w:val="76BB79B1"/>
    <w:rsid w:val="76C17E06"/>
    <w:rsid w:val="76CA67BD"/>
    <w:rsid w:val="774E6400"/>
    <w:rsid w:val="775B0046"/>
    <w:rsid w:val="77ED1108"/>
    <w:rsid w:val="78796248"/>
    <w:rsid w:val="79700BEF"/>
    <w:rsid w:val="79F85634"/>
    <w:rsid w:val="7A090695"/>
    <w:rsid w:val="7AE175F4"/>
    <w:rsid w:val="7B417685"/>
    <w:rsid w:val="7B5220F0"/>
    <w:rsid w:val="7BA169C0"/>
    <w:rsid w:val="7BE95D3C"/>
    <w:rsid w:val="7CAD595B"/>
    <w:rsid w:val="7CF65D07"/>
    <w:rsid w:val="7D2975D1"/>
    <w:rsid w:val="7DCC0CD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unhideWhenUsed/>
    <w:uiPriority w:val="1"/>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7">
    <w:name w:val="页脚 New New New New New"/>
    <w:basedOn w:val="1"/>
    <w:qFormat/>
    <w:uiPriority w:val="0"/>
    <w:pPr>
      <w:tabs>
        <w:tab w:val="center" w:pos="4153"/>
        <w:tab w:val="right" w:pos="8306"/>
      </w:tabs>
      <w:snapToGrid w:val="0"/>
      <w:jc w:val="left"/>
    </w:pPr>
    <w:rPr>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sz w:val="18"/>
    </w:rPr>
  </w:style>
  <w:style w:type="paragraph" w:customStyle="1" w:styleId="47">
    <w:name w:val="页脚 New New New New New New New New New"/>
    <w:basedOn w:val="1"/>
    <w:qFormat/>
    <w:uiPriority w:val="0"/>
    <w:pPr>
      <w:tabs>
        <w:tab w:val="center" w:pos="4153"/>
        <w:tab w:val="right" w:pos="8306"/>
      </w:tabs>
      <w:snapToGrid w:val="0"/>
      <w:jc w:val="left"/>
    </w:pPr>
    <w:rPr>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sz w:val="18"/>
    </w:rPr>
  </w:style>
  <w:style w:type="paragraph" w:customStyle="1" w:styleId="53">
    <w:name w:val="页脚 New New New New New New"/>
    <w:basedOn w:val="1"/>
    <w:qFormat/>
    <w:uiPriority w:val="0"/>
    <w:pPr>
      <w:tabs>
        <w:tab w:val="center" w:pos="4153"/>
        <w:tab w:val="right" w:pos="8306"/>
      </w:tabs>
      <w:snapToGrid w:val="0"/>
      <w:jc w:val="left"/>
    </w:pPr>
    <w:rPr>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sz w:val="18"/>
    </w:rPr>
  </w:style>
  <w:style w:type="character" w:customStyle="1" w:styleId="76">
    <w:name w:val="批注框文本 Char"/>
    <w:link w:val="5"/>
    <w:qFormat/>
    <w:uiPriority w:val="0"/>
    <w:rPr>
      <w:rFonts w:eastAsia="仿宋_GB2312"/>
      <w:kern w:val="2"/>
      <w:sz w:val="18"/>
      <w:szCs w:val="18"/>
    </w:rPr>
  </w:style>
  <w:style w:type="character" w:customStyle="1" w:styleId="77">
    <w:name w:val="页脚 Char"/>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16"/>
    <w:qFormat/>
    <w:uiPriority w:val="99"/>
    <w:rPr>
      <w:rFonts w:ascii="Times New Roman" w:eastAsia="楷体_GB2312" w:cs="楷体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0" Type="http://schemas.openxmlformats.org/officeDocument/2006/relationships/numbering" Target="numbering.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Company>admin</Company>
  <Pages>30</Pages>
  <Words>1797</Words>
  <Characters>10245</Characters>
  <Lines>85</Lines>
  <Paragraphs>24</Paragraphs>
  <TotalTime>0</TotalTime>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2024-01-27T05:05:48Z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