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通榆县教育局2024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3240" w:firstLineChars="900"/>
        <w:jc w:val="both"/>
        <w:rPr>
          <w:rFonts w:eastAsia="楷体_GB2312"/>
        </w:rPr>
      </w:pPr>
      <w:r>
        <w:rPr>
          <w:rFonts w:eastAsia="黑体"/>
          <w:sz w:val="36"/>
          <w:szCs w:val="36"/>
        </w:rPr>
        <w:t xml:space="preserve">第一部分 </w:t>
      </w:r>
    </w:p>
    <w:p>
      <w:pPr>
        <w:ind w:firstLine="640" w:firstLineChars="200"/>
        <w:rPr>
          <w:rFonts w:eastAsia="楷体_GB2312"/>
        </w:rPr>
      </w:pPr>
      <w:r>
        <w:rPr>
          <w:rFonts w:eastAsia="楷体_GB2312"/>
        </w:rPr>
        <w:t>一、主要职能</w:t>
      </w:r>
    </w:p>
    <w:p>
      <w:pPr>
        <w:pStyle w:val="44"/>
        <w:ind w:firstLine="640" w:firstLineChars="200"/>
        <w:rPr>
          <w:rFonts w:hint="eastAsia"/>
          <w:bCs/>
          <w:color w:val="6D6E71"/>
        </w:rPr>
      </w:pPr>
      <w:r>
        <w:rPr>
          <w:rFonts w:hint="eastAsia"/>
          <w:bCs/>
          <w:color w:val="6D6E71"/>
        </w:rPr>
        <w:t>1、贯彻执行中央和省关于教育工作的路线、方针、政策、法规、规章制度并监督执行。</w:t>
      </w:r>
    </w:p>
    <w:p>
      <w:pPr>
        <w:pStyle w:val="44"/>
        <w:ind w:firstLine="640" w:firstLineChars="200"/>
        <w:rPr>
          <w:rFonts w:hint="eastAsia"/>
          <w:bCs/>
          <w:color w:val="6D6E71"/>
        </w:rPr>
      </w:pPr>
      <w:r>
        <w:rPr>
          <w:rFonts w:hint="eastAsia"/>
          <w:bCs/>
          <w:color w:val="6D6E71"/>
        </w:rPr>
        <w:t xml:space="preserve">2、研究制定全县教育事业发展规划，拟订教育发展规模、速度和步骤，指导、协调教育规划、计划的实施。  </w:t>
      </w:r>
    </w:p>
    <w:p>
      <w:pPr>
        <w:pStyle w:val="44"/>
        <w:ind w:firstLine="640" w:firstLineChars="200"/>
        <w:rPr>
          <w:rFonts w:hint="eastAsia"/>
          <w:bCs/>
          <w:color w:val="6D6E71"/>
        </w:rPr>
      </w:pPr>
      <w:r>
        <w:rPr>
          <w:rFonts w:hint="eastAsia"/>
          <w:bCs/>
          <w:color w:val="6D6E71"/>
        </w:rPr>
        <w:t xml:space="preserve">3、综合管理全县的基础教育、幼儿教育、民族教育、特殊教育、职业技术教育、成人教育、扫除青壮年文盲及社会力量办学工作。指导协调各学校及局直单位的教育工作。    </w:t>
      </w:r>
    </w:p>
    <w:p>
      <w:pPr>
        <w:pStyle w:val="44"/>
        <w:ind w:firstLine="640" w:firstLineChars="200"/>
        <w:rPr>
          <w:rFonts w:hint="eastAsia"/>
          <w:bCs/>
          <w:color w:val="6D6E71"/>
        </w:rPr>
      </w:pPr>
      <w:r>
        <w:rPr>
          <w:rFonts w:hint="eastAsia"/>
          <w:bCs/>
          <w:color w:val="6D6E71"/>
        </w:rPr>
        <w:t>4、统筹规划、部署、指导教育体制和办学体制改革，理顺教育内部同外部的关系。</w:t>
      </w:r>
    </w:p>
    <w:p>
      <w:pPr>
        <w:pStyle w:val="44"/>
        <w:ind w:firstLine="640" w:firstLineChars="200"/>
        <w:rPr>
          <w:rFonts w:hint="eastAsia"/>
          <w:bCs/>
          <w:color w:val="6D6E71"/>
        </w:rPr>
      </w:pPr>
      <w:r>
        <w:rPr>
          <w:rFonts w:hint="eastAsia"/>
          <w:bCs/>
          <w:color w:val="6D6E71"/>
        </w:rPr>
        <w:t xml:space="preserve">5、统筹管理教育经费，监测各校教育经费筹措和使用情况，会同有关部门制定筹措教育经费、教育拨款、教育基建投资的办法和原则。按照有关规定，管理国内、外对本县的教育援助和教育贷款，负责教育国有资产管理和教育内部审计工作。    </w:t>
      </w:r>
    </w:p>
    <w:p>
      <w:pPr>
        <w:pStyle w:val="44"/>
        <w:ind w:firstLine="640" w:firstLineChars="200"/>
        <w:rPr>
          <w:rFonts w:hint="eastAsia"/>
          <w:bCs/>
          <w:color w:val="6D6E71"/>
        </w:rPr>
      </w:pPr>
      <w:r>
        <w:rPr>
          <w:rFonts w:hint="eastAsia"/>
          <w:bCs/>
          <w:color w:val="6D6E71"/>
        </w:rPr>
        <w:t>6、编制全县教育事业发展规划，拟订全县教育的校舍建设工作的规划和年度计划，负责校园建设、管理工作；负责全县学校的勤工俭学工作。</w:t>
      </w:r>
    </w:p>
    <w:p>
      <w:pPr>
        <w:pStyle w:val="44"/>
        <w:ind w:firstLine="640" w:firstLineChars="200"/>
        <w:rPr>
          <w:rFonts w:hint="eastAsia"/>
          <w:bCs/>
          <w:color w:val="6D6E71"/>
        </w:rPr>
      </w:pPr>
      <w:r>
        <w:rPr>
          <w:rFonts w:hint="eastAsia"/>
          <w:bCs/>
          <w:color w:val="6D6E71"/>
        </w:rPr>
        <w:t>7、综合管理、指导各学校及单位党的建设和思想政治工作以及群团、统战、计划生育、信访投诉等工作。管理中小学校及局直单位的领导班子和领导干部。负责教育的纪检监察工作和行风建设、法制建设、综合治理工作。</w:t>
      </w:r>
    </w:p>
    <w:p>
      <w:pPr>
        <w:pStyle w:val="44"/>
        <w:ind w:firstLine="640" w:firstLineChars="200"/>
        <w:rPr>
          <w:rFonts w:hint="eastAsia"/>
          <w:bCs/>
          <w:color w:val="6D6E71"/>
        </w:rPr>
      </w:pPr>
      <w:r>
        <w:rPr>
          <w:rFonts w:hint="eastAsia"/>
          <w:bCs/>
          <w:color w:val="6D6E71"/>
        </w:rPr>
        <w:t xml:space="preserve">8、主管全县的教师工作。会同有关部门制定和执行教育系统工资福利和人事管理工作的规章制度；指导全县学校人事制度和分配制度改革；负责全县的教师资格认定和管理工作；统筹规划、指导各级各类教师和管理人员队伍建设；负责教育系统知识分子工作。  </w:t>
      </w:r>
    </w:p>
    <w:p>
      <w:pPr>
        <w:pStyle w:val="44"/>
        <w:ind w:firstLine="640" w:firstLineChars="200"/>
        <w:rPr>
          <w:rFonts w:hint="eastAsia"/>
          <w:bCs/>
          <w:color w:val="6D6E71"/>
        </w:rPr>
      </w:pPr>
      <w:r>
        <w:rPr>
          <w:rFonts w:hint="eastAsia"/>
          <w:bCs/>
          <w:color w:val="6D6E71"/>
        </w:rPr>
        <w:t>9、规划和指导全县各级各类学校的思想政治工作、德育工作、教学工作、体育卫生与艺术、国防教育工作和社会实践工作，全面推进素质教育。协调并指导学校的安全文明校园建设工作和社会治安综合治理工作。</w:t>
      </w:r>
    </w:p>
    <w:p>
      <w:pPr>
        <w:pStyle w:val="44"/>
        <w:ind w:firstLine="640" w:firstLineChars="200"/>
        <w:rPr>
          <w:rFonts w:hint="eastAsia"/>
          <w:bCs/>
          <w:color w:val="6D6E71"/>
        </w:rPr>
      </w:pPr>
      <w:r>
        <w:rPr>
          <w:rFonts w:hint="eastAsia"/>
          <w:bCs/>
          <w:color w:val="6D6E71"/>
        </w:rPr>
        <w:t xml:space="preserve">10、统筹管理各类学校的招生考试工作。制定普通高中、职业高中学校招生计划。   </w:t>
      </w:r>
    </w:p>
    <w:p>
      <w:pPr>
        <w:pStyle w:val="44"/>
        <w:ind w:firstLine="640" w:firstLineChars="200"/>
        <w:rPr>
          <w:rFonts w:hint="eastAsia"/>
          <w:bCs/>
          <w:color w:val="6D6E71"/>
        </w:rPr>
      </w:pPr>
      <w:r>
        <w:rPr>
          <w:rFonts w:hint="eastAsia"/>
          <w:bCs/>
          <w:color w:val="6D6E71"/>
        </w:rPr>
        <w:t>11、宣传并贯彻执行国家语言文字工作的方针、政策。贯彻国家汉语和少数民族语言文字规范和标准。指导推广普通话和普通话测试工作。</w:t>
      </w:r>
    </w:p>
    <w:p>
      <w:pPr>
        <w:pStyle w:val="44"/>
        <w:ind w:firstLine="640" w:firstLineChars="200"/>
        <w:rPr>
          <w:rFonts w:hint="eastAsia"/>
          <w:bCs/>
          <w:color w:val="6D6E71"/>
        </w:rPr>
      </w:pPr>
      <w:r>
        <w:rPr>
          <w:rFonts w:hint="eastAsia"/>
          <w:bCs/>
          <w:color w:val="6D6E71"/>
        </w:rPr>
        <w:t>12、负责全县教育信息系统的开发和建设，负责教育基本信息的统计、分析、上报和发布。</w:t>
      </w:r>
    </w:p>
    <w:p>
      <w:pPr>
        <w:pStyle w:val="44"/>
        <w:ind w:firstLine="640" w:firstLineChars="200"/>
        <w:rPr>
          <w:rFonts w:hint="eastAsia"/>
          <w:bCs/>
          <w:color w:val="6D6E71"/>
        </w:rPr>
      </w:pPr>
      <w:r>
        <w:rPr>
          <w:rFonts w:hint="eastAsia"/>
          <w:bCs/>
          <w:color w:val="6D6E71"/>
        </w:rPr>
        <w:t xml:space="preserve">13、指导教育学会、协会、基金会等社团组织和校外教育工作。        </w:t>
      </w:r>
    </w:p>
    <w:p>
      <w:pPr>
        <w:pStyle w:val="44"/>
        <w:ind w:firstLine="640" w:firstLineChars="200"/>
        <w:rPr>
          <w:rFonts w:hint="eastAsia"/>
          <w:bCs/>
          <w:color w:val="6D6E71"/>
        </w:rPr>
      </w:pPr>
      <w:r>
        <w:rPr>
          <w:rFonts w:hint="eastAsia"/>
          <w:bCs/>
          <w:color w:val="6D6E71"/>
        </w:rPr>
        <w:t>14、代县政府管理县政府教育督导室，对全县各乡（镇、场）人民政府的教育工作和学校的工作进行监督、检查、指导、评估；统筹规划实施全县教育督导工作。</w:t>
      </w:r>
    </w:p>
    <w:p>
      <w:pPr>
        <w:pStyle w:val="44"/>
        <w:ind w:firstLine="640" w:firstLineChars="200"/>
        <w:rPr>
          <w:color w:val="000000"/>
          <w:sz w:val="21"/>
          <w:szCs w:val="21"/>
        </w:rPr>
      </w:pPr>
      <w:r>
        <w:rPr>
          <w:rFonts w:hint="eastAsia"/>
          <w:bCs/>
          <w:color w:val="6D6E71"/>
        </w:rPr>
        <w:t>15、完成县政府交办的其他工作。</w:t>
      </w:r>
    </w:p>
    <w:p>
      <w:pPr>
        <w:ind w:firstLine="640" w:firstLineChars="200"/>
      </w:pPr>
      <w:r>
        <w:rPr>
          <w:rFonts w:eastAsia="楷体_GB2312"/>
        </w:rPr>
        <w:t>二、机构设置</w:t>
      </w:r>
    </w:p>
    <w:p>
      <w:pPr>
        <w:pStyle w:val="44"/>
        <w:ind w:firstLine="1280" w:firstLineChars="400"/>
        <w:rPr>
          <w:rFonts w:ascii="宋体" w:hAnsi="宋体"/>
        </w:rPr>
      </w:pPr>
      <w:r>
        <w:rPr>
          <w:rFonts w:ascii="宋体" w:hAnsi="宋体"/>
        </w:rPr>
        <w:t>根据上述职责，</w:t>
      </w:r>
      <w:r>
        <w:rPr>
          <w:rFonts w:hint="eastAsia" w:ascii="宋体" w:hAnsi="宋体"/>
        </w:rPr>
        <w:t>通榆县教育</w:t>
      </w:r>
      <w:r>
        <w:rPr>
          <w:rFonts w:hint="eastAsia" w:ascii="宋体" w:hAnsi="宋体"/>
          <w:u w:val="single"/>
        </w:rPr>
        <w:t>局</w:t>
      </w:r>
      <w:r>
        <w:rPr>
          <w:rFonts w:ascii="宋体" w:hAnsi="宋体"/>
        </w:rPr>
        <w:t>内设</w:t>
      </w:r>
      <w:r>
        <w:rPr>
          <w:rFonts w:hint="eastAsia" w:ascii="宋体" w:hAnsi="宋体"/>
        </w:rPr>
        <w:t>7</w:t>
      </w:r>
      <w:r>
        <w:rPr>
          <w:rFonts w:ascii="宋体" w:hAnsi="宋体"/>
        </w:rPr>
        <w:t>个机构。</w:t>
      </w:r>
    </w:p>
    <w:p>
      <w:pPr>
        <w:pStyle w:val="44"/>
        <w:ind w:firstLine="640" w:firstLineChars="200"/>
        <w:rPr>
          <w:rFonts w:hint="eastAsia" w:ascii="宋体" w:hAnsi="宋体"/>
        </w:rPr>
      </w:pPr>
      <w:r>
        <w:rPr>
          <w:rFonts w:hint="eastAsia" w:ascii="宋体" w:hAnsi="宋体"/>
        </w:rPr>
        <w:t>1、秘书科（或办公室）：</w:t>
      </w:r>
    </w:p>
    <w:p>
      <w:pPr>
        <w:pStyle w:val="44"/>
        <w:ind w:firstLine="640" w:firstLineChars="200"/>
        <w:rPr>
          <w:rFonts w:hint="eastAsia" w:ascii="宋体" w:hAnsi="宋体"/>
        </w:rPr>
      </w:pPr>
      <w:r>
        <w:rPr>
          <w:rFonts w:hint="eastAsia" w:ascii="宋体" w:hAnsi="宋体"/>
        </w:rPr>
        <w:t>⑴负责教育规划、计划、总结、综合性领导讲话等有关文件的起草及各种文件的收发和审核工作；</w:t>
      </w:r>
    </w:p>
    <w:p>
      <w:pPr>
        <w:pStyle w:val="44"/>
        <w:ind w:firstLine="640" w:firstLineChars="200"/>
        <w:rPr>
          <w:rFonts w:hint="eastAsia" w:ascii="宋体" w:hAnsi="宋体"/>
        </w:rPr>
      </w:pPr>
      <w:r>
        <w:rPr>
          <w:rFonts w:hint="eastAsia" w:ascii="宋体" w:hAnsi="宋体"/>
        </w:rPr>
        <w:t>⑵负责全局性会议的组织和会务工作；</w:t>
      </w:r>
    </w:p>
    <w:p>
      <w:pPr>
        <w:pStyle w:val="44"/>
        <w:ind w:firstLine="640" w:firstLineChars="200"/>
        <w:rPr>
          <w:rFonts w:hint="eastAsia" w:ascii="宋体" w:hAnsi="宋体"/>
        </w:rPr>
      </w:pPr>
      <w:r>
        <w:rPr>
          <w:rFonts w:hint="eastAsia" w:ascii="宋体" w:hAnsi="宋体"/>
        </w:rPr>
        <w:t>⑶负责信息处理、网站、打字、印刷、档案、资料、印章等管理工作；</w:t>
      </w:r>
    </w:p>
    <w:p>
      <w:pPr>
        <w:pStyle w:val="44"/>
        <w:ind w:firstLine="640" w:firstLineChars="200"/>
        <w:rPr>
          <w:rFonts w:hint="eastAsia" w:ascii="宋体" w:hAnsi="宋体"/>
        </w:rPr>
      </w:pPr>
      <w:r>
        <w:rPr>
          <w:rFonts w:hint="eastAsia" w:ascii="宋体" w:hAnsi="宋体"/>
        </w:rPr>
        <w:t>⑷综合协调机关重要政务、事务、外事等工作；</w:t>
      </w:r>
    </w:p>
    <w:p>
      <w:pPr>
        <w:pStyle w:val="44"/>
        <w:ind w:firstLine="640" w:firstLineChars="200"/>
        <w:rPr>
          <w:rFonts w:hint="eastAsia" w:ascii="宋体" w:hAnsi="宋体"/>
        </w:rPr>
      </w:pPr>
      <w:r>
        <w:rPr>
          <w:rFonts w:hint="eastAsia" w:ascii="宋体" w:hAnsi="宋体"/>
        </w:rPr>
        <w:t>⑸负责安全保卫和社会治安综合治理工作；</w:t>
      </w:r>
    </w:p>
    <w:p>
      <w:pPr>
        <w:pStyle w:val="44"/>
        <w:ind w:firstLine="640" w:firstLineChars="200"/>
        <w:rPr>
          <w:rFonts w:hint="eastAsia" w:ascii="宋体" w:hAnsi="宋体"/>
        </w:rPr>
      </w:pPr>
      <w:r>
        <w:rPr>
          <w:rFonts w:hint="eastAsia" w:ascii="宋体" w:hAnsi="宋体"/>
        </w:rPr>
        <w:t>⑹负责信访、投诉等工作；</w:t>
      </w:r>
    </w:p>
    <w:p>
      <w:pPr>
        <w:pStyle w:val="44"/>
        <w:ind w:firstLine="640" w:firstLineChars="200"/>
        <w:rPr>
          <w:rFonts w:hint="eastAsia" w:ascii="宋体" w:hAnsi="宋体"/>
        </w:rPr>
      </w:pPr>
      <w:r>
        <w:rPr>
          <w:rFonts w:hint="eastAsia" w:ascii="宋体" w:hAnsi="宋体"/>
        </w:rPr>
        <w:t>⑺负责机关人员岗位考核工作；</w:t>
      </w:r>
    </w:p>
    <w:p>
      <w:pPr>
        <w:pStyle w:val="44"/>
        <w:ind w:firstLine="640" w:firstLineChars="200"/>
        <w:rPr>
          <w:rFonts w:hint="eastAsia" w:ascii="宋体" w:hAnsi="宋体"/>
        </w:rPr>
      </w:pPr>
      <w:r>
        <w:rPr>
          <w:rFonts w:hint="eastAsia" w:ascii="宋体" w:hAnsi="宋体"/>
        </w:rPr>
        <w:t>⑻负责机关后勤事务工作，如公务用车、公务接待、办公用品购置、值日、值宿、卫生、电话等的管理工作。</w:t>
      </w:r>
    </w:p>
    <w:p>
      <w:pPr>
        <w:pStyle w:val="44"/>
        <w:ind w:firstLine="640" w:firstLineChars="200"/>
        <w:rPr>
          <w:rFonts w:hint="eastAsia" w:ascii="宋体" w:hAnsi="宋体"/>
        </w:rPr>
      </w:pPr>
      <w:r>
        <w:rPr>
          <w:rFonts w:hint="eastAsia" w:ascii="宋体" w:hAnsi="宋体"/>
        </w:rPr>
        <w:t>2、人事科：</w:t>
      </w:r>
    </w:p>
    <w:p>
      <w:pPr>
        <w:pStyle w:val="44"/>
        <w:ind w:firstLine="640" w:firstLineChars="200"/>
        <w:rPr>
          <w:rFonts w:hint="eastAsia" w:ascii="宋体" w:hAnsi="宋体"/>
        </w:rPr>
      </w:pPr>
      <w:r>
        <w:rPr>
          <w:rFonts w:hint="eastAsia" w:ascii="宋体" w:hAnsi="宋体"/>
        </w:rPr>
        <w:t>⑴负责全县教职工队伍建设与管理。包括调配、考核、培训、奖惩、退休、病退等工作；</w:t>
      </w:r>
    </w:p>
    <w:p>
      <w:pPr>
        <w:pStyle w:val="44"/>
        <w:ind w:firstLine="640" w:firstLineChars="200"/>
        <w:rPr>
          <w:rFonts w:hint="eastAsia" w:ascii="宋体" w:hAnsi="宋体"/>
        </w:rPr>
      </w:pPr>
      <w:r>
        <w:rPr>
          <w:rFonts w:hint="eastAsia" w:ascii="宋体" w:hAnsi="宋体"/>
        </w:rPr>
        <w:t>⑵负责机关及所属单位的机构和编制核定工作；</w:t>
      </w:r>
    </w:p>
    <w:p>
      <w:pPr>
        <w:pStyle w:val="44"/>
        <w:ind w:firstLine="640" w:firstLineChars="200"/>
        <w:rPr>
          <w:rFonts w:hint="eastAsia" w:ascii="宋体" w:hAnsi="宋体"/>
        </w:rPr>
      </w:pPr>
      <w:r>
        <w:rPr>
          <w:rFonts w:hint="eastAsia" w:ascii="宋体" w:hAnsi="宋体"/>
        </w:rPr>
        <w:t>⑶负责职称评定工作和教师资格认定工作；</w:t>
      </w:r>
    </w:p>
    <w:p>
      <w:pPr>
        <w:pStyle w:val="44"/>
        <w:ind w:firstLine="640" w:firstLineChars="200"/>
        <w:rPr>
          <w:rFonts w:hint="eastAsia" w:ascii="宋体" w:hAnsi="宋体"/>
        </w:rPr>
      </w:pPr>
      <w:r>
        <w:rPr>
          <w:rFonts w:hint="eastAsia" w:ascii="宋体" w:hAnsi="宋体"/>
        </w:rPr>
        <w:t>⑷负责教职工工资、福利工作；</w:t>
      </w:r>
    </w:p>
    <w:p>
      <w:pPr>
        <w:pStyle w:val="44"/>
        <w:ind w:firstLine="640" w:firstLineChars="200"/>
        <w:rPr>
          <w:rFonts w:hint="eastAsia" w:ascii="宋体" w:hAnsi="宋体"/>
        </w:rPr>
      </w:pPr>
      <w:r>
        <w:rPr>
          <w:rFonts w:hint="eastAsia" w:ascii="宋体" w:hAnsi="宋体"/>
        </w:rPr>
        <w:t>⑸负责教育系统人事档案工作；</w:t>
      </w:r>
    </w:p>
    <w:p>
      <w:pPr>
        <w:pStyle w:val="44"/>
        <w:ind w:firstLine="640" w:firstLineChars="200"/>
        <w:rPr>
          <w:rFonts w:hint="eastAsia" w:ascii="宋体" w:hAnsi="宋体"/>
        </w:rPr>
      </w:pPr>
      <w:r>
        <w:rPr>
          <w:rFonts w:hint="eastAsia" w:ascii="宋体" w:hAnsi="宋体"/>
        </w:rPr>
        <w:t>⑹配合党委搞好教育系统干部的培训考核和任用工作；</w:t>
      </w:r>
    </w:p>
    <w:p>
      <w:pPr>
        <w:pStyle w:val="44"/>
        <w:ind w:firstLine="640" w:firstLineChars="200"/>
        <w:rPr>
          <w:rFonts w:hint="eastAsia" w:ascii="宋体" w:hAnsi="宋体"/>
        </w:rPr>
      </w:pPr>
      <w:r>
        <w:rPr>
          <w:rFonts w:hint="eastAsia" w:ascii="宋体" w:hAnsi="宋体"/>
        </w:rPr>
        <w:t>⑺负责各类奖励证书的审核、登记和管理工作；</w:t>
      </w:r>
    </w:p>
    <w:p>
      <w:pPr>
        <w:pStyle w:val="44"/>
        <w:ind w:firstLine="640" w:firstLineChars="200"/>
        <w:rPr>
          <w:rFonts w:hint="eastAsia" w:ascii="宋体" w:hAnsi="宋体"/>
        </w:rPr>
      </w:pPr>
      <w:r>
        <w:rPr>
          <w:rFonts w:hint="eastAsia" w:ascii="宋体" w:hAnsi="宋体"/>
        </w:rPr>
        <w:t>3、财务审计科：</w:t>
      </w:r>
    </w:p>
    <w:p>
      <w:pPr>
        <w:pStyle w:val="44"/>
        <w:ind w:firstLine="640" w:firstLineChars="200"/>
        <w:rPr>
          <w:rFonts w:hint="eastAsia" w:ascii="宋体" w:hAnsi="宋体"/>
        </w:rPr>
      </w:pPr>
      <w:r>
        <w:rPr>
          <w:rFonts w:hint="eastAsia" w:ascii="宋体" w:hAnsi="宋体"/>
        </w:rPr>
        <w:t>⑴负责全县教育经费和资产的管理和使用；</w:t>
      </w:r>
    </w:p>
    <w:p>
      <w:pPr>
        <w:pStyle w:val="44"/>
        <w:ind w:firstLine="640" w:firstLineChars="200"/>
        <w:rPr>
          <w:rFonts w:hint="eastAsia" w:ascii="宋体" w:hAnsi="宋体"/>
        </w:rPr>
      </w:pPr>
      <w:r>
        <w:rPr>
          <w:rFonts w:hint="eastAsia" w:ascii="宋体" w:hAnsi="宋体"/>
        </w:rPr>
        <w:t>⑵负责编制教育经费的预算和决算工作；</w:t>
      </w:r>
    </w:p>
    <w:p>
      <w:pPr>
        <w:pStyle w:val="44"/>
        <w:ind w:firstLine="640" w:firstLineChars="200"/>
        <w:rPr>
          <w:rFonts w:hint="eastAsia" w:ascii="宋体" w:hAnsi="宋体"/>
        </w:rPr>
      </w:pPr>
      <w:r>
        <w:rPr>
          <w:rFonts w:hint="eastAsia" w:ascii="宋体" w:hAnsi="宋体"/>
        </w:rPr>
        <w:t>⑶负责教育系统的统计工作；</w:t>
      </w:r>
    </w:p>
    <w:p>
      <w:pPr>
        <w:pStyle w:val="44"/>
        <w:ind w:firstLine="640" w:firstLineChars="200"/>
        <w:rPr>
          <w:rFonts w:hint="eastAsia" w:ascii="宋体" w:hAnsi="宋体"/>
        </w:rPr>
      </w:pPr>
      <w:r>
        <w:rPr>
          <w:rFonts w:hint="eastAsia" w:ascii="宋体" w:hAnsi="宋体"/>
        </w:rPr>
        <w:t>⑷负责全县各基层单位财会人员的培训工作；</w:t>
      </w:r>
    </w:p>
    <w:p>
      <w:pPr>
        <w:pStyle w:val="44"/>
        <w:ind w:firstLine="640" w:firstLineChars="200"/>
        <w:rPr>
          <w:rFonts w:hint="eastAsia" w:ascii="宋体" w:hAnsi="宋体"/>
        </w:rPr>
      </w:pPr>
      <w:r>
        <w:rPr>
          <w:rFonts w:hint="eastAsia" w:ascii="宋体" w:hAnsi="宋体"/>
        </w:rPr>
        <w:t>⑸负责指导基层单位的财务和资产管理工作；</w:t>
      </w:r>
    </w:p>
    <w:p>
      <w:pPr>
        <w:pStyle w:val="44"/>
        <w:ind w:firstLine="640" w:firstLineChars="200"/>
        <w:rPr>
          <w:rFonts w:hint="eastAsia" w:ascii="宋体" w:hAnsi="宋体"/>
        </w:rPr>
      </w:pPr>
      <w:r>
        <w:rPr>
          <w:rFonts w:hint="eastAsia" w:ascii="宋体" w:hAnsi="宋体"/>
        </w:rPr>
        <w:t>⑹对基层单位的财务管理实施监督；</w:t>
      </w:r>
    </w:p>
    <w:p>
      <w:pPr>
        <w:pStyle w:val="44"/>
        <w:ind w:firstLine="640" w:firstLineChars="200"/>
        <w:rPr>
          <w:rFonts w:hint="eastAsia" w:ascii="宋体" w:hAnsi="宋体"/>
        </w:rPr>
      </w:pPr>
      <w:r>
        <w:rPr>
          <w:rFonts w:hint="eastAsia" w:ascii="宋体" w:hAnsi="宋体"/>
        </w:rPr>
        <w:t>⑺负责学校领导的离任审计和对基层单位的常规审计工作。</w:t>
      </w:r>
    </w:p>
    <w:p>
      <w:pPr>
        <w:pStyle w:val="44"/>
        <w:ind w:firstLine="640" w:firstLineChars="200"/>
        <w:rPr>
          <w:rFonts w:hint="eastAsia" w:ascii="宋体" w:hAnsi="宋体"/>
        </w:rPr>
      </w:pPr>
      <w:r>
        <w:rPr>
          <w:rFonts w:hint="eastAsia" w:ascii="宋体" w:hAnsi="宋体"/>
        </w:rPr>
        <w:t>4、成职民教科：</w:t>
      </w:r>
    </w:p>
    <w:p>
      <w:pPr>
        <w:pStyle w:val="44"/>
        <w:ind w:firstLine="640" w:firstLineChars="200"/>
        <w:rPr>
          <w:rFonts w:hint="eastAsia" w:ascii="宋体" w:hAnsi="宋体"/>
        </w:rPr>
      </w:pPr>
      <w:r>
        <w:rPr>
          <w:rFonts w:hint="eastAsia" w:ascii="宋体" w:hAnsi="宋体"/>
        </w:rPr>
        <w:t>⑴负责全县职业技术教育、成人教育、继续教育工作；</w:t>
      </w:r>
    </w:p>
    <w:p>
      <w:pPr>
        <w:pStyle w:val="44"/>
        <w:ind w:firstLine="640" w:firstLineChars="200"/>
        <w:rPr>
          <w:rFonts w:hint="eastAsia" w:ascii="宋体" w:hAnsi="宋体"/>
        </w:rPr>
      </w:pPr>
      <w:r>
        <w:rPr>
          <w:rFonts w:hint="eastAsia" w:ascii="宋体" w:hAnsi="宋体"/>
        </w:rPr>
        <w:t>⑵负责农民文化技术学校工作；</w:t>
      </w:r>
    </w:p>
    <w:p>
      <w:pPr>
        <w:pStyle w:val="44"/>
        <w:ind w:firstLine="640" w:firstLineChars="200"/>
        <w:rPr>
          <w:rFonts w:hint="eastAsia" w:ascii="宋体" w:hAnsi="宋体"/>
        </w:rPr>
      </w:pPr>
      <w:r>
        <w:rPr>
          <w:rFonts w:hint="eastAsia" w:ascii="宋体" w:hAnsi="宋体"/>
        </w:rPr>
        <w:t>⑶负责以职业技术教育为分流方向的农村办学模式改革工作；</w:t>
      </w:r>
    </w:p>
    <w:p>
      <w:pPr>
        <w:pStyle w:val="44"/>
        <w:ind w:firstLine="640" w:firstLineChars="200"/>
        <w:rPr>
          <w:rFonts w:hint="eastAsia" w:ascii="宋体" w:hAnsi="宋体"/>
        </w:rPr>
      </w:pPr>
      <w:r>
        <w:rPr>
          <w:rFonts w:hint="eastAsia" w:ascii="宋体" w:hAnsi="宋体"/>
        </w:rPr>
        <w:t>⑷负责扫盲教育工作；</w:t>
      </w:r>
    </w:p>
    <w:p>
      <w:pPr>
        <w:pStyle w:val="44"/>
        <w:ind w:firstLine="640" w:firstLineChars="200"/>
        <w:rPr>
          <w:rFonts w:hint="eastAsia" w:ascii="宋体" w:hAnsi="宋体"/>
        </w:rPr>
      </w:pPr>
      <w:r>
        <w:rPr>
          <w:rFonts w:hint="eastAsia" w:ascii="宋体" w:hAnsi="宋体"/>
        </w:rPr>
        <w:t>⑸负责普通话测试工作；</w:t>
      </w:r>
    </w:p>
    <w:p>
      <w:pPr>
        <w:pStyle w:val="44"/>
        <w:ind w:firstLine="640" w:firstLineChars="200"/>
        <w:rPr>
          <w:rFonts w:hint="eastAsia" w:ascii="宋体" w:hAnsi="宋体"/>
        </w:rPr>
      </w:pPr>
      <w:r>
        <w:rPr>
          <w:rFonts w:hint="eastAsia" w:ascii="宋体" w:hAnsi="宋体"/>
        </w:rPr>
        <w:t>⑹负责劳动力转移培训工作；</w:t>
      </w:r>
    </w:p>
    <w:p>
      <w:pPr>
        <w:pStyle w:val="44"/>
        <w:ind w:firstLine="640" w:firstLineChars="200"/>
        <w:rPr>
          <w:rFonts w:hint="eastAsia" w:ascii="宋体" w:hAnsi="宋体"/>
        </w:rPr>
      </w:pPr>
      <w:r>
        <w:rPr>
          <w:rFonts w:hint="eastAsia" w:ascii="宋体" w:hAnsi="宋体"/>
        </w:rPr>
        <w:t>⑺负责民族教育工作。</w:t>
      </w:r>
    </w:p>
    <w:p>
      <w:pPr>
        <w:pStyle w:val="44"/>
        <w:ind w:firstLine="640" w:firstLineChars="200"/>
        <w:rPr>
          <w:rFonts w:hint="eastAsia" w:ascii="宋体" w:hAnsi="宋体"/>
        </w:rPr>
      </w:pPr>
      <w:r>
        <w:rPr>
          <w:rFonts w:hint="eastAsia" w:ascii="宋体" w:hAnsi="宋体"/>
        </w:rPr>
        <w:t>5、体卫艺科：</w:t>
      </w:r>
    </w:p>
    <w:p>
      <w:pPr>
        <w:pStyle w:val="44"/>
        <w:ind w:firstLine="640" w:firstLineChars="200"/>
        <w:rPr>
          <w:rFonts w:hint="eastAsia" w:ascii="宋体" w:hAnsi="宋体"/>
        </w:rPr>
      </w:pPr>
      <w:r>
        <w:rPr>
          <w:rFonts w:hint="eastAsia" w:ascii="宋体" w:hAnsi="宋体"/>
        </w:rPr>
        <w:t>⑴负责贯彻落实体育卫生两个条例，抓好全县各学校体育和卫生工作；</w:t>
      </w:r>
    </w:p>
    <w:p>
      <w:pPr>
        <w:pStyle w:val="44"/>
        <w:ind w:firstLine="640" w:firstLineChars="200"/>
        <w:rPr>
          <w:rFonts w:hint="eastAsia" w:ascii="宋体" w:hAnsi="宋体"/>
        </w:rPr>
      </w:pPr>
      <w:r>
        <w:rPr>
          <w:rFonts w:hint="eastAsia" w:ascii="宋体" w:hAnsi="宋体"/>
        </w:rPr>
        <w:t>⑵负责国防教育、搞好高中新生军训工作；</w:t>
      </w:r>
    </w:p>
    <w:p>
      <w:pPr>
        <w:pStyle w:val="44"/>
        <w:ind w:firstLine="640" w:firstLineChars="200"/>
        <w:rPr>
          <w:rFonts w:hint="eastAsia" w:ascii="宋体" w:hAnsi="宋体"/>
        </w:rPr>
      </w:pPr>
      <w:r>
        <w:rPr>
          <w:rFonts w:hint="eastAsia" w:ascii="宋体" w:hAnsi="宋体"/>
        </w:rPr>
        <w:t>⑶负责学校食品卫生安全工作；</w:t>
      </w:r>
    </w:p>
    <w:p>
      <w:pPr>
        <w:pStyle w:val="44"/>
        <w:ind w:firstLine="640" w:firstLineChars="200"/>
        <w:rPr>
          <w:rFonts w:hint="eastAsia" w:ascii="宋体" w:hAnsi="宋体"/>
        </w:rPr>
      </w:pPr>
      <w:r>
        <w:rPr>
          <w:rFonts w:hint="eastAsia" w:ascii="宋体" w:hAnsi="宋体"/>
        </w:rPr>
        <w:t>⑷负责学校艺术教育工作；</w:t>
      </w:r>
    </w:p>
    <w:p>
      <w:pPr>
        <w:pStyle w:val="44"/>
        <w:ind w:firstLine="640" w:firstLineChars="200"/>
        <w:rPr>
          <w:rFonts w:hint="eastAsia" w:ascii="宋体" w:hAnsi="宋体"/>
        </w:rPr>
      </w:pPr>
      <w:r>
        <w:rPr>
          <w:rFonts w:hint="eastAsia" w:ascii="宋体" w:hAnsi="宋体"/>
        </w:rPr>
        <w:t>⑸组织开展全县体育艺术等方面大型汇演或比赛等活动；</w:t>
      </w:r>
    </w:p>
    <w:p>
      <w:pPr>
        <w:pStyle w:val="44"/>
        <w:ind w:firstLine="640" w:firstLineChars="200"/>
        <w:rPr>
          <w:rFonts w:hint="eastAsia" w:ascii="宋体" w:hAnsi="宋体"/>
        </w:rPr>
      </w:pPr>
      <w:r>
        <w:rPr>
          <w:rFonts w:hint="eastAsia" w:ascii="宋体" w:hAnsi="宋体"/>
        </w:rPr>
        <w:t>6、法制纪检监察科：</w:t>
      </w:r>
    </w:p>
    <w:p>
      <w:pPr>
        <w:pStyle w:val="44"/>
        <w:ind w:firstLine="640" w:firstLineChars="200"/>
        <w:rPr>
          <w:rFonts w:hint="eastAsia" w:ascii="宋体" w:hAnsi="宋体"/>
        </w:rPr>
      </w:pPr>
      <w:r>
        <w:rPr>
          <w:rFonts w:hint="eastAsia" w:ascii="宋体" w:hAnsi="宋体"/>
        </w:rPr>
        <w:t>⑴负责教育系统的纪律检查、行政监察和政策法规工作；</w:t>
      </w:r>
    </w:p>
    <w:p>
      <w:pPr>
        <w:pStyle w:val="44"/>
        <w:ind w:firstLine="640" w:firstLineChars="200"/>
        <w:rPr>
          <w:rFonts w:hint="eastAsia" w:ascii="宋体" w:hAnsi="宋体"/>
        </w:rPr>
      </w:pPr>
      <w:r>
        <w:rPr>
          <w:rFonts w:hint="eastAsia" w:ascii="宋体" w:hAnsi="宋体"/>
        </w:rPr>
        <w:t>⑵负责教育系统的法律宣传、法制教育、依法治校等工作；</w:t>
      </w:r>
    </w:p>
    <w:p>
      <w:pPr>
        <w:pStyle w:val="44"/>
        <w:ind w:firstLine="640" w:firstLineChars="200"/>
        <w:rPr>
          <w:rFonts w:hint="eastAsia" w:ascii="宋体" w:hAnsi="宋体"/>
        </w:rPr>
      </w:pPr>
      <w:r>
        <w:rPr>
          <w:rFonts w:hint="eastAsia" w:ascii="宋体" w:hAnsi="宋体"/>
        </w:rPr>
        <w:t>⑶负责教育系统的行政执法、行政复议、行政诉讼，维护学校、教师和学生的合法权益；</w:t>
      </w:r>
    </w:p>
    <w:p>
      <w:pPr>
        <w:pStyle w:val="44"/>
        <w:ind w:firstLine="640" w:firstLineChars="200"/>
        <w:rPr>
          <w:rFonts w:hint="eastAsia" w:ascii="宋体" w:hAnsi="宋体"/>
        </w:rPr>
      </w:pPr>
      <w:r>
        <w:rPr>
          <w:rFonts w:hint="eastAsia" w:ascii="宋体" w:hAnsi="宋体"/>
        </w:rPr>
        <w:t>⑷负责教育系统的政行风建设、治理中小学校和教师的乱收费、乱办班、乱定复习资料等行业不正之风工作；</w:t>
      </w:r>
    </w:p>
    <w:p>
      <w:pPr>
        <w:pStyle w:val="44"/>
        <w:ind w:firstLine="640" w:firstLineChars="200"/>
        <w:rPr>
          <w:rFonts w:hint="eastAsia" w:ascii="宋体" w:hAnsi="宋体"/>
        </w:rPr>
      </w:pPr>
      <w:r>
        <w:rPr>
          <w:rFonts w:hint="eastAsia" w:ascii="宋体" w:hAnsi="宋体"/>
        </w:rPr>
        <w:t>⑸依法查处教育系统的违法违纪案件；处理和预防群体上访、矛盾纠纷，维护教育稳定。</w:t>
      </w:r>
    </w:p>
    <w:p>
      <w:pPr>
        <w:pStyle w:val="44"/>
        <w:numPr>
          <w:ilvl w:val="0"/>
          <w:numId w:val="1"/>
        </w:numPr>
        <w:ind w:firstLine="640" w:firstLineChars="200"/>
        <w:rPr>
          <w:rFonts w:hint="eastAsia" w:ascii="宋体" w:hAnsi="宋体"/>
        </w:rPr>
      </w:pPr>
      <w:r>
        <w:rPr>
          <w:rFonts w:hint="eastAsia" w:ascii="宋体" w:hAnsi="宋体"/>
        </w:rPr>
        <w:t>党办:</w:t>
      </w:r>
    </w:p>
    <w:p>
      <w:pPr>
        <w:pStyle w:val="44"/>
        <w:ind w:firstLine="640" w:firstLineChars="200"/>
        <w:rPr>
          <w:rFonts w:hint="eastAsia" w:ascii="仿宋_GB2312" w:hAnsi="仿宋_GB2312" w:eastAsia="仿宋_GB2312" w:cs="仿宋_GB2312"/>
          <w:color w:val="000000"/>
          <w:sz w:val="21"/>
          <w:szCs w:val="21"/>
        </w:rPr>
      </w:pPr>
      <w:r>
        <w:rPr>
          <w:rFonts w:hint="eastAsia" w:ascii="宋体" w:hAnsi="宋体"/>
        </w:rPr>
        <w:t>负责教育系统的党务工作</w:t>
      </w: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lang w:eastAsia="zh-CN"/>
        </w:rPr>
        <w:t>本</w:t>
      </w:r>
      <w:r>
        <w:rPr>
          <w:rFonts w:hint="eastAsia" w:ascii="仿宋_GB2312" w:hAnsi="仿宋_GB2312" w:eastAsia="仿宋_GB2312" w:cs="仿宋_GB2312"/>
          <w:u w:val="single"/>
        </w:rPr>
        <w:t>部门</w:t>
      </w:r>
      <w:r>
        <w:rPr>
          <w:rFonts w:hint="eastAsia" w:ascii="仿宋_GB2312" w:hAnsi="仿宋_GB2312" w:eastAsia="仿宋_GB2312" w:cs="仿宋_GB2312"/>
        </w:rPr>
        <w:t>内设</w:t>
      </w:r>
      <w:r>
        <w:rPr>
          <w:rFonts w:hint="eastAsia" w:ascii="仿宋_GB2312" w:hAnsi="仿宋_GB2312" w:eastAsia="仿宋_GB2312" w:cs="仿宋_GB2312"/>
          <w:lang w:val="en-US" w:eastAsia="zh-CN"/>
        </w:rPr>
        <w:t>7</w:t>
      </w:r>
      <w:r>
        <w:rPr>
          <w:rFonts w:hint="eastAsia" w:ascii="仿宋_GB2312" w:hAnsi="仿宋_GB2312" w:eastAsia="仿宋_GB2312" w:cs="仿宋_GB2312"/>
        </w:rPr>
        <w:t>个机构，分别为</w:t>
      </w:r>
      <w:r>
        <w:rPr>
          <w:rFonts w:hint="eastAsia" w:ascii="宋体" w:hAnsi="宋体"/>
        </w:rPr>
        <w:t>秘书科（或办公室）</w:t>
      </w:r>
      <w:r>
        <w:rPr>
          <w:rFonts w:hint="eastAsia" w:ascii="宋体" w:hAnsi="宋体"/>
          <w:lang w:eastAsia="zh-CN"/>
        </w:rPr>
        <w:t>、人事科、财务审计科、体文艺科、法制纪检监察科、党办</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lang w:val="en-US" w:eastAsia="zh-CN"/>
        </w:rPr>
        <w:t>49</w:t>
      </w:r>
      <w:r>
        <w:rPr>
          <w:rFonts w:hint="eastAsia" w:ascii="仿宋_GB2312" w:hAnsi="仿宋_GB2312" w:eastAsia="仿宋_GB2312" w:cs="仿宋_GB2312"/>
        </w:rPr>
        <w:t>家预算单位，分别</w:t>
      </w:r>
      <w:r>
        <w:rPr>
          <w:rFonts w:hint="eastAsia" w:ascii="仿宋_GB2312" w:hAnsi="仿宋_GB2312" w:eastAsia="仿宋_GB2312" w:cs="仿宋_GB2312"/>
          <w:lang w:eastAsia="zh-CN"/>
        </w:rPr>
        <w:t>为：</w:t>
      </w:r>
    </w:p>
    <w:p>
      <w:pPr>
        <w:pStyle w:val="44"/>
        <w:ind w:firstLine="640" w:firstLineChars="200"/>
        <w:rPr>
          <w:rFonts w:hint="eastAsia" w:ascii="楷体" w:hAnsi="楷体" w:eastAsia="楷体" w:cs="楷体"/>
          <w:sz w:val="32"/>
          <w:szCs w:val="32"/>
        </w:rPr>
      </w:pPr>
      <w:r>
        <w:rPr>
          <w:rFonts w:hint="eastAsia" w:ascii="楷体" w:hAnsi="楷体" w:eastAsia="楷体" w:cs="楷体"/>
          <w:color w:val="000000"/>
          <w:sz w:val="32"/>
          <w:szCs w:val="32"/>
          <w:lang w:val="en-US" w:eastAsia="zh-CN"/>
        </w:rPr>
        <w:t>1、通榆县第一中学</w:t>
      </w:r>
    </w:p>
    <w:p>
      <w:pPr>
        <w:pStyle w:val="44"/>
        <w:ind w:firstLine="640" w:firstLineChars="200"/>
        <w:rPr>
          <w:rFonts w:eastAsia="楷体"/>
        </w:rPr>
      </w:pPr>
      <w:r>
        <w:rPr>
          <w:rFonts w:hint="eastAsia" w:eastAsia="楷体"/>
          <w:lang w:val="en-US" w:eastAsia="zh-CN"/>
        </w:rPr>
        <w:t>2、</w:t>
      </w:r>
      <w:r>
        <w:rPr>
          <w:rFonts w:hint="eastAsia" w:eastAsia="楷体"/>
        </w:rPr>
        <w:t>通榆县实验中学</w:t>
      </w:r>
    </w:p>
    <w:p>
      <w:pPr>
        <w:pStyle w:val="44"/>
        <w:ind w:firstLine="640" w:firstLineChars="200"/>
        <w:rPr>
          <w:rFonts w:hAnsi="楷体" w:eastAsia="楷体"/>
        </w:rPr>
      </w:pPr>
      <w:r>
        <w:rPr>
          <w:rFonts w:hint="eastAsia" w:hAnsi="楷体" w:eastAsia="楷体"/>
          <w:lang w:val="en-US" w:eastAsia="zh-CN"/>
        </w:rPr>
        <w:t>3、</w:t>
      </w:r>
      <w:r>
        <w:rPr>
          <w:rFonts w:hint="eastAsia" w:hAnsi="楷体" w:eastAsia="楷体"/>
        </w:rPr>
        <w:t>通榆县蒙古族学校</w:t>
      </w:r>
    </w:p>
    <w:p>
      <w:pPr>
        <w:pStyle w:val="44"/>
        <w:ind w:firstLine="640" w:firstLineChars="200"/>
        <w:rPr>
          <w:rFonts w:hAnsi="楷体" w:eastAsia="楷体"/>
        </w:rPr>
      </w:pPr>
      <w:r>
        <w:rPr>
          <w:rFonts w:hint="eastAsia" w:hAnsi="楷体" w:eastAsia="楷体"/>
          <w:lang w:val="en-US" w:eastAsia="zh-CN"/>
        </w:rPr>
        <w:t>4、</w:t>
      </w:r>
      <w:r>
        <w:rPr>
          <w:rFonts w:hint="eastAsia" w:hAnsi="楷体" w:eastAsia="楷体"/>
        </w:rPr>
        <w:t>通榆县实验小学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5、</w:t>
      </w:r>
      <w:r>
        <w:rPr>
          <w:rFonts w:hint="eastAsia" w:ascii="楷体" w:hAnsi="楷体" w:eastAsia="楷体" w:cs="楷体"/>
          <w:sz w:val="32"/>
          <w:szCs w:val="32"/>
        </w:rPr>
        <w:t>通榆县第一小学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6、</w:t>
      </w:r>
      <w:r>
        <w:rPr>
          <w:rFonts w:hint="eastAsia" w:ascii="楷体" w:hAnsi="楷体" w:eastAsia="楷体" w:cs="楷体"/>
          <w:sz w:val="32"/>
          <w:szCs w:val="32"/>
        </w:rPr>
        <w:t>通榆县第二小学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7、</w:t>
      </w:r>
      <w:r>
        <w:rPr>
          <w:rFonts w:hint="eastAsia" w:ascii="楷体" w:hAnsi="楷体" w:eastAsia="楷体" w:cs="楷体"/>
          <w:sz w:val="32"/>
          <w:szCs w:val="32"/>
        </w:rPr>
        <w:t>通榆县第二实验小学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8、</w:t>
      </w:r>
      <w:r>
        <w:rPr>
          <w:rFonts w:hint="eastAsia" w:ascii="楷体" w:hAnsi="楷体" w:eastAsia="楷体" w:cs="楷体"/>
          <w:sz w:val="32"/>
          <w:szCs w:val="32"/>
        </w:rPr>
        <w:t>通榆县幼儿园</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9、</w:t>
      </w:r>
      <w:r>
        <w:rPr>
          <w:rFonts w:hint="eastAsia" w:ascii="楷体" w:hAnsi="楷体" w:eastAsia="楷体" w:cs="楷体"/>
          <w:sz w:val="32"/>
          <w:szCs w:val="32"/>
        </w:rPr>
        <w:t>通榆县明德小学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10、</w:t>
      </w:r>
      <w:r>
        <w:rPr>
          <w:rFonts w:hint="eastAsia" w:ascii="楷体" w:hAnsi="楷体" w:eastAsia="楷体" w:cs="楷体"/>
          <w:sz w:val="32"/>
          <w:szCs w:val="32"/>
        </w:rPr>
        <w:t>通榆县第四中学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11、</w:t>
      </w:r>
      <w:r>
        <w:rPr>
          <w:rFonts w:hint="eastAsia" w:ascii="楷体" w:hAnsi="楷体" w:eastAsia="楷体" w:cs="楷体"/>
          <w:sz w:val="32"/>
          <w:szCs w:val="32"/>
        </w:rPr>
        <w:t>通榆县第七中学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12、</w:t>
      </w:r>
      <w:r>
        <w:rPr>
          <w:rFonts w:hint="eastAsia" w:ascii="楷体" w:hAnsi="楷体" w:eastAsia="楷体" w:cs="楷体"/>
          <w:sz w:val="32"/>
          <w:szCs w:val="32"/>
        </w:rPr>
        <w:t>通榆县第八中学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13、</w:t>
      </w:r>
      <w:r>
        <w:rPr>
          <w:rFonts w:hint="eastAsia" w:ascii="楷体" w:hAnsi="楷体" w:eastAsia="楷体" w:cs="楷体"/>
          <w:sz w:val="32"/>
          <w:szCs w:val="32"/>
        </w:rPr>
        <w:t>通榆县第九中学</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14、</w:t>
      </w:r>
      <w:r>
        <w:rPr>
          <w:rFonts w:hint="eastAsia" w:ascii="楷体" w:hAnsi="楷体" w:eastAsia="楷体" w:cs="楷体"/>
          <w:sz w:val="32"/>
          <w:szCs w:val="32"/>
        </w:rPr>
        <w:t>通榆县培智学校</w:t>
      </w:r>
    </w:p>
    <w:p>
      <w:pPr>
        <w:ind w:firstLine="640" w:firstLineChars="200"/>
        <w:jc w:val="both"/>
        <w:rPr>
          <w:rFonts w:eastAsia="黑体"/>
          <w:sz w:val="36"/>
          <w:szCs w:val="36"/>
        </w:rPr>
      </w:pPr>
      <w:r>
        <w:rPr>
          <w:rFonts w:hint="eastAsia" w:ascii="楷体" w:hAnsi="楷体" w:eastAsia="楷体" w:cs="楷体"/>
          <w:sz w:val="32"/>
          <w:szCs w:val="32"/>
          <w:lang w:val="en-US" w:eastAsia="zh-CN"/>
        </w:rPr>
        <w:t>15、</w:t>
      </w:r>
      <w:r>
        <w:rPr>
          <w:rFonts w:hint="eastAsia" w:ascii="楷体" w:hAnsi="楷体" w:eastAsia="楷体" w:cs="楷体"/>
          <w:sz w:val="32"/>
          <w:szCs w:val="32"/>
        </w:rPr>
        <w:t>通榆县青少年校外活动中心</w:t>
      </w:r>
    </w:p>
    <w:p>
      <w:pPr>
        <w:ind w:firstLine="640" w:firstLineChars="200"/>
        <w:jc w:val="both"/>
        <w:rPr>
          <w:rFonts w:hint="eastAsia" w:ascii="楷体" w:hAnsi="楷体" w:eastAsia="楷体" w:cs="楷体"/>
          <w:b w:val="0"/>
          <w:bCs w:val="0"/>
          <w:sz w:val="32"/>
          <w:szCs w:val="32"/>
        </w:rPr>
      </w:pPr>
      <w:r>
        <w:rPr>
          <w:rFonts w:hint="eastAsia" w:ascii="楷体" w:hAnsi="楷体" w:eastAsia="楷体" w:cs="楷体"/>
          <w:b w:val="0"/>
          <w:bCs w:val="0"/>
          <w:sz w:val="32"/>
          <w:szCs w:val="32"/>
          <w:lang w:val="en-US" w:eastAsia="zh-CN"/>
        </w:rPr>
        <w:t>16、</w:t>
      </w:r>
      <w:r>
        <w:rPr>
          <w:rFonts w:hint="eastAsia" w:ascii="楷体" w:hAnsi="楷体" w:eastAsia="楷体" w:cs="楷体"/>
          <w:b w:val="0"/>
          <w:bCs w:val="0"/>
          <w:sz w:val="32"/>
          <w:szCs w:val="32"/>
        </w:rPr>
        <w:t>通榆县招生委员会办公室</w:t>
      </w:r>
    </w:p>
    <w:p>
      <w:pPr>
        <w:ind w:firstLine="640" w:firstLineChars="200"/>
        <w:jc w:val="both"/>
        <w:rPr>
          <w:rFonts w:hint="eastAsia" w:ascii="楷体" w:hAnsi="楷体" w:eastAsia="楷体" w:cs="楷体"/>
          <w:b w:val="0"/>
          <w:bCs w:val="0"/>
          <w:sz w:val="32"/>
          <w:szCs w:val="32"/>
        </w:rPr>
      </w:pPr>
      <w:r>
        <w:rPr>
          <w:rFonts w:hint="eastAsia" w:ascii="楷体" w:hAnsi="楷体" w:eastAsia="楷体" w:cs="楷体"/>
          <w:b w:val="0"/>
          <w:bCs w:val="0"/>
          <w:sz w:val="32"/>
          <w:szCs w:val="32"/>
          <w:lang w:val="en-US" w:eastAsia="zh-CN"/>
        </w:rPr>
        <w:t>17、通榆县学校后勤管理中心</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18、</w:t>
      </w:r>
      <w:r>
        <w:rPr>
          <w:rFonts w:hint="eastAsia" w:ascii="楷体" w:hAnsi="楷体" w:eastAsia="楷体" w:cs="楷体"/>
          <w:sz w:val="32"/>
          <w:szCs w:val="32"/>
        </w:rPr>
        <w:t>通榆县教师离退休活动中心</w:t>
      </w:r>
    </w:p>
    <w:p>
      <w:pPr>
        <w:ind w:firstLine="640" w:firstLineChars="200"/>
        <w:jc w:val="both"/>
        <w:rPr>
          <w:rFonts w:hint="eastAsia" w:ascii="楷体" w:hAnsi="楷体" w:eastAsia="楷体" w:cs="楷体"/>
          <w:sz w:val="32"/>
          <w:szCs w:val="32"/>
        </w:rPr>
      </w:pPr>
      <w:r>
        <w:rPr>
          <w:rFonts w:hint="eastAsia" w:ascii="楷体" w:hAnsi="楷体" w:eastAsia="楷体" w:cs="楷体"/>
          <w:sz w:val="32"/>
          <w:szCs w:val="32"/>
          <w:lang w:val="en-US" w:eastAsia="zh-CN"/>
        </w:rPr>
        <w:t>19、</w:t>
      </w:r>
      <w:r>
        <w:rPr>
          <w:rFonts w:hint="eastAsia" w:ascii="楷体" w:hAnsi="楷体" w:eastAsia="楷体" w:cs="楷体"/>
          <w:sz w:val="32"/>
          <w:szCs w:val="32"/>
        </w:rPr>
        <w:t>通榆县职业教育集团管理中心</w:t>
      </w:r>
    </w:p>
    <w:p>
      <w:pPr>
        <w:ind w:firstLine="640" w:firstLineChars="200"/>
        <w:jc w:val="left"/>
        <w:rPr>
          <w:rFonts w:hint="eastAsia" w:ascii="楷体" w:hAnsi="楷体" w:eastAsia="楷体" w:cs="楷体"/>
          <w:sz w:val="32"/>
          <w:szCs w:val="32"/>
        </w:rPr>
      </w:pPr>
      <w:r>
        <w:rPr>
          <w:rFonts w:hint="eastAsia" w:ascii="楷体" w:hAnsi="楷体" w:eastAsia="楷体" w:cs="楷体"/>
          <w:sz w:val="32"/>
          <w:szCs w:val="32"/>
          <w:lang w:val="en-US" w:eastAsia="zh-CN"/>
        </w:rPr>
        <w:t>20、</w:t>
      </w:r>
      <w:r>
        <w:rPr>
          <w:rFonts w:hint="eastAsia" w:ascii="楷体" w:hAnsi="楷体" w:eastAsia="楷体" w:cs="楷体"/>
          <w:sz w:val="32"/>
          <w:szCs w:val="32"/>
        </w:rPr>
        <w:t>通榆县教师进修学校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21、通榆县第二中学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22、通榆县瞻榆镇明德小学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23、通榆县瞻榆镇义滋小学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24、通榆县开通镇七井子小学</w:t>
      </w:r>
    </w:p>
    <w:p>
      <w:pPr>
        <w:ind w:firstLine="640" w:firstLineChars="200"/>
        <w:jc w:val="left"/>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25、</w:t>
      </w:r>
      <w:r>
        <w:rPr>
          <w:rFonts w:hint="default" w:ascii="楷体" w:hAnsi="楷体" w:eastAsia="楷体" w:cs="楷体"/>
          <w:sz w:val="32"/>
          <w:szCs w:val="32"/>
          <w:lang w:val="en-US" w:eastAsia="zh-CN"/>
        </w:rPr>
        <w:t>通榆县开通镇羊井小学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26、通榆县新兴学校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27、通榆县包拉温都学校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28、通榆县十花道学校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29、通榆县八面学校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30、通榆县团结学校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31、通榆县新发学校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32、通榆县同发学校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33、通榆县向海学校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34、通榆县苏公坨学校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35、通榆县第三中学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36、通榆县鸿兴中心校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37、通榆县双岗中心校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38、通榆县边昭学校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39、通榆县四井子学校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40、通榆县第十中学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41、通榆县兴隆山小学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42、通榆县第五中学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43、通榆县第六中学</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44、通榆县新华中心校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45、通榆县乌兰花中心校</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46、通榆县学生资助管理中心</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47、通榆县教育局</w:t>
      </w:r>
    </w:p>
    <w:p>
      <w:pPr>
        <w:ind w:firstLine="640" w:firstLineChars="200"/>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48、通榆县教育局基本建设办公室</w:t>
      </w:r>
    </w:p>
    <w:p>
      <w:pPr>
        <w:ind w:firstLine="640" w:firstLineChars="200"/>
        <w:jc w:val="left"/>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49、通榆县向海乌兰塔拉蒙古族小学校</w:t>
      </w:r>
    </w:p>
    <w:p>
      <w:pPr>
        <w:ind w:firstLine="1800" w:firstLineChars="500"/>
        <w:jc w:val="both"/>
        <w:rPr>
          <w:rFonts w:eastAsia="黑体"/>
          <w:sz w:val="36"/>
          <w:szCs w:val="36"/>
        </w:rPr>
      </w:pPr>
      <w:r>
        <w:rPr>
          <w:rFonts w:eastAsia="黑体"/>
          <w:sz w:val="36"/>
          <w:szCs w:val="36"/>
        </w:rPr>
        <w:t>第二部分 预算表格</w:t>
      </w:r>
    </w:p>
    <w:tbl>
      <w:tblPr>
        <w:tblStyle w:val="11"/>
        <w:tblpPr w:leftFromText="180" w:rightFromText="180" w:vertAnchor="text" w:horzAnchor="page" w:tblpX="1126" w:tblpY="698"/>
        <w:tblOverlap w:val="never"/>
        <w:tblW w:w="99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073" w:type="dxa"/>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257.52</w:t>
            </w: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202.48</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202.48</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28.15</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17.03</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w:t>
            </w:r>
          </w:p>
        </w:tc>
        <w:tc>
          <w:tcPr>
            <w:tcW w:w="1182" w:type="dxa"/>
            <w:gridSpan w:val="2"/>
            <w:tcBorders>
              <w:top w:val="nil"/>
              <w:left w:val="nil"/>
              <w:bottom w:val="single" w:color="auto" w:sz="4" w:space="0"/>
              <w:right w:val="single" w:color="auto" w:sz="4" w:space="0"/>
            </w:tcBorders>
            <w:vAlign w:val="center"/>
          </w:tcPr>
          <w:p>
            <w:pPr>
              <w:jc w:val="center"/>
              <w:rPr>
                <w:rFonts w:hint="default" w:eastAsia="宋体"/>
                <w:kern w:val="0"/>
                <w:sz w:val="20"/>
                <w:lang w:val="en-US" w:eastAsia="zh-CN"/>
              </w:rPr>
            </w:pPr>
            <w:r>
              <w:rPr>
                <w:rFonts w:hint="eastAsia" w:eastAsia="宋体"/>
                <w:kern w:val="0"/>
                <w:sz w:val="20"/>
                <w:lang w:val="en-US" w:eastAsia="zh-CN"/>
              </w:rPr>
              <w:t>9.86</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vAlign w:val="center"/>
          </w:tcPr>
          <w:p>
            <w:pPr>
              <w:jc w:val="center"/>
              <w:rPr>
                <w:rFonts w:hint="eastAsia"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257.52</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073" w:type="dxa"/>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182" w:type="dxa"/>
            <w:gridSpan w:val="2"/>
            <w:tcBorders>
              <w:top w:val="nil"/>
              <w:left w:val="nil"/>
              <w:bottom w:val="single" w:color="auto" w:sz="4" w:space="0"/>
              <w:right w:val="single" w:color="auto" w:sz="4" w:space="0"/>
            </w:tcBorders>
            <w:vAlign w:val="center"/>
          </w:tcPr>
          <w:p>
            <w:pPr>
              <w:widowControl/>
              <w:jc w:val="center"/>
              <w:rPr>
                <w:rFonts w:hint="default" w:eastAsia="宋体"/>
                <w:kern w:val="0"/>
                <w:sz w:val="20"/>
                <w:lang w:val="en-US" w:eastAsia="zh-CN"/>
              </w:rPr>
            </w:pPr>
            <w:r>
              <w:rPr>
                <w:rFonts w:hint="eastAsia" w:eastAsia="宋体"/>
                <w:kern w:val="0"/>
                <w:sz w:val="20"/>
                <w:lang w:val="en-US" w:eastAsia="zh-CN"/>
              </w:rPr>
              <w:t>257.52</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3960" w:firstLineChars="1100"/>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1"/>
        <w:tblW w:w="89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8"/>
        <w:gridCol w:w="628"/>
        <w:gridCol w:w="573"/>
        <w:gridCol w:w="631"/>
        <w:gridCol w:w="569"/>
        <w:gridCol w:w="263"/>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jc w:val="center"/>
        </w:trPr>
        <w:tc>
          <w:tcPr>
            <w:tcW w:w="428" w:type="dxa"/>
            <w:tcBorders>
              <w:bottom w:val="single" w:color="000000" w:sz="4" w:space="0"/>
            </w:tcBorders>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8" w:hRule="atLeast"/>
          <w:jc w:val="center"/>
        </w:trPr>
        <w:tc>
          <w:tcPr>
            <w:tcW w:w="1056"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73"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375"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7" w:hRule="atLeast"/>
          <w:jc w:val="center"/>
        </w:trPr>
        <w:tc>
          <w:tcPr>
            <w:tcW w:w="10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573"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小计</w:t>
            </w: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63"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3" w:hRule="atLeast"/>
          <w:jc w:val="center"/>
        </w:trPr>
        <w:tc>
          <w:tcPr>
            <w:tcW w:w="1056" w:type="dxa"/>
            <w:gridSpan w:val="2"/>
            <w:tcBorders>
              <w:left w:val="single" w:color="000000" w:sz="4" w:space="0"/>
              <w:right w:val="single" w:color="000000" w:sz="4" w:space="0"/>
            </w:tcBorders>
            <w:vAlign w:val="center"/>
          </w:tcPr>
          <w:p>
            <w:pPr>
              <w:widowControl/>
              <w:jc w:val="left"/>
              <w:rPr>
                <w:rFonts w:hint="eastAsia" w:eastAsia="宋体"/>
                <w:color w:val="000000"/>
                <w:sz w:val="20"/>
                <w:lang w:val="en-US" w:eastAsia="zh-CN"/>
              </w:rPr>
            </w:pPr>
            <w:r>
              <w:rPr>
                <w:rFonts w:hint="eastAsia" w:eastAsia="宋体"/>
                <w:color w:val="000000"/>
                <w:sz w:val="20"/>
                <w:lang w:val="en-US" w:eastAsia="zh-CN"/>
              </w:rPr>
              <w:t>通榆县教育局</w:t>
            </w:r>
          </w:p>
        </w:tc>
        <w:tc>
          <w:tcPr>
            <w:tcW w:w="573"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11"/>
                <w:szCs w:val="11"/>
                <w:lang w:val="en-US" w:eastAsia="zh-CN"/>
              </w:rPr>
            </w:pPr>
            <w:r>
              <w:rPr>
                <w:rFonts w:hint="eastAsia" w:eastAsia="宋体"/>
                <w:color w:val="000000"/>
                <w:sz w:val="11"/>
                <w:szCs w:val="11"/>
                <w:lang w:val="en-US" w:eastAsia="zh-CN"/>
              </w:rPr>
              <w:t>257.52</w:t>
            </w:r>
          </w:p>
        </w:tc>
        <w:tc>
          <w:tcPr>
            <w:tcW w:w="631"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11"/>
                <w:szCs w:val="11"/>
                <w:lang w:val="en-US" w:eastAsia="zh-CN"/>
              </w:rPr>
            </w:pPr>
            <w:r>
              <w:rPr>
                <w:rFonts w:hint="eastAsia" w:eastAsia="宋体"/>
                <w:color w:val="000000"/>
                <w:sz w:val="11"/>
                <w:szCs w:val="11"/>
                <w:lang w:val="en-US" w:eastAsia="zh-CN"/>
              </w:rPr>
              <w:t>257.52</w:t>
            </w:r>
          </w:p>
        </w:tc>
        <w:tc>
          <w:tcPr>
            <w:tcW w:w="569"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eastAsia="宋体"/>
                <w:color w:val="000000"/>
                <w:sz w:val="11"/>
                <w:szCs w:val="11"/>
                <w:lang w:val="en-US" w:eastAsia="zh-CN"/>
              </w:rPr>
            </w:pPr>
            <w:r>
              <w:rPr>
                <w:rFonts w:hint="eastAsia" w:eastAsia="宋体"/>
                <w:color w:val="000000"/>
                <w:sz w:val="11"/>
                <w:szCs w:val="11"/>
                <w:lang w:val="en-US" w:eastAsia="zh-CN"/>
              </w:rPr>
              <w:t>257.52</w:t>
            </w:r>
          </w:p>
        </w:tc>
        <w:tc>
          <w:tcPr>
            <w:tcW w:w="263"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6"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1"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1"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5"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1056"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73"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11"/>
                <w:szCs w:val="11"/>
                <w:shd w:val="clear" w:color="auto" w:fill="FFFFFF"/>
                <w:lang w:val="en-US" w:eastAsia="zh-CN"/>
              </w:rPr>
            </w:pPr>
            <w:r>
              <w:rPr>
                <w:rFonts w:hint="eastAsia"/>
                <w:color w:val="000000"/>
                <w:sz w:val="11"/>
                <w:szCs w:val="11"/>
                <w:shd w:val="clear" w:color="auto" w:fill="FFFFFF"/>
                <w:lang w:val="en-US" w:eastAsia="zh-CN"/>
              </w:rPr>
              <w:t>257.52</w:t>
            </w:r>
          </w:p>
        </w:tc>
        <w:tc>
          <w:tcPr>
            <w:tcW w:w="631"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11"/>
                <w:szCs w:val="11"/>
                <w:shd w:val="clear" w:color="auto" w:fill="FFFFFF"/>
                <w:lang w:val="en-US" w:eastAsia="zh-CN"/>
              </w:rPr>
            </w:pPr>
            <w:r>
              <w:rPr>
                <w:rFonts w:hint="eastAsia"/>
                <w:color w:val="000000"/>
                <w:sz w:val="11"/>
                <w:szCs w:val="11"/>
                <w:shd w:val="clear" w:color="auto" w:fill="FFFFFF"/>
                <w:lang w:val="en-US" w:eastAsia="zh-CN"/>
              </w:rPr>
              <w:t>257.52</w:t>
            </w:r>
          </w:p>
        </w:tc>
        <w:tc>
          <w:tcPr>
            <w:tcW w:w="569"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hint="default" w:eastAsia="仿宋_GB2312"/>
                <w:color w:val="000000"/>
                <w:sz w:val="11"/>
                <w:szCs w:val="11"/>
                <w:shd w:val="clear" w:color="auto" w:fill="FFFFFF"/>
                <w:lang w:val="en-US" w:eastAsia="zh-CN"/>
              </w:rPr>
            </w:pPr>
            <w:r>
              <w:rPr>
                <w:rFonts w:hint="eastAsia"/>
                <w:color w:val="000000"/>
                <w:sz w:val="11"/>
                <w:szCs w:val="11"/>
                <w:shd w:val="clear" w:color="auto" w:fill="FFFFFF"/>
                <w:lang w:val="en-US" w:eastAsia="zh-CN"/>
              </w:rPr>
              <w:t>257.52</w:t>
            </w:r>
          </w:p>
        </w:tc>
        <w:tc>
          <w:tcPr>
            <w:tcW w:w="263"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1"/>
              <w:tblW w:w="9843" w:type="dxa"/>
              <w:tblInd w:w="4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257.52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257.52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eastAsia="zh-CN"/>
                    </w:rPr>
                    <w:t>教育支出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202.48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202.48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eastAsia="zh-CN"/>
                    </w:rPr>
                    <w:t>教育管理事务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firstLine="100" w:firstLineChars="5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二、</w:t>
                  </w:r>
                  <w:r>
                    <w:rPr>
                      <w:rFonts w:hint="eastAsia" w:eastAsia="宋体"/>
                      <w:color w:val="000000"/>
                      <w:kern w:val="0"/>
                      <w:sz w:val="20"/>
                      <w:szCs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机关事业单位养老保险缴费支出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其他行政单位医疗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257.52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257.52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11"/>
        <w:tblW w:w="101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11"/>
              <w:tblpPr w:leftFromText="180" w:rightFromText="180" w:vertAnchor="page" w:horzAnchor="page" w:tblpX="114" w:tblpY="657"/>
              <w:tblOverlap w:val="never"/>
              <w:tblW w:w="98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2"/>
              <w:gridCol w:w="963"/>
              <w:gridCol w:w="785"/>
              <w:gridCol w:w="591"/>
              <w:gridCol w:w="1721"/>
              <w:gridCol w:w="864"/>
              <w:gridCol w:w="915"/>
              <w:gridCol w:w="573"/>
              <w:gridCol w:w="80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85"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9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785"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59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257.52</w:t>
                  </w: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257.52</w:t>
                  </w:r>
                </w:p>
              </w:tc>
              <w:tc>
                <w:tcPr>
                  <w:tcW w:w="59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both"/>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both"/>
                    <w:rPr>
                      <w:rFonts w:hint="default" w:eastAsia="宋体"/>
                      <w:kern w:val="0"/>
                      <w:sz w:val="20"/>
                      <w:lang w:val="en-US" w:eastAsia="zh-CN"/>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257.52</w:t>
                  </w: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hint="default" w:eastAsia="宋体"/>
                      <w:kern w:val="0"/>
                      <w:sz w:val="20"/>
                      <w:lang w:val="en-US" w:eastAsia="zh-CN"/>
                    </w:rPr>
                  </w:pPr>
                  <w:r>
                    <w:rPr>
                      <w:rFonts w:hint="eastAsia" w:eastAsia="宋体"/>
                      <w:kern w:val="0"/>
                      <w:sz w:val="20"/>
                      <w:lang w:val="en-US" w:eastAsia="zh-CN"/>
                    </w:rPr>
                    <w:t>257.52</w:t>
                  </w: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202.48</w:t>
                  </w: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202.48</w:t>
                  </w: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28.15</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28.15</w:t>
                  </w: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9.86</w:t>
                  </w: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9.86</w:t>
                  </w: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宋体"/>
                      <w:kern w:val="0"/>
                      <w:sz w:val="20"/>
                      <w:lang w:val="en-US" w:eastAsia="zh-CN"/>
                    </w:rPr>
                  </w:pPr>
                  <w:r>
                    <w:rPr>
                      <w:rFonts w:hint="eastAsia" w:eastAsia="宋体"/>
                      <w:kern w:val="0"/>
                      <w:sz w:val="20"/>
                      <w:lang w:val="en-US" w:eastAsia="zh-CN"/>
                    </w:rPr>
                    <w:t>17.03</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17.03</w:t>
                  </w: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257.52</w:t>
                  </w: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hint="default" w:eastAsia="宋体"/>
                      <w:kern w:val="0"/>
                      <w:sz w:val="20"/>
                      <w:lang w:val="en-US" w:eastAsia="zh-CN"/>
                    </w:rPr>
                  </w:pPr>
                  <w:r>
                    <w:rPr>
                      <w:rFonts w:hint="eastAsia" w:eastAsia="宋体"/>
                      <w:kern w:val="0"/>
                      <w:sz w:val="20"/>
                      <w:lang w:val="en-US" w:eastAsia="zh-CN"/>
                    </w:rPr>
                    <w:t>257.52</w:t>
                  </w: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257.52</w:t>
                  </w: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257.52</w:t>
                  </w: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85"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59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915"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573"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r>
                    <w:rPr>
                      <w:rFonts w:hint="eastAsia" w:eastAsia="黑体"/>
                      <w:kern w:val="0"/>
                      <w:sz w:val="20"/>
                      <w:lang w:val="en-US" w:eastAsia="zh-CN"/>
                    </w:rPr>
                    <w:t>257.52</w:t>
                  </w:r>
                  <w:r>
                    <w:rPr>
                      <w:rFonts w:eastAsia="黑体"/>
                      <w:kern w:val="0"/>
                      <w:sz w:val="20"/>
                    </w:rPr>
                    <w:t>　</w:t>
                  </w:r>
                </w:p>
              </w:tc>
              <w:tc>
                <w:tcPr>
                  <w:tcW w:w="785" w:type="dxa"/>
                  <w:tcBorders>
                    <w:top w:val="single" w:color="auto" w:sz="4" w:space="0"/>
                    <w:left w:val="single" w:color="auto" w:sz="4" w:space="0"/>
                    <w:bottom w:val="single" w:color="auto" w:sz="4" w:space="0"/>
                    <w:right w:val="single" w:color="auto" w:sz="4" w:space="0"/>
                  </w:tcBorders>
                  <w:vAlign w:val="center"/>
                </w:tcPr>
                <w:p>
                  <w:pPr>
                    <w:widowControl/>
                    <w:jc w:val="right"/>
                    <w:rPr>
                      <w:rFonts w:hint="default" w:eastAsia="黑体"/>
                      <w:kern w:val="0"/>
                      <w:sz w:val="20"/>
                      <w:lang w:val="en-US" w:eastAsia="zh-CN"/>
                    </w:rPr>
                  </w:pPr>
                  <w:r>
                    <w:rPr>
                      <w:rFonts w:hint="eastAsia" w:eastAsia="黑体"/>
                      <w:kern w:val="0"/>
                      <w:sz w:val="20"/>
                      <w:lang w:val="en-US" w:eastAsia="zh-CN"/>
                    </w:rPr>
                    <w:t>257.52</w:t>
                  </w:r>
                </w:p>
              </w:tc>
              <w:tc>
                <w:tcPr>
                  <w:tcW w:w="591"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hint="eastAsia" w:eastAsia="宋体"/>
                      <w:kern w:val="0"/>
                      <w:sz w:val="20"/>
                      <w:lang w:val="en-US" w:eastAsia="zh-CN"/>
                    </w:rPr>
                    <w:t>257.52</w:t>
                  </w:r>
                  <w:r>
                    <w:rPr>
                      <w:rFonts w:eastAsia="宋体"/>
                      <w:kern w:val="0"/>
                      <w:sz w:val="20"/>
                    </w:rPr>
                    <w:t>　</w:t>
                  </w:r>
                </w:p>
              </w:tc>
              <w:tc>
                <w:tcPr>
                  <w:tcW w:w="915" w:type="dxa"/>
                  <w:tcBorders>
                    <w:top w:val="single" w:color="auto" w:sz="4" w:space="0"/>
                    <w:left w:val="single" w:color="auto" w:sz="4" w:space="0"/>
                    <w:bottom w:val="single" w:color="auto" w:sz="4" w:space="0"/>
                    <w:right w:val="single" w:color="auto" w:sz="4" w:space="0"/>
                  </w:tcBorders>
                  <w:vAlign w:val="top"/>
                </w:tcPr>
                <w:p>
                  <w:pPr>
                    <w:widowControl/>
                    <w:jc w:val="right"/>
                    <w:rPr>
                      <w:rFonts w:hint="default" w:eastAsia="宋体"/>
                      <w:kern w:val="0"/>
                      <w:sz w:val="20"/>
                      <w:lang w:val="en-US" w:eastAsia="zh-CN"/>
                    </w:rPr>
                  </w:pPr>
                  <w:r>
                    <w:rPr>
                      <w:rFonts w:hint="eastAsia" w:eastAsia="宋体"/>
                      <w:kern w:val="0"/>
                      <w:sz w:val="20"/>
                      <w:lang w:val="en-US" w:eastAsia="zh-CN"/>
                    </w:rPr>
                    <w:t>257.52</w:t>
                  </w:r>
                </w:p>
              </w:tc>
              <w:tc>
                <w:tcPr>
                  <w:tcW w:w="573"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11"/>
              <w:tblW w:w="8789" w:type="dxa"/>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1134"/>
              <w:gridCol w:w="1134"/>
              <w:gridCol w:w="1134"/>
              <w:gridCol w:w="113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ind w:firstLine="2160" w:firstLineChars="600"/>
                    <w:jc w:val="both"/>
                    <w:rPr>
                      <w:rFonts w:eastAsia="华文细黑"/>
                      <w:color w:val="auto"/>
                      <w:kern w:val="0"/>
                      <w:sz w:val="36"/>
                      <w:szCs w:val="36"/>
                    </w:rPr>
                  </w:pPr>
                  <w:r>
                    <w:rPr>
                      <w:rFonts w:eastAsia="方正小标宋简体"/>
                      <w:color w:val="auto"/>
                      <w:kern w:val="0"/>
                      <w:sz w:val="36"/>
                      <w:szCs w:val="36"/>
                    </w:rPr>
                    <w:t>一般公共预算</w:t>
                  </w:r>
                  <w:r>
                    <w:rPr>
                      <w:rFonts w:hint="eastAsia" w:eastAsia="方正小标宋简体"/>
                      <w:color w:val="auto"/>
                      <w:kern w:val="0"/>
                      <w:sz w:val="36"/>
                      <w:szCs w:val="36"/>
                    </w:rPr>
                    <w:t>支出</w:t>
                  </w:r>
                  <w:r>
                    <w:rPr>
                      <w:rFonts w:eastAsia="方正小标宋简体"/>
                      <w:color w:val="auto"/>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eastAsia="zh-CN"/>
                    </w:rPr>
                    <w:t>教育支出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w:t>
                  </w:r>
                  <w:r>
                    <w:rPr>
                      <w:rFonts w:hint="eastAsia" w:eastAsia="宋体"/>
                      <w:color w:val="000000"/>
                      <w:kern w:val="0"/>
                      <w:sz w:val="20"/>
                      <w:szCs w:val="20"/>
                      <w:lang w:eastAsia="zh-CN"/>
                    </w:rPr>
                    <w:t>教育管理事务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default"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202.48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firstLine="100" w:firstLineChars="50"/>
                    <w:jc w:val="left"/>
                    <w:rPr>
                      <w:rFonts w:hint="eastAsia" w:ascii="Times New Roman" w:hAnsi="Times New Roman" w:eastAsia="宋体" w:cs="Times New Roman"/>
                      <w:color w:val="000000"/>
                      <w:kern w:val="0"/>
                      <w:sz w:val="20"/>
                      <w:szCs w:val="20"/>
                      <w:lang w:val="en-US" w:eastAsia="zh-CN" w:bidi="ar-SA"/>
                    </w:rPr>
                  </w:pPr>
                  <w:r>
                    <w:rPr>
                      <w:rFonts w:hint="default" w:eastAsia="宋体"/>
                      <w:color w:val="000000"/>
                      <w:kern w:val="0"/>
                      <w:sz w:val="20"/>
                      <w:szCs w:val="20"/>
                    </w:rPr>
                    <w:t>二、</w:t>
                  </w:r>
                  <w:r>
                    <w:rPr>
                      <w:rFonts w:hint="eastAsia" w:eastAsia="宋体"/>
                      <w:color w:val="000000"/>
                      <w:kern w:val="0"/>
                      <w:sz w:val="20"/>
                      <w:szCs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机关事业单位养老保险缴费支出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机关事事业单位职业年金缴费支出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spacing w:before="0" w:beforeAutospacing="0" w:after="0" w:afterAutospacing="0"/>
                    <w:ind w:left="0" w:leftChars="0" w:right="0"/>
                    <w:jc w:val="left"/>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其他行政单位医疗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257.52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257.52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29.22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89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76"/>
        <w:gridCol w:w="2220"/>
        <w:gridCol w:w="1704"/>
        <w:gridCol w:w="1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204.42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204.42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70.85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70.85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48.14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48.14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28.59</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28.59</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hint="eastAsia" w:eastAsia="宋体"/>
                <w:color w:val="000000"/>
                <w:sz w:val="20"/>
                <w:lang w:eastAsia="zh-CN"/>
              </w:rPr>
            </w:pPr>
            <w:r>
              <w:rPr>
                <w:rFonts w:hint="eastAsia" w:eastAsia="宋体"/>
                <w:color w:val="000000"/>
                <w:sz w:val="20"/>
                <w:lang w:eastAsia="zh-CN"/>
              </w:rPr>
              <w:t>机关事业单位基本养老缴费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22.70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22.70</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hint="eastAsia" w:eastAsia="宋体"/>
                <w:color w:val="000000"/>
                <w:sz w:val="20"/>
                <w:lang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5.45</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5.45</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hint="eastAsia" w:eastAsia="宋体"/>
                <w:color w:val="00000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9.72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9.72</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eastAsia="宋体"/>
                <w:color w:val="000000"/>
                <w:sz w:val="20"/>
              </w:rPr>
            </w:pPr>
            <w:r>
              <w:rPr>
                <w:rFonts w:hint="eastAsia" w:eastAsia="宋体"/>
                <w:color w:val="000000"/>
                <w:sz w:val="20"/>
                <w:lang w:eastAsia="zh-CN"/>
              </w:rPr>
              <w:t>其他</w:t>
            </w: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0.14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0.14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hint="eastAsia" w:eastAsia="宋体"/>
                <w:kern w:val="0"/>
                <w:sz w:val="20"/>
                <w:lang w:eastAsia="zh-CN"/>
              </w:rPr>
            </w:pPr>
            <w:r>
              <w:rPr>
                <w:rFonts w:hint="eastAsia" w:eastAsia="宋体"/>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17.03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17.03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1.80</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1.80</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jc w:val="center"/>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29.22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29.22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autoSpaceDN w:val="0"/>
              <w:ind w:firstLine="400" w:firstLineChars="200"/>
              <w:jc w:val="center"/>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宋体"/>
                <w:kern w:val="0"/>
                <w:sz w:val="28"/>
                <w:szCs w:val="28"/>
                <w:lang w:val="en-US" w:eastAsia="zh-CN"/>
              </w:rPr>
            </w:pPr>
            <w:r>
              <w:rPr>
                <w:rFonts w:hint="eastAsia" w:eastAsia="宋体"/>
                <w:kern w:val="0"/>
                <w:sz w:val="28"/>
                <w:szCs w:val="28"/>
                <w:lang w:val="en-US" w:eastAsia="zh-CN"/>
              </w:rPr>
              <w:t>4.2</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sz w:val="28"/>
                <w:szCs w:val="28"/>
              </w:rPr>
            </w:pP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eastAsia="仿宋_GB2312"/>
                <w:sz w:val="28"/>
                <w:szCs w:val="28"/>
                <w:lang w:val="en-US" w:eastAsia="zh-CN"/>
              </w:rPr>
            </w:pPr>
            <w:r>
              <w:rPr>
                <w:rFonts w:hint="eastAsia"/>
                <w:sz w:val="28"/>
                <w:szCs w:val="28"/>
                <w:lang w:val="en-US" w:eastAsia="zh-CN"/>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jc w:val="center"/>
              <w:textAlignment w:val="center"/>
              <w:rPr>
                <w:rFonts w:hint="eastAsia" w:eastAsia="宋体"/>
                <w:kern w:val="0"/>
                <w:sz w:val="20"/>
                <w:lang w:eastAsia="zh-CN"/>
              </w:rPr>
            </w:pPr>
            <w:r>
              <w:rPr>
                <w:rFonts w:hint="eastAsia" w:eastAsia="宋体"/>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8"/>
                <w:szCs w:val="28"/>
                <w:lang w:val="en-US" w:eastAsia="zh-CN"/>
              </w:rPr>
            </w:pPr>
            <w:r>
              <w:rPr>
                <w:rFonts w:hint="eastAsia" w:eastAsia="宋体"/>
                <w:kern w:val="0"/>
                <w:sz w:val="28"/>
                <w:szCs w:val="28"/>
                <w:lang w:val="en-US" w:eastAsia="zh-CN"/>
              </w:rPr>
              <w:t>10.00</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sz w:val="28"/>
                <w:szCs w:val="28"/>
              </w:rPr>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仿宋_GB2312"/>
                <w:sz w:val="28"/>
                <w:szCs w:val="28"/>
                <w:lang w:val="en-US" w:eastAsia="zh-CN"/>
              </w:rPr>
            </w:pPr>
            <w:r>
              <w:rPr>
                <w:rFonts w:hint="eastAsia"/>
                <w:sz w:val="28"/>
                <w:szCs w:val="28"/>
                <w:lang w:val="en-US"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8"/>
                <w:szCs w:val="28"/>
                <w:lang w:val="en-US" w:eastAsia="zh-CN"/>
              </w:rPr>
            </w:pPr>
            <w:r>
              <w:rPr>
                <w:rFonts w:hint="eastAsia" w:eastAsia="宋体"/>
                <w:kern w:val="0"/>
                <w:sz w:val="28"/>
                <w:szCs w:val="28"/>
                <w:lang w:val="en-US" w:eastAsia="zh-CN"/>
              </w:rPr>
              <w:t>5.00</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sz w:val="28"/>
                <w:szCs w:val="28"/>
              </w:rPr>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仿宋_GB2312"/>
                <w:sz w:val="28"/>
                <w:szCs w:val="28"/>
                <w:lang w:val="en-US" w:eastAsia="zh-CN"/>
              </w:rPr>
            </w:pPr>
            <w:r>
              <w:rPr>
                <w:rFonts w:hint="eastAsia"/>
                <w:sz w:val="28"/>
                <w:szCs w:val="28"/>
                <w:lang w:val="en-US" w:eastAsia="zh-CN"/>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8"/>
                <w:szCs w:val="28"/>
                <w:lang w:val="en-US" w:eastAsia="zh-CN"/>
              </w:rPr>
            </w:pPr>
            <w:r>
              <w:rPr>
                <w:rFonts w:hint="eastAsia" w:eastAsia="宋体"/>
                <w:kern w:val="0"/>
                <w:sz w:val="28"/>
                <w:szCs w:val="28"/>
                <w:lang w:val="en-US" w:eastAsia="zh-CN"/>
              </w:rPr>
              <w:t>10.02</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sz w:val="28"/>
                <w:szCs w:val="28"/>
              </w:rPr>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仿宋_GB2312"/>
                <w:sz w:val="28"/>
                <w:szCs w:val="28"/>
                <w:lang w:val="en-US" w:eastAsia="zh-CN"/>
              </w:rPr>
            </w:pPr>
            <w:r>
              <w:rPr>
                <w:rFonts w:hint="eastAsia"/>
                <w:sz w:val="28"/>
                <w:szCs w:val="28"/>
                <w:lang w:val="en-US" w:eastAsia="zh-CN"/>
              </w:rPr>
              <w:t>10.02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三、对个人和家庭生活补助</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8"/>
                <w:szCs w:val="28"/>
                <w:lang w:val="en-US" w:eastAsia="zh-CN"/>
              </w:rPr>
            </w:pPr>
            <w:r>
              <w:rPr>
                <w:rFonts w:hint="eastAsia" w:eastAsia="宋体"/>
                <w:kern w:val="0"/>
                <w:sz w:val="28"/>
                <w:szCs w:val="28"/>
                <w:lang w:val="en-US" w:eastAsia="zh-CN"/>
              </w:rPr>
              <w:t>23.87</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sz w:val="28"/>
                <w:szCs w:val="28"/>
                <w:lang w:val="en-US" w:eastAsia="zh-CN"/>
              </w:rPr>
            </w:pPr>
            <w:r>
              <w:rPr>
                <w:rFonts w:hint="eastAsia"/>
                <w:sz w:val="28"/>
                <w:szCs w:val="28"/>
                <w:lang w:val="en-US" w:eastAsia="zh-CN"/>
              </w:rPr>
              <w:t>23.87</w:t>
            </w: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7"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离休费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8"/>
                <w:szCs w:val="28"/>
                <w:lang w:val="en-US" w:eastAsia="zh-CN"/>
              </w:rPr>
            </w:pPr>
            <w:r>
              <w:rPr>
                <w:rFonts w:hint="eastAsia" w:eastAsia="宋体"/>
                <w:kern w:val="0"/>
                <w:sz w:val="28"/>
                <w:szCs w:val="28"/>
                <w:lang w:val="en-US" w:eastAsia="zh-CN"/>
              </w:rPr>
              <w:t>11.73</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仿宋_GB2312"/>
                <w:sz w:val="28"/>
                <w:szCs w:val="28"/>
                <w:lang w:val="en-US" w:eastAsia="zh-CN"/>
              </w:rPr>
            </w:pPr>
            <w:r>
              <w:rPr>
                <w:rFonts w:hint="eastAsia"/>
                <w:sz w:val="28"/>
                <w:szCs w:val="28"/>
                <w:lang w:val="en-US" w:eastAsia="zh-CN"/>
              </w:rPr>
              <w:t>11.73</w:t>
            </w: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8"/>
                <w:szCs w:val="28"/>
                <w:lang w:val="en-US" w:eastAsia="zh-CN"/>
              </w:rPr>
            </w:pPr>
            <w:r>
              <w:rPr>
                <w:rFonts w:hint="eastAsia" w:eastAsia="宋体"/>
                <w:kern w:val="0"/>
                <w:sz w:val="28"/>
                <w:szCs w:val="28"/>
                <w:lang w:val="en-US" w:eastAsia="zh-CN"/>
              </w:rPr>
              <w:t>12.14</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仿宋_GB2312"/>
                <w:sz w:val="28"/>
                <w:szCs w:val="28"/>
                <w:lang w:val="en-US" w:eastAsia="zh-CN"/>
              </w:rPr>
            </w:pPr>
            <w:r>
              <w:rPr>
                <w:rFonts w:hint="eastAsia"/>
                <w:sz w:val="28"/>
                <w:szCs w:val="28"/>
                <w:lang w:val="en-US" w:eastAsia="zh-CN"/>
              </w:rPr>
              <w:t>12.14</w:t>
            </w: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center"/>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8"/>
                <w:szCs w:val="28"/>
                <w:lang w:val="en-US" w:eastAsia="zh-CN"/>
              </w:rPr>
            </w:pPr>
            <w:r>
              <w:rPr>
                <w:rFonts w:hint="eastAsia" w:eastAsia="宋体"/>
                <w:kern w:val="0"/>
                <w:sz w:val="28"/>
                <w:szCs w:val="28"/>
                <w:lang w:val="en-US" w:eastAsia="zh-CN"/>
              </w:rPr>
              <w:t>228.30</w:t>
            </w:r>
          </w:p>
        </w:tc>
        <w:tc>
          <w:tcPr>
            <w:tcW w:w="1704"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sz w:val="28"/>
                <w:szCs w:val="28"/>
                <w:lang w:val="en-US" w:eastAsia="zh-CN"/>
              </w:rPr>
            </w:pPr>
            <w:r>
              <w:rPr>
                <w:rFonts w:hint="eastAsia"/>
                <w:sz w:val="28"/>
                <w:szCs w:val="28"/>
                <w:lang w:val="en-US" w:eastAsia="zh-CN"/>
              </w:rPr>
              <w:t>228.30</w:t>
            </w: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仿宋_GB2312"/>
                <w:sz w:val="28"/>
                <w:szCs w:val="28"/>
                <w:lang w:val="en-US" w:eastAsia="zh-CN"/>
              </w:rPr>
            </w:pPr>
            <w:r>
              <w:rPr>
                <w:rFonts w:hint="eastAsia"/>
                <w:sz w:val="28"/>
                <w:szCs w:val="28"/>
                <w:lang w:val="en-US" w:eastAsia="zh-CN"/>
              </w:rPr>
              <w:t>29.22</w:t>
            </w:r>
          </w:p>
        </w:tc>
      </w:tr>
    </w:tbl>
    <w:tbl>
      <w:tblPr>
        <w:tblStyle w:val="11"/>
        <w:tblpPr w:leftFromText="180" w:rightFromText="180" w:vertAnchor="text" w:horzAnchor="page" w:tblpX="1822" w:tblpY="-141"/>
        <w:tblOverlap w:val="never"/>
        <w:tblW w:w="91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3"/>
        <w:gridCol w:w="1646"/>
        <w:gridCol w:w="1378"/>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9114" w:type="dxa"/>
            <w:gridSpan w:val="4"/>
            <w:tcBorders>
              <w:top w:val="nil"/>
              <w:left w:val="nil"/>
              <w:right w:val="nil"/>
            </w:tcBorders>
            <w:vAlign w:val="center"/>
          </w:tcPr>
          <w:p>
            <w:pPr>
              <w:widowControl/>
              <w:ind w:firstLine="1440" w:firstLineChars="400"/>
              <w:jc w:val="both"/>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4" w:hRule="atLeast"/>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0" w:hRule="atLeast"/>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7" w:hRule="atLeast"/>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5" w:hRule="atLeast"/>
        </w:trPr>
        <w:tc>
          <w:tcPr>
            <w:tcW w:w="9114" w:type="dxa"/>
            <w:gridSpan w:val="4"/>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hint="eastAsia"/>
                <w:color w:val="000000"/>
                <w:kern w:val="0"/>
                <w:sz w:val="28"/>
                <w:szCs w:val="28"/>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35</w:t>
            </w:r>
            <w:r>
              <w:rPr>
                <w:color w:val="000000"/>
                <w:kern w:val="0"/>
                <w:sz w:val="28"/>
                <w:szCs w:val="28"/>
              </w:rPr>
              <w:t>人，其中：在职人员</w:t>
            </w:r>
            <w:r>
              <w:rPr>
                <w:rFonts w:hint="eastAsia"/>
                <w:color w:val="000000"/>
                <w:kern w:val="0"/>
                <w:sz w:val="28"/>
                <w:szCs w:val="28"/>
                <w:lang w:val="en-US" w:eastAsia="zh-CN"/>
              </w:rPr>
              <w:t>16</w:t>
            </w:r>
            <w:r>
              <w:rPr>
                <w:color w:val="000000"/>
                <w:kern w:val="0"/>
                <w:sz w:val="28"/>
                <w:szCs w:val="28"/>
              </w:rPr>
              <w:t>人，离退休人员</w:t>
            </w:r>
            <w:r>
              <w:rPr>
                <w:rFonts w:hint="eastAsia"/>
                <w:color w:val="000000"/>
                <w:kern w:val="0"/>
                <w:sz w:val="28"/>
                <w:szCs w:val="28"/>
                <w:lang w:val="en-US" w:eastAsia="zh-CN"/>
              </w:rPr>
              <w:t>19</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rPr>
          <w:rFonts w:hint="eastAsia" w:ascii="楷体" w:hAnsi="楷体" w:eastAsia="楷体" w:cs="楷体"/>
          <w:sz w:val="24"/>
          <w:szCs w:val="24"/>
        </w:rPr>
      </w:pPr>
    </w:p>
    <w:p>
      <w:pPr>
        <w:rPr>
          <w:rFonts w:hint="eastAsia" w:ascii="楷体" w:hAnsi="楷体" w:eastAsia="楷体" w:cs="楷体"/>
          <w:sz w:val="24"/>
          <w:szCs w:val="24"/>
        </w:rPr>
      </w:pPr>
      <w:r>
        <w:rPr>
          <w:rFonts w:hAnsi="楷体" w:eastAsia="楷体"/>
        </w:rPr>
        <w:br w:type="page"/>
      </w: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1"/>
        <w:tblpPr w:leftFromText="180" w:rightFromText="180" w:horzAnchor="margin" w:tblpXSpec="left" w:tblpY="321"/>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147"/>
        <w:gridCol w:w="1704"/>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1"/>
        <w:tblpPr w:leftFromText="180" w:rightFromText="180" w:vertAnchor="page" w:horzAnchor="page" w:tblpX="1260" w:tblpY="232"/>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267"/>
        <w:gridCol w:w="2269"/>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rPr>
          <w:rFonts w:ascii="Times New Roman" w:hAnsi="Times New Roman" w:eastAsia="仿宋_GB2312" w:cs="Times New Roman"/>
          <w:kern w:val="2"/>
          <w:sz w:val="32"/>
          <w:lang w:val="en-US" w:eastAsia="zh-CN" w:bidi="ar-SA"/>
        </w:rPr>
      </w:pPr>
    </w:p>
    <w:tbl>
      <w:tblPr>
        <w:tblStyle w:val="11"/>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498" w:type="dxa"/>
            <w:vMerge w:val="continue"/>
            <w:vAlign w:val="center"/>
          </w:tcPr>
          <w:p>
            <w:pPr>
              <w:autoSpaceDN w:val="0"/>
              <w:jc w:val="center"/>
              <w:textAlignment w:val="center"/>
              <w:rPr>
                <w:rFonts w:ascii="Calibri" w:hAnsi="Calibri" w:eastAsia="华文细黑"/>
                <w:color w:val="000000"/>
                <w:sz w:val="20"/>
                <w:szCs w:val="22"/>
              </w:rPr>
            </w:pPr>
          </w:p>
        </w:tc>
        <w:tc>
          <w:tcPr>
            <w:tcW w:w="55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Cs w:val="32"/>
              </w:rPr>
            </w:pPr>
          </w:p>
        </w:tc>
        <w:tc>
          <w:tcPr>
            <w:tcW w:w="1063" w:type="dxa"/>
            <w:vAlign w:val="center"/>
          </w:tcPr>
          <w:p>
            <w:pPr>
              <w:spacing w:line="700" w:lineRule="exact"/>
              <w:jc w:val="center"/>
              <w:rPr>
                <w:rFonts w:ascii="Calibri" w:hAnsi="Calibri" w:eastAsia="楷体"/>
                <w:kern w:val="0"/>
                <w:szCs w:val="3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vAlign w:val="center"/>
          </w:tcPr>
          <w:p>
            <w:pPr>
              <w:autoSpaceDN w:val="0"/>
              <w:jc w:val="center"/>
              <w:textAlignment w:val="center"/>
              <w:rPr>
                <w:rFonts w:ascii="Calibri" w:hAnsi="Calibri" w:eastAsia="华文细黑"/>
                <w:color w:val="000000"/>
                <w:sz w:val="20"/>
                <w:szCs w:val="22"/>
              </w:rPr>
            </w:pPr>
          </w:p>
        </w:tc>
        <w:tc>
          <w:tcPr>
            <w:tcW w:w="1107" w:type="dxa"/>
            <w:vAlign w:val="center"/>
          </w:tcPr>
          <w:p>
            <w:pPr>
              <w:spacing w:line="700" w:lineRule="exact"/>
              <w:jc w:val="center"/>
              <w:rPr>
                <w:rFonts w:ascii="Calibri" w:hAnsi="Calibri" w:eastAsia="楷体"/>
                <w:kern w:val="0"/>
                <w:szCs w:val="32"/>
              </w:rPr>
            </w:pPr>
          </w:p>
        </w:tc>
        <w:tc>
          <w:tcPr>
            <w:tcW w:w="864" w:type="dxa"/>
            <w:vAlign w:val="center"/>
          </w:tcPr>
          <w:p>
            <w:pPr>
              <w:spacing w:line="700" w:lineRule="exact"/>
              <w:jc w:val="center"/>
              <w:rPr>
                <w:rFonts w:ascii="Calibri" w:hAnsi="Calibri" w:eastAsia="楷体"/>
                <w:kern w:val="0"/>
                <w:szCs w:val="32"/>
              </w:rPr>
            </w:pPr>
          </w:p>
        </w:tc>
        <w:tc>
          <w:tcPr>
            <w:tcW w:w="498" w:type="dxa"/>
            <w:vAlign w:val="center"/>
          </w:tcPr>
          <w:p>
            <w:pPr>
              <w:spacing w:line="700" w:lineRule="exact"/>
              <w:jc w:val="center"/>
              <w:rPr>
                <w:rFonts w:ascii="Calibri" w:hAnsi="Calibri" w:eastAsia="楷体"/>
                <w:kern w:val="0"/>
                <w:szCs w:val="32"/>
              </w:rPr>
            </w:pPr>
          </w:p>
        </w:tc>
        <w:tc>
          <w:tcPr>
            <w:tcW w:w="553" w:type="dxa"/>
            <w:vAlign w:val="center"/>
          </w:tcPr>
          <w:p>
            <w:pPr>
              <w:spacing w:line="700" w:lineRule="exact"/>
              <w:jc w:val="center"/>
              <w:rPr>
                <w:rFonts w:ascii="Calibri" w:hAnsi="Calibri" w:eastAsia="楷体"/>
                <w:kern w:val="0"/>
                <w:szCs w:val="32"/>
              </w:rPr>
            </w:pPr>
          </w:p>
        </w:tc>
        <w:tc>
          <w:tcPr>
            <w:tcW w:w="554" w:type="dxa"/>
            <w:vAlign w:val="center"/>
          </w:tcPr>
          <w:p>
            <w:pPr>
              <w:spacing w:line="700" w:lineRule="exact"/>
              <w:jc w:val="center"/>
              <w:rPr>
                <w:rFonts w:ascii="Calibri" w:hAnsi="Calibri" w:eastAsia="楷体"/>
                <w:kern w:val="0"/>
                <w:szCs w:val="32"/>
              </w:rPr>
            </w:pPr>
          </w:p>
        </w:tc>
        <w:tc>
          <w:tcPr>
            <w:tcW w:w="521" w:type="dxa"/>
            <w:vAlign w:val="center"/>
          </w:tcPr>
          <w:p>
            <w:pPr>
              <w:spacing w:line="700" w:lineRule="exact"/>
              <w:jc w:val="center"/>
              <w:rPr>
                <w:rFonts w:ascii="Calibri" w:hAnsi="Calibri" w:eastAsia="楷体"/>
                <w:kern w:val="0"/>
                <w:szCs w:val="32"/>
              </w:rPr>
            </w:pPr>
          </w:p>
        </w:tc>
        <w:tc>
          <w:tcPr>
            <w:tcW w:w="564" w:type="dxa"/>
            <w:vAlign w:val="center"/>
          </w:tcPr>
          <w:p>
            <w:pPr>
              <w:spacing w:line="700" w:lineRule="exact"/>
              <w:jc w:val="center"/>
              <w:rPr>
                <w:rFonts w:ascii="Calibri" w:hAnsi="Calibri" w:eastAsia="楷体"/>
                <w:kern w:val="0"/>
                <w:szCs w:val="32"/>
              </w:rPr>
            </w:pPr>
          </w:p>
        </w:tc>
        <w:tc>
          <w:tcPr>
            <w:tcW w:w="532" w:type="dxa"/>
            <w:vAlign w:val="center"/>
          </w:tcPr>
          <w:p>
            <w:pPr>
              <w:spacing w:line="700" w:lineRule="exact"/>
              <w:jc w:val="center"/>
              <w:rPr>
                <w:rFonts w:ascii="Calibri" w:hAnsi="Calibri" w:eastAsia="楷体"/>
                <w:kern w:val="0"/>
                <w:szCs w:val="32"/>
              </w:rPr>
            </w:pPr>
          </w:p>
        </w:tc>
        <w:tc>
          <w:tcPr>
            <w:tcW w:w="598" w:type="dxa"/>
            <w:vAlign w:val="center"/>
          </w:tcPr>
          <w:p>
            <w:pPr>
              <w:spacing w:line="700" w:lineRule="exact"/>
              <w:jc w:val="center"/>
              <w:rPr>
                <w:rFonts w:ascii="Calibri" w:hAnsi="Calibri" w:eastAsia="楷体"/>
                <w:kern w:val="0"/>
                <w:szCs w:val="32"/>
              </w:rPr>
            </w:pPr>
          </w:p>
        </w:tc>
        <w:tc>
          <w:tcPr>
            <w:tcW w:w="443" w:type="dxa"/>
            <w:vAlign w:val="center"/>
          </w:tcPr>
          <w:p>
            <w:pPr>
              <w:spacing w:line="700" w:lineRule="exact"/>
              <w:jc w:val="center"/>
              <w:rPr>
                <w:rFonts w:ascii="Calibri" w:hAnsi="Calibri" w:eastAsia="楷体"/>
                <w:kern w:val="0"/>
                <w:szCs w:val="32"/>
              </w:rPr>
            </w:pPr>
          </w:p>
        </w:tc>
        <w:tc>
          <w:tcPr>
            <w:tcW w:w="425" w:type="dxa"/>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11"/>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257.52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w:t>
      </w:r>
      <w:r>
        <w:rPr>
          <w:rFonts w:hint="eastAsia" w:ascii="仿宋_GB2312" w:hAnsi="仿宋_GB2312" w:cs="仿宋_GB2312"/>
          <w:szCs w:val="32"/>
          <w:lang w:eastAsia="zh-CN"/>
        </w:rPr>
        <w:t>少</w:t>
      </w:r>
      <w:r>
        <w:rPr>
          <w:rFonts w:hint="eastAsia" w:ascii="仿宋_GB2312" w:hAnsi="仿宋_GB2312" w:cs="仿宋_GB2312"/>
          <w:szCs w:val="32"/>
          <w:lang w:val="en-US" w:eastAsia="zh-CN"/>
        </w:rPr>
        <w:t>34.23</w:t>
      </w:r>
      <w:r>
        <w:rPr>
          <w:rFonts w:hint="eastAsia" w:ascii="仿宋_GB2312" w:hAnsi="仿宋_GB2312" w:eastAsia="仿宋_GB2312" w:cs="仿宋_GB2312"/>
          <w:szCs w:val="32"/>
        </w:rPr>
        <w:t>万元，主要原因</w:t>
      </w:r>
      <w:r>
        <w:rPr>
          <w:rFonts w:hint="eastAsia" w:ascii="仿宋_GB2312" w:hAnsi="仿宋_GB2312" w:cs="仿宋_GB2312"/>
          <w:szCs w:val="32"/>
          <w:lang w:eastAsia="zh-CN"/>
        </w:rPr>
        <w:t>节约开支，支出减少</w:t>
      </w:r>
      <w:r>
        <w:rPr>
          <w:rFonts w:hint="eastAsia" w:ascii="仿宋_GB2312" w:hAnsi="仿宋_GB2312" w:eastAsia="仿宋_GB2312" w:cs="仿宋_GB2312"/>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lang w:val="en-US" w:eastAsia="zh-CN"/>
        </w:rPr>
        <w:t>202.48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28.15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9.86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17.03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p>
    <w:p>
      <w:pPr>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r>
        <w:rPr>
          <w:rFonts w:hint="eastAsia" w:ascii="仿宋_GB2312" w:hAnsi="仿宋_GB2312" w:cs="仿宋_GB2312"/>
          <w:szCs w:val="32"/>
          <w:lang w:val="en-US" w:eastAsia="zh-CN"/>
        </w:rPr>
        <w:t>.</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228.30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88.65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29.22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11.35</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202.48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78.63</w:t>
      </w:r>
      <w:r>
        <w:rPr>
          <w:rFonts w:hint="eastAsia" w:ascii="仿宋_GB2312" w:hAnsi="仿宋_GB2312" w:eastAsia="仿宋_GB2312" w:cs="仿宋_GB2312"/>
          <w:szCs w:val="32"/>
        </w:rPr>
        <w:t>%，主要用于</w:t>
      </w:r>
      <w:r>
        <w:rPr>
          <w:rFonts w:hint="eastAsia"/>
          <w:szCs w:val="32"/>
          <w:lang w:eastAsia="zh-CN"/>
        </w:rPr>
        <w:t>本单位职工的人员工资及正常办公所需经费</w:t>
      </w:r>
      <w:r>
        <w:rPr>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w:t>
      </w:r>
      <w:r>
        <w:rPr>
          <w:rFonts w:hint="eastAsia" w:ascii="仿宋_GB2312" w:hAnsi="仿宋_GB2312" w:cs="仿宋_GB2312"/>
          <w:szCs w:val="32"/>
          <w:lang w:eastAsia="zh-CN"/>
        </w:rPr>
        <w:t>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38.01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14.76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缴纳职工养老保险及医疗保险</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17.03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6.61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职工缴纳住房公积金</w:t>
      </w:r>
      <w:r>
        <w:rPr>
          <w:rFonts w:hint="eastAsia" w:ascii="仿宋_GB2312" w:hAnsi="仿宋_GB2312" w:eastAsia="仿宋_GB2312" w:cs="仿宋_GB2312"/>
          <w:szCs w:val="32"/>
        </w:rPr>
        <w:t>。</w:t>
      </w:r>
    </w:p>
    <w:p>
      <w:pPr>
        <w:spacing w:line="520" w:lineRule="exact"/>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228.30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29.22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lang w:eastAsia="zh-CN"/>
        </w:rPr>
      </w:pPr>
      <w:r>
        <w:rPr>
          <w:rFonts w:hint="eastAsia" w:ascii="黑体" w:hAnsi="黑体" w:eastAsia="黑体" w:cs="黑体"/>
          <w:szCs w:val="30"/>
          <w:lang w:eastAsia="zh-CN"/>
        </w:rPr>
        <w:t>本部门无“三公”经费支出预算</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eastAsia="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rPr>
          <w:rFonts w:hint="eastAsia" w:ascii="黑体" w:hAnsi="黑体" w:eastAsia="黑体" w:cs="黑体"/>
          <w:szCs w:val="32"/>
          <w:highlight w:val="none"/>
        </w:rPr>
      </w:pP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eastAsia="仿宋_GB2312"/>
          <w:szCs w:val="32"/>
          <w:lang w:val="en-US" w:eastAsia="zh-CN"/>
        </w:rPr>
      </w:pPr>
      <w:r>
        <w:rPr>
          <w:rFonts w:hint="eastAsia" w:ascii="仿宋_GB2312" w:hAnsi="仿宋_GB2312" w:eastAsia="仿宋_GB2312" w:cs="仿宋_GB2312"/>
          <w:szCs w:val="32"/>
          <w:highlight w:val="none"/>
        </w:rPr>
        <w:t>其他国有资本经营预算（款）支出________万元，占________%，主要用于_____________</w:t>
      </w:r>
      <w:r>
        <w:rPr>
          <w:rFonts w:hint="eastAsia" w:ascii="仿宋_GB2312" w:hAnsi="仿宋_GB2312" w:cs="仿宋_GB2312"/>
          <w:szCs w:val="32"/>
          <w:highlight w:val="none"/>
          <w:lang w:val="en-US" w:eastAsia="zh-CN"/>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lang w:val="en-US" w:eastAsia="zh-CN"/>
        </w:rPr>
        <w:t>257.52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34.23</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11.73</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节约开支，支出减少</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3000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2374</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lang w:eastAsia="zh-CN"/>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w:t>
      </w:r>
      <w:r>
        <w:rPr>
          <w:rFonts w:hint="eastAsia" w:ascii="仿宋_GB2312" w:hAnsi="仿宋_GB2312" w:cs="仿宋_GB2312"/>
          <w:highlight w:val="none"/>
          <w:lang w:eastAsia="zh-CN"/>
        </w:rPr>
        <w:t>本部门无项目支出</w:t>
      </w:r>
    </w:p>
    <w:p>
      <w:pPr>
        <w:spacing w:line="540" w:lineRule="exact"/>
        <w:ind w:firstLine="640" w:firstLineChars="200"/>
        <w:rPr>
          <w:rFonts w:eastAsia="楷体"/>
          <w:szCs w:val="32"/>
        </w:rPr>
      </w:pPr>
      <w:r>
        <w:rPr>
          <w:rFonts w:hint="eastAsia" w:eastAsia="楷体"/>
          <w:szCs w:val="32"/>
        </w:rPr>
        <w:t>（五）项目支出绩效目标情况说明</w:t>
      </w:r>
    </w:p>
    <w:p>
      <w:pPr>
        <w:spacing w:line="540" w:lineRule="exact"/>
        <w:ind w:firstLine="640" w:firstLineChars="200"/>
        <w:rPr>
          <w:rFonts w:hint="eastAsia" w:ascii="仿宋_GB2312" w:hAnsi="仿宋_GB2312" w:eastAsia="仿宋_GB2312" w:cs="仿宋_GB2312"/>
          <w:highlight w:val="none"/>
          <w:lang w:eastAsia="zh-CN"/>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w:t>
      </w:r>
      <w:r>
        <w:rPr>
          <w:rFonts w:hint="eastAsia" w:ascii="仿宋_GB2312" w:hAnsi="仿宋_GB2312" w:cs="仿宋_GB2312"/>
          <w:highlight w:val="none"/>
          <w:lang w:eastAsia="zh-CN"/>
        </w:rPr>
        <w:t>本部门无项目支出</w:t>
      </w:r>
    </w:p>
    <w:p>
      <w:pPr>
        <w:spacing w:line="540" w:lineRule="exact"/>
        <w:ind w:firstLine="2240" w:firstLineChars="700"/>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4" w:type="default"/>
      <w:footerReference r:id="rId6" w:type="default"/>
      <w:headerReference r:id="rId5" w:type="even"/>
      <w:footerReference r:id="rId7"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800002BF" w:usb1="38CF7CFA" w:usb2="00000016" w:usb3="00000000" w:csb0="00040001" w:csb1="00000000"/>
  </w:font>
  <w:font w:name="仿宋">
    <w:altName w:val="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12321409">
    <w:nsid w:val="601A1281"/>
    <w:multiLevelType w:val="singleLevel"/>
    <w:tmpl w:val="601A1281"/>
    <w:lvl w:ilvl="0" w:tentative="1">
      <w:start w:val="4"/>
      <w:numFmt w:val="chineseCounting"/>
      <w:suff w:val="nothing"/>
      <w:lvlText w:val="（%1）"/>
      <w:lvlJc w:val="left"/>
    </w:lvl>
  </w:abstractNum>
  <w:abstractNum w:abstractNumId="1510015531">
    <w:nsid w:val="5A01022B"/>
    <w:multiLevelType w:val="singleLevel"/>
    <w:tmpl w:val="5A01022B"/>
    <w:lvl w:ilvl="0" w:tentative="1">
      <w:start w:val="7"/>
      <w:numFmt w:val="decimal"/>
      <w:suff w:val="nothing"/>
      <w:lvlText w:val="%1、"/>
      <w:lvlJc w:val="left"/>
    </w:lvl>
  </w:abstractNum>
  <w:num w:numId="1">
    <w:abstractNumId w:val="1510015531"/>
  </w:num>
  <w:num w:numId="2">
    <w:abstractNumId w:val="16123214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zcwNjQwMjcwMzU1NzRmYzIyYzJlOGZkNWQwYmE3Nzc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9F6CFF"/>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85167B"/>
    <w:rsid w:val="10AE7F82"/>
    <w:rsid w:val="10C93B35"/>
    <w:rsid w:val="11177619"/>
    <w:rsid w:val="112605C8"/>
    <w:rsid w:val="12E711B7"/>
    <w:rsid w:val="136D62BD"/>
    <w:rsid w:val="13F21722"/>
    <w:rsid w:val="1441443C"/>
    <w:rsid w:val="14C12787"/>
    <w:rsid w:val="15593E10"/>
    <w:rsid w:val="159F7E25"/>
    <w:rsid w:val="15F848D0"/>
    <w:rsid w:val="160E1FA5"/>
    <w:rsid w:val="160F2600"/>
    <w:rsid w:val="165872EC"/>
    <w:rsid w:val="16904181"/>
    <w:rsid w:val="17765BCA"/>
    <w:rsid w:val="17A027D8"/>
    <w:rsid w:val="17C52CBF"/>
    <w:rsid w:val="18467D90"/>
    <w:rsid w:val="196E14C7"/>
    <w:rsid w:val="19AC37CF"/>
    <w:rsid w:val="19CE2A86"/>
    <w:rsid w:val="1A817DF8"/>
    <w:rsid w:val="1ADC594E"/>
    <w:rsid w:val="1AEB5252"/>
    <w:rsid w:val="1BB14F92"/>
    <w:rsid w:val="1C852172"/>
    <w:rsid w:val="1CA40C0C"/>
    <w:rsid w:val="1CFF4A32"/>
    <w:rsid w:val="1D833200"/>
    <w:rsid w:val="1E2D59A2"/>
    <w:rsid w:val="1E3A3FD0"/>
    <w:rsid w:val="1EB55C07"/>
    <w:rsid w:val="1ECA6FFC"/>
    <w:rsid w:val="1F351A10"/>
    <w:rsid w:val="1FED47E9"/>
    <w:rsid w:val="206816AC"/>
    <w:rsid w:val="209C3433"/>
    <w:rsid w:val="22907CB1"/>
    <w:rsid w:val="22A4003E"/>
    <w:rsid w:val="23984063"/>
    <w:rsid w:val="23CE11F0"/>
    <w:rsid w:val="23EC61F6"/>
    <w:rsid w:val="244C543C"/>
    <w:rsid w:val="24624768"/>
    <w:rsid w:val="24FA7C76"/>
    <w:rsid w:val="2539376C"/>
    <w:rsid w:val="254C6FAD"/>
    <w:rsid w:val="259B5BC5"/>
    <w:rsid w:val="25C7462E"/>
    <w:rsid w:val="25F62C4E"/>
    <w:rsid w:val="26643D6C"/>
    <w:rsid w:val="26FE109D"/>
    <w:rsid w:val="27073E1E"/>
    <w:rsid w:val="27B04AB3"/>
    <w:rsid w:val="28A63332"/>
    <w:rsid w:val="29C45F24"/>
    <w:rsid w:val="2C7616B8"/>
    <w:rsid w:val="2DF8796C"/>
    <w:rsid w:val="2EB22F18"/>
    <w:rsid w:val="2EE12108"/>
    <w:rsid w:val="2EED35E3"/>
    <w:rsid w:val="2F250383"/>
    <w:rsid w:val="2F2633AB"/>
    <w:rsid w:val="2F63610B"/>
    <w:rsid w:val="2F71399B"/>
    <w:rsid w:val="300965A3"/>
    <w:rsid w:val="30730D6E"/>
    <w:rsid w:val="30B91A70"/>
    <w:rsid w:val="32CF2C5D"/>
    <w:rsid w:val="335402B5"/>
    <w:rsid w:val="339466B2"/>
    <w:rsid w:val="34060B05"/>
    <w:rsid w:val="34555AF5"/>
    <w:rsid w:val="3522630E"/>
    <w:rsid w:val="35616772"/>
    <w:rsid w:val="35EA1663"/>
    <w:rsid w:val="364C598E"/>
    <w:rsid w:val="36CC2B0F"/>
    <w:rsid w:val="36D00A0F"/>
    <w:rsid w:val="36F44201"/>
    <w:rsid w:val="371A614D"/>
    <w:rsid w:val="3838492F"/>
    <w:rsid w:val="387258D7"/>
    <w:rsid w:val="3887374F"/>
    <w:rsid w:val="38AF6637"/>
    <w:rsid w:val="39041A07"/>
    <w:rsid w:val="39043B77"/>
    <w:rsid w:val="393F0DCD"/>
    <w:rsid w:val="39670895"/>
    <w:rsid w:val="39E873D9"/>
    <w:rsid w:val="3A4E5EEB"/>
    <w:rsid w:val="3A657F9A"/>
    <w:rsid w:val="3A9113D4"/>
    <w:rsid w:val="3AC54F32"/>
    <w:rsid w:val="3B144A0A"/>
    <w:rsid w:val="3B1B2A0D"/>
    <w:rsid w:val="3B7C071F"/>
    <w:rsid w:val="3BC92948"/>
    <w:rsid w:val="3BE370D4"/>
    <w:rsid w:val="3C0F0307"/>
    <w:rsid w:val="3C29381E"/>
    <w:rsid w:val="3C711E1D"/>
    <w:rsid w:val="3C7F463D"/>
    <w:rsid w:val="3CAE3960"/>
    <w:rsid w:val="3D365BF6"/>
    <w:rsid w:val="3DF23324"/>
    <w:rsid w:val="3EA14040"/>
    <w:rsid w:val="3EE8108D"/>
    <w:rsid w:val="3FA7245D"/>
    <w:rsid w:val="405745EF"/>
    <w:rsid w:val="4080011E"/>
    <w:rsid w:val="40B80EFF"/>
    <w:rsid w:val="41915E4B"/>
    <w:rsid w:val="41A35364"/>
    <w:rsid w:val="41C31686"/>
    <w:rsid w:val="42982B4E"/>
    <w:rsid w:val="43116F15"/>
    <w:rsid w:val="436B1E42"/>
    <w:rsid w:val="43993170"/>
    <w:rsid w:val="43D17831"/>
    <w:rsid w:val="44054362"/>
    <w:rsid w:val="449C5E6A"/>
    <w:rsid w:val="456D114B"/>
    <w:rsid w:val="45EB670F"/>
    <w:rsid w:val="46AB7C0D"/>
    <w:rsid w:val="46D44808"/>
    <w:rsid w:val="47255086"/>
    <w:rsid w:val="47CF49E6"/>
    <w:rsid w:val="4843587B"/>
    <w:rsid w:val="48674ED2"/>
    <w:rsid w:val="487708E6"/>
    <w:rsid w:val="49645F71"/>
    <w:rsid w:val="499F5C68"/>
    <w:rsid w:val="4A037DA4"/>
    <w:rsid w:val="4AF16062"/>
    <w:rsid w:val="4B646DDD"/>
    <w:rsid w:val="4B7F44F8"/>
    <w:rsid w:val="4BAC24C5"/>
    <w:rsid w:val="4BFA0656"/>
    <w:rsid w:val="4C5567C9"/>
    <w:rsid w:val="4D730507"/>
    <w:rsid w:val="4D741DD3"/>
    <w:rsid w:val="4DC93207"/>
    <w:rsid w:val="4DD33BAA"/>
    <w:rsid w:val="4DD63967"/>
    <w:rsid w:val="4E2A22FD"/>
    <w:rsid w:val="4E8D5761"/>
    <w:rsid w:val="4EAA08EE"/>
    <w:rsid w:val="4EF54A85"/>
    <w:rsid w:val="4F6F75D9"/>
    <w:rsid w:val="501B3C66"/>
    <w:rsid w:val="504B40C5"/>
    <w:rsid w:val="50987DC2"/>
    <w:rsid w:val="50A4703E"/>
    <w:rsid w:val="50CC3630"/>
    <w:rsid w:val="5136104F"/>
    <w:rsid w:val="51E55C99"/>
    <w:rsid w:val="52071113"/>
    <w:rsid w:val="52447C09"/>
    <w:rsid w:val="525A440D"/>
    <w:rsid w:val="531C028A"/>
    <w:rsid w:val="53C30C94"/>
    <w:rsid w:val="54741940"/>
    <w:rsid w:val="54810E66"/>
    <w:rsid w:val="54C2556E"/>
    <w:rsid w:val="55480EEF"/>
    <w:rsid w:val="558C2CF0"/>
    <w:rsid w:val="55CB0C09"/>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960655"/>
    <w:rsid w:val="5CA506B9"/>
    <w:rsid w:val="5CFD5FB2"/>
    <w:rsid w:val="5D2B52D8"/>
    <w:rsid w:val="5D5A7C63"/>
    <w:rsid w:val="5E256F6F"/>
    <w:rsid w:val="5F6235A9"/>
    <w:rsid w:val="614125C2"/>
    <w:rsid w:val="61A2772B"/>
    <w:rsid w:val="624C5C52"/>
    <w:rsid w:val="63952BB5"/>
    <w:rsid w:val="63DF08E4"/>
    <w:rsid w:val="64127E15"/>
    <w:rsid w:val="64C04AFD"/>
    <w:rsid w:val="661A7B69"/>
    <w:rsid w:val="664909C1"/>
    <w:rsid w:val="66C63EB5"/>
    <w:rsid w:val="677772D0"/>
    <w:rsid w:val="679461D3"/>
    <w:rsid w:val="6858287E"/>
    <w:rsid w:val="69157114"/>
    <w:rsid w:val="691A443E"/>
    <w:rsid w:val="694855A7"/>
    <w:rsid w:val="6A80735F"/>
    <w:rsid w:val="6ACC5E47"/>
    <w:rsid w:val="6AD43ED1"/>
    <w:rsid w:val="6B11024D"/>
    <w:rsid w:val="6B7D5B36"/>
    <w:rsid w:val="6C713C0E"/>
    <w:rsid w:val="6CF120A8"/>
    <w:rsid w:val="6D460190"/>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8CF226D"/>
    <w:rsid w:val="79700BEF"/>
    <w:rsid w:val="79F85634"/>
    <w:rsid w:val="7A090695"/>
    <w:rsid w:val="7A545CD3"/>
    <w:rsid w:val="7AE175F4"/>
    <w:rsid w:val="7B417685"/>
    <w:rsid w:val="7B5220F0"/>
    <w:rsid w:val="7BA169C0"/>
    <w:rsid w:val="7BE95D3C"/>
    <w:rsid w:val="7CAD595B"/>
    <w:rsid w:val="7CF65D07"/>
    <w:rsid w:val="7D2975D1"/>
    <w:rsid w:val="7DCC0CD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qFormat/>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0" Type="http://schemas.openxmlformats.org/officeDocument/2006/relationships/numbering" Target="numbering.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2024-01-28T06:43:12Z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