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开通镇综合服务中心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承担农业(畜牧业)、自然资源、林业(草原)、水利、文化、</w:t>
      </w:r>
    </w:p>
    <w:p>
      <w:pPr>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体育、劳动和社会保障、卫生健康、退役军人保障等服务工作;负责行政审批服务窗口具体事务性工作;完成党委、政府交办的其他任务。</w:t>
      </w:r>
    </w:p>
    <w:p>
      <w:pPr>
        <w:ind w:firstLine="640" w:firstLineChars="200"/>
      </w:pPr>
      <w:r>
        <w:rPr>
          <w:rFonts w:eastAsia="楷体_GB2312"/>
        </w:rPr>
        <w:t>二、机构设置</w:t>
      </w:r>
    </w:p>
    <w:p>
      <w:pPr>
        <w:ind w:firstLine="640" w:firstLineChars="200"/>
        <w:rPr>
          <w:rFonts w:hint="default"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根据所承担的工作职责和编制总量,通榆县开通镇综合服务中心设14个内设机构,分别为综合科、党务办公室、农业工作站、畜牧工作站、农村经济管理站、农机推广站、林业工作站、水利工作站、文化工作站、计划生育工作站、国土资源所、人力资源社会保障事务所、广播站、退役军人工作站。</w:t>
      </w: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124"/>
        <w:gridCol w:w="1094"/>
        <w:gridCol w:w="1099"/>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971" w:type="dxa"/>
            <w:gridSpan w:val="3"/>
            <w:tcBorders>
              <w:top w:val="nil"/>
              <w:left w:val="nil"/>
              <w:bottom w:val="nil"/>
              <w:right w:val="nil"/>
            </w:tcBorders>
            <w:noWrap w:val="0"/>
            <w:vAlign w:val="center"/>
          </w:tcPr>
          <w:p>
            <w:pPr>
              <w:widowControl/>
              <w:jc w:val="center"/>
              <w:rPr>
                <w:rFonts w:eastAsia="宋体"/>
                <w:kern w:val="0"/>
                <w:sz w:val="20"/>
              </w:rPr>
            </w:pPr>
          </w:p>
        </w:tc>
        <w:tc>
          <w:tcPr>
            <w:tcW w:w="1099"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2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9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099"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八、农林水支出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十一、其他支出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eastAsia="宋体"/>
                <w:b/>
                <w:bCs/>
                <w:kern w:val="0"/>
                <w:sz w:val="20"/>
                <w:lang w:val="en-US" w:eastAsia="zh-CN"/>
              </w:rPr>
              <w:t>本年支出</w:t>
            </w:r>
            <w:r>
              <w:rPr>
                <w:rFonts w:hint="eastAsia" w:eastAsia="宋体"/>
                <w:b/>
                <w:bCs/>
                <w:kern w:val="0"/>
                <w:sz w:val="20"/>
                <w:lang w:val="en-US" w:eastAsia="zh-CN"/>
              </w:rPr>
              <w:t xml:space="preserve">  </w:t>
            </w:r>
            <w:r>
              <w:rPr>
                <w:rFonts w:hint="default" w:eastAsia="宋体"/>
                <w:b/>
                <w:bCs/>
                <w:kern w:val="0"/>
                <w:sz w:val="20"/>
                <w:lang w:val="en-US" w:eastAsia="zh-CN"/>
              </w:rPr>
              <w:t>合计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结转下年</w:t>
            </w:r>
            <w:r>
              <w:rPr>
                <w:rFonts w:hint="eastAsia" w:ascii="宋体" w:hAnsi="宋体" w:eastAsia="宋体" w:cs="宋体"/>
                <w:color w:val="000000"/>
                <w:sz w:val="20"/>
                <w:szCs w:val="22"/>
                <w:lang w:val="en-US" w:eastAsia="zh-CN"/>
              </w:rPr>
              <w:t xml:space="preserve">  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12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4" w:type="dxa"/>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99" w:type="dxa"/>
            <w:tcBorders>
              <w:top w:val="nil"/>
              <w:left w:val="single" w:color="auto" w:sz="4" w:space="0"/>
              <w:bottom w:val="single" w:color="auto" w:sz="4" w:space="0"/>
              <w:right w:val="nil"/>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支出总计</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287" w:type="dxa"/>
        <w:jc w:val="center"/>
        <w:tblLayout w:type="fixed"/>
        <w:tblCellMar>
          <w:top w:w="0" w:type="dxa"/>
          <w:left w:w="108" w:type="dxa"/>
          <w:bottom w:w="0" w:type="dxa"/>
          <w:right w:w="108" w:type="dxa"/>
        </w:tblCellMar>
      </w:tblPr>
      <w:tblGrid>
        <w:gridCol w:w="428"/>
        <w:gridCol w:w="526"/>
        <w:gridCol w:w="1186"/>
        <w:gridCol w:w="1070"/>
        <w:gridCol w:w="1133"/>
        <w:gridCol w:w="295"/>
        <w:gridCol w:w="323"/>
        <w:gridCol w:w="305"/>
        <w:gridCol w:w="282"/>
        <w:gridCol w:w="307"/>
        <w:gridCol w:w="295"/>
        <w:gridCol w:w="37"/>
        <w:gridCol w:w="369"/>
        <w:gridCol w:w="125"/>
        <w:gridCol w:w="170"/>
        <w:gridCol w:w="295"/>
        <w:gridCol w:w="66"/>
        <w:gridCol w:w="315"/>
        <w:gridCol w:w="369"/>
        <w:gridCol w:w="344"/>
        <w:gridCol w:w="332"/>
        <w:gridCol w:w="367"/>
        <w:gridCol w:w="348"/>
      </w:tblGrid>
      <w:tr>
        <w:tblPrEx>
          <w:tblCellMar>
            <w:top w:w="0" w:type="dxa"/>
            <w:left w:w="108" w:type="dxa"/>
            <w:bottom w:w="0" w:type="dxa"/>
            <w:right w:w="108" w:type="dxa"/>
          </w:tblCellMar>
        </w:tblPrEx>
        <w:trPr>
          <w:gridAfter w:val="1"/>
          <w:wAfter w:w="348"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10" w:type="dxa"/>
            <w:gridSpan w:val="5"/>
            <w:tcBorders>
              <w:bottom w:val="single" w:color="000000" w:sz="4" w:space="0"/>
            </w:tcBorders>
            <w:noWrap w:val="0"/>
            <w:vAlign w:val="center"/>
          </w:tcPr>
          <w:p>
            <w:pPr>
              <w:autoSpaceDN w:val="0"/>
              <w:jc w:val="left"/>
              <w:textAlignment w:val="center"/>
              <w:rPr>
                <w:rFonts w:eastAsia="华文细黑"/>
                <w:color w:val="000000"/>
                <w:sz w:val="20"/>
              </w:rPr>
            </w:pPr>
          </w:p>
        </w:tc>
        <w:tc>
          <w:tcPr>
            <w:tcW w:w="910" w:type="dxa"/>
            <w:gridSpan w:val="3"/>
            <w:noWrap w:val="0"/>
            <w:vAlign w:val="center"/>
          </w:tcPr>
          <w:p>
            <w:pPr>
              <w:autoSpaceDN w:val="0"/>
              <w:jc w:val="left"/>
              <w:textAlignment w:val="center"/>
              <w:rPr>
                <w:rFonts w:eastAsia="华文细黑"/>
                <w:color w:val="000000"/>
                <w:sz w:val="20"/>
              </w:rPr>
            </w:pPr>
          </w:p>
        </w:tc>
        <w:tc>
          <w:tcPr>
            <w:tcW w:w="602" w:type="dxa"/>
            <w:gridSpan w:val="2"/>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bottom"/>
          </w:tcPr>
          <w:p>
            <w:pPr>
              <w:autoSpaceDN w:val="0"/>
              <w:jc w:val="left"/>
              <w:textAlignment w:val="bottom"/>
              <w:rPr>
                <w:rFonts w:eastAsia="宋体"/>
                <w:color w:val="000000"/>
                <w:sz w:val="20"/>
              </w:rPr>
            </w:pPr>
          </w:p>
        </w:tc>
        <w:tc>
          <w:tcPr>
            <w:tcW w:w="1727"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348" w:type="dxa"/>
          <w:trHeight w:val="418" w:hRule="atLeast"/>
          <w:jc w:val="center"/>
        </w:trPr>
        <w:tc>
          <w:tcPr>
            <w:tcW w:w="954"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118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416"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383"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default" w:eastAsia="宋体"/>
                <w:color w:val="000000"/>
                <w:sz w:val="20"/>
                <w:lang w:val="en-US" w:eastAsia="zh-CN"/>
              </w:rPr>
            </w:pPr>
            <w:r>
              <w:rPr>
                <w:rFonts w:hint="eastAsia" w:eastAsia="宋体"/>
                <w:color w:val="000000"/>
                <w:sz w:val="20"/>
              </w:rPr>
              <w:t>上年结转结余</w:t>
            </w:r>
            <w:r>
              <w:rPr>
                <w:rFonts w:hint="eastAsia" w:eastAsia="宋体"/>
                <w:color w:val="000000"/>
                <w:sz w:val="20"/>
                <w:lang w:val="en-US" w:eastAsia="zh-CN"/>
              </w:rPr>
              <w:t xml:space="preserve">    </w:t>
            </w:r>
          </w:p>
        </w:tc>
      </w:tr>
      <w:tr>
        <w:tblPrEx>
          <w:tblCellMar>
            <w:top w:w="0" w:type="dxa"/>
            <w:left w:w="108" w:type="dxa"/>
            <w:bottom w:w="0" w:type="dxa"/>
            <w:right w:w="108" w:type="dxa"/>
          </w:tblCellMar>
        </w:tblPrEx>
        <w:trPr>
          <w:trHeight w:val="1157" w:hRule="atLeast"/>
          <w:jc w:val="center"/>
        </w:trPr>
        <w:tc>
          <w:tcPr>
            <w:tcW w:w="95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118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381"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3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344"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332"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34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481"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通榆县开通镇综合服务中心</w:t>
            </w: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54"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11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Verdana" w:hAnsi="Verdana" w:eastAsia="宋体" w:cs="Verdana"/>
                <w:i w:val="0"/>
                <w:iCs w:val="0"/>
                <w:color w:val="000000"/>
                <w:kern w:val="2"/>
                <w:sz w:val="24"/>
                <w:szCs w:val="24"/>
                <w:u w:val="none"/>
                <w:lang w:val="en-US" w:eastAsia="zh-CN" w:bidi="ar-SA"/>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0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Verdana" w:hAnsi="Verdana" w:eastAsia="宋体" w:cs="Verdana"/>
                <w:i w:val="0"/>
                <w:iCs w:val="0"/>
                <w:color w:val="000000"/>
                <w:kern w:val="2"/>
                <w:sz w:val="24"/>
                <w:szCs w:val="24"/>
                <w:u w:val="none"/>
                <w:lang w:val="en-US" w:eastAsia="zh-CN" w:bidi="ar-SA"/>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3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Verdana" w:hAnsi="Verdana" w:eastAsia="宋体" w:cs="Verdana"/>
                <w:i w:val="0"/>
                <w:iCs w:val="0"/>
                <w:color w:val="000000"/>
                <w:kern w:val="2"/>
                <w:sz w:val="24"/>
                <w:szCs w:val="24"/>
                <w:u w:val="none"/>
                <w:lang w:val="en-US" w:eastAsia="zh-CN" w:bidi="ar-SA"/>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29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2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2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1"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9" w:type="dxa"/>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4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1140"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gridCol w:w="1158"/>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c>
                <w:tcPr>
                  <w:tcW w:w="129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eastAsia="宋体"/>
                      <w:color w:val="000000"/>
                      <w:kern w:val="0"/>
                      <w:sz w:val="20"/>
                    </w:rPr>
                    <w:t>一、一般公共服务</w:t>
                  </w:r>
                  <w:r>
                    <w:rPr>
                      <w:rFonts w:hint="eastAsia" w:eastAsia="宋体"/>
                      <w:color w:val="000000"/>
                      <w:kern w:val="0"/>
                      <w:sz w:val="20"/>
                      <w:lang w:val="en-US"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w:t>
                  </w:r>
                  <w:r>
                    <w:rPr>
                      <w:rFonts w:hint="eastAsia" w:eastAsia="宋体"/>
                      <w:color w:val="000000"/>
                      <w:kern w:val="0"/>
                      <w:sz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both"/>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二、</w:t>
                  </w:r>
                  <w:r>
                    <w:rPr>
                      <w:rFonts w:hint="default" w:eastAsia="宋体"/>
                      <w:color w:val="000000"/>
                      <w:kern w:val="0"/>
                      <w:sz w:val="20"/>
                      <w:lang w:val="en-US" w:eastAsia="zh-CN"/>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w:t>
                  </w:r>
                  <w:r>
                    <w:rPr>
                      <w:rFonts w:hint="default" w:eastAsia="宋体"/>
                      <w:color w:val="000000"/>
                      <w:kern w:val="0"/>
                      <w:sz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9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eastAsia" w:eastAsia="宋体"/>
                      <w:color w:val="000000"/>
                      <w:kern w:val="0"/>
                      <w:sz w:val="20"/>
                      <w:lang w:val="en-US" w:eastAsia="zh-CN"/>
                    </w:rPr>
                    <w:t>三、</w:t>
                  </w:r>
                  <w:r>
                    <w:rPr>
                      <w:rFonts w:hint="default" w:eastAsia="宋体"/>
                      <w:color w:val="000000"/>
                      <w:kern w:val="0"/>
                      <w:sz w:val="20"/>
                      <w:lang w:val="en-US" w:eastAsia="zh-CN"/>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lang w:val="en-US" w:eastAsia="zh-CN"/>
                    </w:rPr>
                  </w:pPr>
                  <w:r>
                    <w:rPr>
                      <w:rFonts w:hint="default" w:eastAsia="宋体"/>
                      <w:color w:val="000000"/>
                      <w:kern w:val="0"/>
                      <w:sz w:val="20"/>
                      <w:lang w:val="en-US" w:eastAsia="zh-CN"/>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default" w:eastAsia="宋体"/>
                      <w:color w:val="000000"/>
                      <w:kern w:val="0"/>
                      <w:sz w:val="20"/>
                      <w:lang w:val="en-US" w:eastAsia="zh-CN"/>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四、</w:t>
                  </w:r>
                  <w:r>
                    <w:rPr>
                      <w:rFonts w:hint="default" w:eastAsia="宋体"/>
                      <w:color w:val="000000"/>
                      <w:kern w:val="0"/>
                      <w:sz w:val="20"/>
                      <w:lang w:val="en-US" w:eastAsia="zh-CN"/>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五、</w:t>
                  </w:r>
                  <w:r>
                    <w:rPr>
                      <w:rFonts w:hint="default" w:eastAsia="宋体"/>
                      <w:color w:val="000000"/>
                      <w:kern w:val="0"/>
                      <w:sz w:val="20"/>
                      <w:lang w:val="en-US" w:eastAsia="zh-CN"/>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default" w:eastAsia="宋体"/>
                      <w:color w:val="000000"/>
                      <w:kern w:val="0"/>
                      <w:sz w:val="20"/>
                      <w:lang w:val="en-US" w:eastAsia="zh-CN"/>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1808.0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gridSpan w:val="2"/>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p>
              </w:tc>
              <w:tc>
                <w:tcPr>
                  <w:tcW w:w="1267" w:type="dxa"/>
                </w:tcPr>
                <w:p>
                  <w:pPr>
                    <w:widowControl/>
                    <w:jc w:val="right"/>
                    <w:rPr>
                      <w:rFonts w:eastAsia="宋体"/>
                      <w:color w:val="000000"/>
                      <w:kern w:val="0"/>
                      <w:sz w:val="20"/>
                    </w:rPr>
                  </w:pPr>
                </w:p>
              </w:tc>
              <w:tc>
                <w:tcPr>
                  <w:tcW w:w="1306" w:type="dxa"/>
                </w:tcPr>
                <w:p>
                  <w:pPr>
                    <w:widowControl/>
                    <w:jc w:val="right"/>
                    <w:rPr>
                      <w:rFonts w:eastAsia="宋体"/>
                      <w:color w:val="000000"/>
                      <w:kern w:val="0"/>
                      <w:sz w:val="20"/>
                    </w:rPr>
                  </w:pPr>
                </w:p>
              </w:tc>
              <w:tc>
                <w:tcPr>
                  <w:tcW w:w="1090" w:type="dxa"/>
                </w:tcPr>
                <w:p>
                  <w:pPr>
                    <w:widowControl/>
                    <w:jc w:val="right"/>
                    <w:rPr>
                      <w:rFonts w:eastAsia="宋体"/>
                      <w:color w:val="000000"/>
                      <w:kern w:val="0"/>
                      <w:sz w:val="20"/>
                    </w:rPr>
                  </w:pPr>
                </w:p>
              </w:tc>
              <w:tc>
                <w:tcPr>
                  <w:tcW w:w="1297" w:type="dxa"/>
                </w:tcPr>
                <w:p>
                  <w:pPr>
                    <w:widowControl/>
                    <w:jc w:val="right"/>
                    <w:rPr>
                      <w:rFonts w:eastAsia="宋体"/>
                      <w:color w:val="000000"/>
                      <w:kern w:val="0"/>
                      <w:sz w:val="20"/>
                    </w:rPr>
                  </w:pPr>
                </w:p>
              </w:tc>
              <w:tc>
                <w:tcPr>
                  <w:tcW w:w="1267" w:type="dxa"/>
                </w:tcPr>
                <w:p>
                  <w:pPr>
                    <w:widowControl/>
                    <w:jc w:val="right"/>
                    <w:rPr>
                      <w:rFonts w:eastAsia="宋体"/>
                      <w:color w:val="000000"/>
                      <w:kern w:val="0"/>
                      <w:sz w:val="20"/>
                    </w:rPr>
                  </w:pPr>
                </w:p>
              </w:tc>
              <w:tc>
                <w:tcPr>
                  <w:tcW w:w="1466" w:type="dxa"/>
                  <w:gridSpan w:val="3"/>
                </w:tcPr>
                <w:p>
                  <w:pPr>
                    <w:widowControl/>
                    <w:jc w:val="right"/>
                    <w:rPr>
                      <w:rFonts w:eastAsia="宋体"/>
                      <w:color w:val="000000"/>
                      <w:kern w:val="0"/>
                      <w:sz w:val="20"/>
                    </w:rPr>
                  </w:pPr>
                </w:p>
              </w:tc>
              <w:tc>
                <w:tcPr>
                  <w:tcW w:w="1297" w:type="dxa"/>
                  <w:gridSpan w:val="2"/>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1267" w:type="dxa"/>
                </w:tcPr>
                <w:p>
                  <w:pPr>
                    <w:widowControl/>
                    <w:jc w:val="right"/>
                    <w:rPr>
                      <w:rFonts w:eastAsia="宋体"/>
                      <w:color w:val="000000"/>
                      <w:kern w:val="0"/>
                      <w:sz w:val="20"/>
                    </w:rPr>
                  </w:pPr>
                </w:p>
              </w:tc>
              <w:tc>
                <w:tcPr>
                  <w:tcW w:w="1306" w:type="dxa"/>
                </w:tcPr>
                <w:p>
                  <w:pPr>
                    <w:widowControl/>
                    <w:jc w:val="right"/>
                    <w:rPr>
                      <w:rFonts w:eastAsia="宋体"/>
                      <w:color w:val="000000"/>
                      <w:kern w:val="0"/>
                      <w:sz w:val="20"/>
                    </w:rPr>
                  </w:pPr>
                </w:p>
              </w:tc>
              <w:tc>
                <w:tcPr>
                  <w:tcW w:w="1090" w:type="dxa"/>
                </w:tcPr>
                <w:p>
                  <w:pPr>
                    <w:widowControl/>
                    <w:jc w:val="right"/>
                    <w:rPr>
                      <w:rFonts w:eastAsia="宋体"/>
                      <w:color w:val="000000"/>
                      <w:kern w:val="0"/>
                      <w:sz w:val="20"/>
                    </w:rPr>
                  </w:pPr>
                </w:p>
              </w:tc>
              <w:tc>
                <w:tcPr>
                  <w:tcW w:w="1297" w:type="dxa"/>
                </w:tcPr>
                <w:p>
                  <w:pPr>
                    <w:widowControl/>
                    <w:jc w:val="right"/>
                    <w:rPr>
                      <w:rFonts w:eastAsia="宋体"/>
                      <w:color w:val="000000"/>
                      <w:kern w:val="0"/>
                      <w:sz w:val="20"/>
                    </w:rPr>
                  </w:pPr>
                </w:p>
              </w:tc>
              <w:tc>
                <w:tcPr>
                  <w:tcW w:w="1267" w:type="dxa"/>
                </w:tcPr>
                <w:p>
                  <w:pPr>
                    <w:widowControl/>
                    <w:jc w:val="right"/>
                    <w:rPr>
                      <w:rFonts w:eastAsia="宋体"/>
                      <w:color w:val="000000"/>
                      <w:kern w:val="0"/>
                      <w:sz w:val="20"/>
                    </w:rPr>
                  </w:pPr>
                </w:p>
              </w:tc>
              <w:tc>
                <w:tcPr>
                  <w:tcW w:w="1466" w:type="dxa"/>
                  <w:gridSpan w:val="3"/>
                </w:tcPr>
                <w:p>
                  <w:pPr>
                    <w:widowControl/>
                    <w:jc w:val="right"/>
                    <w:rPr>
                      <w:rFonts w:eastAsia="宋体"/>
                      <w:color w:val="000000"/>
                      <w:kern w:val="0"/>
                      <w:sz w:val="20"/>
                    </w:rPr>
                  </w:pPr>
                </w:p>
              </w:tc>
              <w:tc>
                <w:tcPr>
                  <w:tcW w:w="1297" w:type="dxa"/>
                  <w:gridSpan w:val="2"/>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499"/>
              <w:gridCol w:w="1168"/>
              <w:gridCol w:w="1107"/>
              <w:gridCol w:w="457"/>
              <w:gridCol w:w="1535"/>
              <w:gridCol w:w="1131"/>
              <w:gridCol w:w="1156"/>
              <w:gridCol w:w="676"/>
              <w:gridCol w:w="578"/>
              <w:gridCol w:w="573"/>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49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16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10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5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535"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13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83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151"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49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6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0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5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535"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3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57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7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4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1156"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1156"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1156"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10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45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13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15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76"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49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1168"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07"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45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5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11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56"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676"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7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eastAsia="宋体"/>
                      <w:color w:val="000000"/>
                      <w:kern w:val="0"/>
                      <w:sz w:val="20"/>
                    </w:rPr>
                    <w:t>一、一般公共服务</w:t>
                  </w:r>
                  <w:r>
                    <w:rPr>
                      <w:rFonts w:hint="eastAsia" w:eastAsia="宋体"/>
                      <w:color w:val="000000"/>
                      <w:kern w:val="0"/>
                      <w:sz w:val="20"/>
                      <w:lang w:val="en-US" w:eastAsia="zh-CN"/>
                    </w:rPr>
                    <w:t>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default" w:eastAsia="宋体"/>
                      <w:color w:val="000000"/>
                      <w:kern w:val="0"/>
                      <w:sz w:val="20"/>
                      <w:lang w:val="en-US" w:eastAsia="zh-CN"/>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default" w:eastAsia="宋体"/>
                      <w:color w:val="000000"/>
                      <w:kern w:val="0"/>
                      <w:sz w:val="20"/>
                      <w:lang w:val="en-US" w:eastAsia="zh-CN"/>
                    </w:rPr>
                    <w:t>　</w:t>
                  </w:r>
                  <w:r>
                    <w:rPr>
                      <w:rFonts w:hint="eastAsia" w:eastAsia="宋体"/>
                      <w:color w:val="000000"/>
                      <w:kern w:val="0"/>
                      <w:sz w:val="20"/>
                      <w:lang w:val="en-US"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二、</w:t>
                  </w:r>
                  <w:r>
                    <w:rPr>
                      <w:rFonts w:hint="default" w:eastAsia="宋体"/>
                      <w:color w:val="000000"/>
                      <w:kern w:val="0"/>
                      <w:sz w:val="20"/>
                      <w:lang w:val="en-US" w:eastAsia="zh-CN"/>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Verdana" w:hAnsi="Verdana" w:eastAsia="宋体"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4"/>
                      <w:szCs w:val="24"/>
                      <w:u w:val="none"/>
                      <w:lang w:val="en-US" w:eastAsia="zh-CN" w:bidi="ar"/>
                    </w:rPr>
                    <w:t>　　</w:t>
                  </w:r>
                  <w:r>
                    <w:rPr>
                      <w:rFonts w:hint="default" w:eastAsia="宋体"/>
                      <w:color w:val="000000"/>
                      <w:kern w:val="0"/>
                      <w:sz w:val="20"/>
                      <w:lang w:val="en-US" w:eastAsia="zh-CN"/>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8.3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三、</w:t>
                  </w:r>
                  <w:r>
                    <w:rPr>
                      <w:rFonts w:hint="default"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四、</w:t>
                  </w:r>
                  <w:r>
                    <w:rPr>
                      <w:rFonts w:hint="default" w:eastAsia="宋体"/>
                      <w:color w:val="000000"/>
                      <w:kern w:val="0"/>
                      <w:sz w:val="20"/>
                      <w:lang w:val="en-US" w:eastAsia="zh-CN"/>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五、</w:t>
                  </w:r>
                  <w:r>
                    <w:rPr>
                      <w:rFonts w:hint="default" w:eastAsia="宋体"/>
                      <w:color w:val="000000"/>
                      <w:kern w:val="0"/>
                      <w:sz w:val="20"/>
                      <w:lang w:val="en-US"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default" w:eastAsia="宋体"/>
                      <w:color w:val="000000"/>
                      <w:kern w:val="0"/>
                      <w:sz w:val="20"/>
                      <w:lang w:val="en-US" w:eastAsia="zh-CN"/>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2141.</w:t>
                  </w:r>
                  <w:r>
                    <w:rPr>
                      <w:rFonts w:hint="eastAsia" w:ascii="宋体" w:hAnsi="宋体" w:eastAsia="宋体" w:cs="宋体"/>
                      <w:color w:val="000000"/>
                      <w:sz w:val="20"/>
                      <w:szCs w:val="22"/>
                      <w:lang w:val="en-US" w:eastAsia="zh-CN"/>
                    </w:rPr>
                    <w:t>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1808.0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1688.0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1653.5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1653.5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611.2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611.2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114.7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114.7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332.2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332.2</w:t>
            </w:r>
            <w:bookmarkStart w:id="0" w:name="_GoBack"/>
            <w:bookmarkEnd w:id="0"/>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lang w:val="en-US" w:eastAsia="zh-CN"/>
              </w:rPr>
            </w:pPr>
            <w:r>
              <w:rPr>
                <w:rFonts w:hint="default" w:eastAsia="宋体"/>
                <w:color w:val="000000"/>
                <w:sz w:val="20"/>
                <w:lang w:val="en-US" w:eastAsia="zh-CN"/>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lang w:val="en-US" w:eastAsia="zh-CN"/>
              </w:rPr>
            </w:pPr>
            <w:r>
              <w:rPr>
                <w:rFonts w:hint="default" w:eastAsia="宋体"/>
                <w:color w:val="000000"/>
                <w:sz w:val="20"/>
                <w:lang w:val="en-US" w:eastAsia="zh-CN"/>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46.3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lang w:val="en-US" w:eastAsia="zh-CN"/>
              </w:rPr>
            </w:pPr>
            <w:r>
              <w:rPr>
                <w:rFonts w:hint="default" w:eastAsia="宋体"/>
                <w:color w:val="000000"/>
                <w:sz w:val="20"/>
                <w:lang w:val="en-US" w:eastAsia="zh-CN"/>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lang w:val="en-US" w:eastAsia="zh-CN"/>
              </w:rPr>
            </w:pPr>
            <w:r>
              <w:rPr>
                <w:rFonts w:hint="default" w:eastAsia="宋体"/>
                <w:color w:val="000000"/>
                <w:sz w:val="20"/>
                <w:lang w:val="en-US" w:eastAsia="zh-CN"/>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sz w:val="20"/>
                <w:lang w:val="en-US" w:eastAsia="zh-CN"/>
              </w:rPr>
            </w:pPr>
            <w:r>
              <w:rPr>
                <w:rFonts w:hint="default" w:eastAsia="宋体"/>
                <w:color w:val="000000"/>
                <w:sz w:val="20"/>
                <w:lang w:val="en-US" w:eastAsia="zh-CN"/>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133.0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default" w:eastAsia="宋体"/>
                <w:color w:val="000000"/>
                <w:sz w:val="20"/>
                <w:lang w:val="en-US" w:eastAsia="zh-CN"/>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14.8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78.0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6.0</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6.0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24.0</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24.0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34.4</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34.4</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31.6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31.6</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2.8</w:t>
            </w:r>
          </w:p>
        </w:tc>
        <w:tc>
          <w:tcPr>
            <w:tcW w:w="1831"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hint="eastAsia" w:eastAsia="宋体"/>
                <w:color w:val="000000"/>
                <w:kern w:val="0"/>
                <w:sz w:val="20"/>
                <w:lang w:val="en-US" w:eastAsia="zh-CN"/>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w:t>
            </w:r>
          </w:p>
        </w:tc>
        <w:tc>
          <w:tcPr>
            <w:tcW w:w="1704" w:type="dxa"/>
            <w:tcBorders>
              <w:top w:val="single" w:color="auto" w:sz="4" w:space="0"/>
              <w:left w:val="single" w:color="auto" w:sz="4" w:space="0"/>
              <w:bottom w:val="single" w:color="auto" w:sz="4" w:space="0"/>
              <w:right w:val="single" w:color="auto" w:sz="4" w:space="0"/>
            </w:tcBorders>
            <w:noWrap w:val="0"/>
            <w:vAlign w:val="top"/>
          </w:tcPr>
          <w:p>
            <w:pPr>
              <w:autoSpaceDN w:val="0"/>
              <w:jc w:val="center"/>
              <w:textAlignment w:val="center"/>
              <w:rPr>
                <w:rFonts w:hint="default" w:ascii="宋体" w:hAnsi="宋体" w:eastAsia="宋体" w:cs="宋体"/>
                <w:color w:val="000000"/>
                <w:sz w:val="20"/>
                <w:szCs w:val="22"/>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1808.0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1688.0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120.0</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209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822"/>
        <w:gridCol w:w="811"/>
        <w:gridCol w:w="468"/>
        <w:gridCol w:w="381"/>
        <w:gridCol w:w="344"/>
        <w:gridCol w:w="396"/>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2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6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06"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2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6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33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822" w:type="dxa"/>
            <w:vMerge w:val="continue"/>
            <w:noWrap w:val="0"/>
            <w:vAlign w:val="center"/>
          </w:tcPr>
          <w:p>
            <w:pPr>
              <w:autoSpaceDN w:val="0"/>
              <w:jc w:val="center"/>
              <w:textAlignment w:val="center"/>
              <w:rPr>
                <w:rFonts w:ascii="Calibri" w:hAnsi="Calibri" w:eastAsia="华文细黑"/>
                <w:color w:val="000000"/>
                <w:sz w:val="20"/>
                <w:szCs w:val="22"/>
              </w:rPr>
            </w:pPr>
          </w:p>
        </w:tc>
        <w:tc>
          <w:tcPr>
            <w:tcW w:w="81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6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8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4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96"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exact"/>
          <w:jc w:val="center"/>
        </w:trPr>
        <w:tc>
          <w:tcPr>
            <w:tcW w:w="759"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202</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年村级组织运转经费</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开通镇202</w:t>
            </w:r>
            <w:r>
              <w:rPr>
                <w:rFonts w:hint="eastAsia" w:ascii="Arial" w:hAnsi="Arial" w:eastAsia="宋体" w:cs="Arial"/>
                <w:i w:val="0"/>
                <w:iCs w:val="0"/>
                <w:color w:val="000000"/>
                <w:kern w:val="0"/>
                <w:sz w:val="20"/>
                <w:szCs w:val="20"/>
                <w:u w:val="none"/>
                <w:lang w:val="en-US" w:eastAsia="zh-CN" w:bidi="ar"/>
              </w:rPr>
              <w:t>4</w:t>
            </w:r>
            <w:r>
              <w:rPr>
                <w:rFonts w:hint="default" w:ascii="Arial" w:hAnsi="Arial" w:eastAsia="宋体" w:cs="Arial"/>
                <w:i w:val="0"/>
                <w:iCs w:val="0"/>
                <w:color w:val="000000"/>
                <w:kern w:val="0"/>
                <w:sz w:val="20"/>
                <w:szCs w:val="20"/>
                <w:u w:val="none"/>
                <w:lang w:val="en-US" w:eastAsia="zh-CN" w:bidi="ar"/>
              </w:rPr>
              <w:t>年村级组织运转经费</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通榆县开通镇综合服务中心</w:t>
            </w:r>
          </w:p>
        </w:tc>
        <w:tc>
          <w:tcPr>
            <w:tcW w:w="822"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811"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468" w:type="dxa"/>
            <w:noWrap w:val="0"/>
            <w:vAlign w:val="center"/>
          </w:tcPr>
          <w:p>
            <w:pPr>
              <w:spacing w:line="700" w:lineRule="exact"/>
              <w:jc w:val="center"/>
              <w:rPr>
                <w:rFonts w:ascii="Calibri" w:hAnsi="Calibri" w:eastAsia="楷体"/>
                <w:kern w:val="0"/>
                <w:szCs w:val="32"/>
              </w:rPr>
            </w:pPr>
          </w:p>
        </w:tc>
        <w:tc>
          <w:tcPr>
            <w:tcW w:w="381" w:type="dxa"/>
            <w:noWrap w:val="0"/>
            <w:vAlign w:val="center"/>
          </w:tcPr>
          <w:p>
            <w:pPr>
              <w:spacing w:line="700" w:lineRule="exact"/>
              <w:jc w:val="center"/>
              <w:rPr>
                <w:rFonts w:ascii="Calibri" w:hAnsi="Calibri" w:eastAsia="楷体"/>
                <w:kern w:val="0"/>
                <w:szCs w:val="32"/>
              </w:rPr>
            </w:pPr>
          </w:p>
        </w:tc>
        <w:tc>
          <w:tcPr>
            <w:tcW w:w="344" w:type="dxa"/>
            <w:noWrap w:val="0"/>
            <w:vAlign w:val="center"/>
          </w:tcPr>
          <w:p>
            <w:pPr>
              <w:spacing w:line="700" w:lineRule="exact"/>
              <w:jc w:val="center"/>
              <w:rPr>
                <w:rFonts w:ascii="Calibri" w:hAnsi="Calibri" w:eastAsia="楷体"/>
                <w:kern w:val="0"/>
                <w:szCs w:val="32"/>
              </w:rPr>
            </w:pPr>
          </w:p>
        </w:tc>
        <w:tc>
          <w:tcPr>
            <w:tcW w:w="396"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2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81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68" w:type="dxa"/>
            <w:noWrap w:val="0"/>
            <w:vAlign w:val="center"/>
          </w:tcPr>
          <w:p>
            <w:pPr>
              <w:spacing w:line="700" w:lineRule="exact"/>
              <w:jc w:val="center"/>
              <w:rPr>
                <w:rFonts w:ascii="Calibri" w:hAnsi="Calibri" w:eastAsia="楷体"/>
                <w:kern w:val="0"/>
                <w:szCs w:val="32"/>
              </w:rPr>
            </w:pPr>
          </w:p>
        </w:tc>
        <w:tc>
          <w:tcPr>
            <w:tcW w:w="381" w:type="dxa"/>
            <w:noWrap w:val="0"/>
            <w:vAlign w:val="center"/>
          </w:tcPr>
          <w:p>
            <w:pPr>
              <w:spacing w:line="700" w:lineRule="exact"/>
              <w:jc w:val="center"/>
              <w:rPr>
                <w:rFonts w:ascii="Calibri" w:hAnsi="Calibri" w:eastAsia="楷体"/>
                <w:kern w:val="0"/>
                <w:szCs w:val="32"/>
              </w:rPr>
            </w:pPr>
          </w:p>
        </w:tc>
        <w:tc>
          <w:tcPr>
            <w:tcW w:w="344" w:type="dxa"/>
            <w:noWrap w:val="0"/>
            <w:vAlign w:val="center"/>
          </w:tcPr>
          <w:p>
            <w:pPr>
              <w:spacing w:line="700" w:lineRule="exact"/>
              <w:jc w:val="center"/>
              <w:rPr>
                <w:rFonts w:ascii="Calibri" w:hAnsi="Calibri" w:eastAsia="楷体"/>
                <w:kern w:val="0"/>
                <w:szCs w:val="32"/>
              </w:rPr>
            </w:pPr>
          </w:p>
        </w:tc>
        <w:tc>
          <w:tcPr>
            <w:tcW w:w="396"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2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81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68" w:type="dxa"/>
            <w:noWrap w:val="0"/>
            <w:vAlign w:val="center"/>
          </w:tcPr>
          <w:p>
            <w:pPr>
              <w:spacing w:line="700" w:lineRule="exact"/>
              <w:jc w:val="center"/>
              <w:rPr>
                <w:rFonts w:ascii="Calibri" w:hAnsi="Calibri" w:eastAsia="楷体"/>
                <w:kern w:val="0"/>
                <w:szCs w:val="32"/>
              </w:rPr>
            </w:pPr>
          </w:p>
        </w:tc>
        <w:tc>
          <w:tcPr>
            <w:tcW w:w="381" w:type="dxa"/>
            <w:noWrap w:val="0"/>
            <w:vAlign w:val="center"/>
          </w:tcPr>
          <w:p>
            <w:pPr>
              <w:spacing w:line="700" w:lineRule="exact"/>
              <w:jc w:val="center"/>
              <w:rPr>
                <w:rFonts w:ascii="Calibri" w:hAnsi="Calibri" w:eastAsia="楷体"/>
                <w:kern w:val="0"/>
                <w:szCs w:val="32"/>
              </w:rPr>
            </w:pPr>
          </w:p>
        </w:tc>
        <w:tc>
          <w:tcPr>
            <w:tcW w:w="344" w:type="dxa"/>
            <w:noWrap w:val="0"/>
            <w:vAlign w:val="center"/>
          </w:tcPr>
          <w:p>
            <w:pPr>
              <w:spacing w:line="700" w:lineRule="exact"/>
              <w:jc w:val="center"/>
              <w:rPr>
                <w:rFonts w:ascii="Calibri" w:hAnsi="Calibri" w:eastAsia="楷体"/>
                <w:kern w:val="0"/>
                <w:szCs w:val="32"/>
              </w:rPr>
            </w:pPr>
          </w:p>
        </w:tc>
        <w:tc>
          <w:tcPr>
            <w:tcW w:w="396"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22"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811" w:type="dxa"/>
            <w:noWrap w:val="0"/>
            <w:vAlign w:val="center"/>
          </w:tcPr>
          <w:p>
            <w:pPr>
              <w:autoSpaceDN w:val="0"/>
              <w:jc w:val="center"/>
              <w:textAlignment w:val="center"/>
              <w:rPr>
                <w:rFonts w:hint="default" w:ascii="宋体" w:hAnsi="宋体" w:eastAsia="宋体" w:cs="宋体"/>
                <w:color w:val="000000"/>
                <w:sz w:val="20"/>
                <w:szCs w:val="22"/>
                <w:lang w:val="en-US" w:eastAsia="zh-CN"/>
              </w:rPr>
            </w:pPr>
          </w:p>
        </w:tc>
        <w:tc>
          <w:tcPr>
            <w:tcW w:w="468" w:type="dxa"/>
            <w:noWrap w:val="0"/>
            <w:vAlign w:val="center"/>
          </w:tcPr>
          <w:p>
            <w:pPr>
              <w:spacing w:line="700" w:lineRule="exact"/>
              <w:jc w:val="center"/>
              <w:rPr>
                <w:rFonts w:ascii="Calibri" w:hAnsi="Calibri" w:eastAsia="楷体"/>
                <w:kern w:val="0"/>
                <w:szCs w:val="32"/>
              </w:rPr>
            </w:pPr>
          </w:p>
        </w:tc>
        <w:tc>
          <w:tcPr>
            <w:tcW w:w="381" w:type="dxa"/>
            <w:noWrap w:val="0"/>
            <w:vAlign w:val="center"/>
          </w:tcPr>
          <w:p>
            <w:pPr>
              <w:spacing w:line="700" w:lineRule="exact"/>
              <w:jc w:val="center"/>
              <w:rPr>
                <w:rFonts w:ascii="Calibri" w:hAnsi="Calibri" w:eastAsia="楷体"/>
                <w:kern w:val="0"/>
                <w:szCs w:val="32"/>
              </w:rPr>
            </w:pPr>
          </w:p>
        </w:tc>
        <w:tc>
          <w:tcPr>
            <w:tcW w:w="344" w:type="dxa"/>
            <w:noWrap w:val="0"/>
            <w:vAlign w:val="center"/>
          </w:tcPr>
          <w:p>
            <w:pPr>
              <w:spacing w:line="700" w:lineRule="exact"/>
              <w:jc w:val="center"/>
              <w:rPr>
                <w:rFonts w:ascii="Calibri" w:hAnsi="Calibri" w:eastAsia="楷体"/>
                <w:kern w:val="0"/>
                <w:szCs w:val="32"/>
              </w:rPr>
            </w:pPr>
          </w:p>
        </w:tc>
        <w:tc>
          <w:tcPr>
            <w:tcW w:w="396"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822"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811"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default" w:ascii="宋体" w:hAnsi="宋体" w:eastAsia="宋体" w:cs="宋体"/>
                <w:color w:val="000000"/>
                <w:sz w:val="20"/>
                <w:szCs w:val="22"/>
                <w:lang w:val="en-US" w:eastAsia="zh-CN"/>
              </w:rPr>
              <w:t>333.2</w:t>
            </w:r>
          </w:p>
        </w:tc>
        <w:tc>
          <w:tcPr>
            <w:tcW w:w="468" w:type="dxa"/>
            <w:noWrap w:val="0"/>
            <w:vAlign w:val="center"/>
          </w:tcPr>
          <w:p>
            <w:pPr>
              <w:spacing w:line="700" w:lineRule="exact"/>
              <w:jc w:val="center"/>
              <w:rPr>
                <w:rFonts w:ascii="Calibri" w:hAnsi="Calibri" w:eastAsia="楷体"/>
                <w:kern w:val="0"/>
                <w:szCs w:val="32"/>
              </w:rPr>
            </w:pPr>
          </w:p>
        </w:tc>
        <w:tc>
          <w:tcPr>
            <w:tcW w:w="381" w:type="dxa"/>
            <w:noWrap w:val="0"/>
            <w:vAlign w:val="center"/>
          </w:tcPr>
          <w:p>
            <w:pPr>
              <w:spacing w:line="700" w:lineRule="exact"/>
              <w:jc w:val="center"/>
              <w:rPr>
                <w:rFonts w:ascii="Calibri" w:hAnsi="Calibri" w:eastAsia="楷体"/>
                <w:kern w:val="0"/>
                <w:szCs w:val="32"/>
              </w:rPr>
            </w:pPr>
          </w:p>
        </w:tc>
        <w:tc>
          <w:tcPr>
            <w:tcW w:w="344" w:type="dxa"/>
            <w:noWrap w:val="0"/>
            <w:vAlign w:val="center"/>
          </w:tcPr>
          <w:p>
            <w:pPr>
              <w:spacing w:line="700" w:lineRule="exact"/>
              <w:jc w:val="center"/>
              <w:rPr>
                <w:rFonts w:ascii="Calibri" w:hAnsi="Calibri" w:eastAsia="楷体"/>
                <w:kern w:val="0"/>
                <w:szCs w:val="32"/>
              </w:rPr>
            </w:pPr>
          </w:p>
        </w:tc>
        <w:tc>
          <w:tcPr>
            <w:tcW w:w="396"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开通镇2023年村级组织运转经费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333.24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333.24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eastAsia" w:ascii="宋体" w:hAnsi="宋体" w:eastAsia="宋体" w:cs="宋体"/>
                <w:color w:val="000000"/>
                <w:sz w:val="20"/>
                <w:lang w:val="en-US" w:eastAsia="zh-CN"/>
              </w:rPr>
            </w:pPr>
          </w:p>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按时拨付开通镇21个行政村村级组织运转经费，保证村级工作有序开展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经费拨付行政村数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=21村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经费拨付程序规范性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&gt;=</w:t>
            </w:r>
            <w:r>
              <w:rPr>
                <w:rFonts w:hint="eastAsia" w:ascii="华文细黑" w:hAnsi="华文细黑" w:eastAsia="华文细黑" w:cs="华文细黑"/>
                <w:i w:val="0"/>
                <w:iCs w:val="0"/>
                <w:color w:val="000000"/>
                <w:kern w:val="0"/>
                <w:sz w:val="16"/>
                <w:szCs w:val="16"/>
                <w:u w:val="none"/>
                <w:lang w:val="en-US" w:eastAsia="zh-CN" w:bidi="ar"/>
              </w:rPr>
              <w:t>98</w:t>
            </w:r>
            <w:r>
              <w:rPr>
                <w:rFonts w:hint="default" w:ascii="华文细黑" w:hAnsi="华文细黑" w:eastAsia="华文细黑" w:cs="华文细黑"/>
                <w:i w:val="0"/>
                <w:iCs w:val="0"/>
                <w:color w:val="000000"/>
                <w:kern w:val="0"/>
                <w:sz w:val="16"/>
                <w:szCs w:val="16"/>
                <w:u w:val="none"/>
                <w:lang w:val="en-US" w:eastAsia="zh-CN" w:bidi="ar"/>
              </w:rPr>
              <w:t>%</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2"/>
                <w:sz w:val="16"/>
                <w:szCs w:val="16"/>
                <w:u w:val="none"/>
                <w:lang w:val="en-US" w:eastAsia="zh-CN" w:bidi="ar-SA"/>
              </w:rPr>
              <w:t>村均运转经费数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&lt;=158686元/村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&gt;=</w:t>
            </w:r>
            <w:r>
              <w:rPr>
                <w:rFonts w:hint="eastAsia" w:ascii="华文细黑" w:hAnsi="华文细黑" w:eastAsia="华文细黑" w:cs="华文细黑"/>
                <w:i w:val="0"/>
                <w:iCs w:val="0"/>
                <w:color w:val="000000"/>
                <w:kern w:val="0"/>
                <w:sz w:val="16"/>
                <w:szCs w:val="16"/>
                <w:u w:val="none"/>
                <w:lang w:val="en-US" w:eastAsia="zh-CN" w:bidi="ar"/>
              </w:rPr>
              <w:t>98</w:t>
            </w:r>
            <w:r>
              <w:rPr>
                <w:rFonts w:hint="default" w:ascii="华文细黑" w:hAnsi="华文细黑" w:eastAsia="华文细黑" w:cs="华文细黑"/>
                <w:i w:val="0"/>
                <w:iCs w:val="0"/>
                <w:color w:val="000000"/>
                <w:kern w:val="0"/>
                <w:sz w:val="16"/>
                <w:szCs w:val="16"/>
                <w:u w:val="none"/>
                <w:lang w:val="en-US" w:eastAsia="zh-CN" w:bidi="ar"/>
              </w:rPr>
              <w:t>%</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村干部干事创业热情</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不断提高</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服务群众满意度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default" w:ascii="华文细黑" w:hAnsi="华文细黑" w:eastAsia="华文细黑" w:cs="华文细黑"/>
                <w:i w:val="0"/>
                <w:iCs w:val="0"/>
                <w:color w:val="000000"/>
                <w:kern w:val="0"/>
                <w:sz w:val="16"/>
                <w:szCs w:val="16"/>
                <w:u w:val="none"/>
                <w:lang w:val="en-US" w:eastAsia="zh-CN" w:bidi="ar"/>
              </w:rPr>
              <w:t>&gt;=</w:t>
            </w:r>
            <w:r>
              <w:rPr>
                <w:rFonts w:hint="eastAsia" w:ascii="华文细黑" w:hAnsi="华文细黑" w:eastAsia="华文细黑" w:cs="华文细黑"/>
                <w:i w:val="0"/>
                <w:iCs w:val="0"/>
                <w:color w:val="000000"/>
                <w:kern w:val="0"/>
                <w:sz w:val="16"/>
                <w:szCs w:val="16"/>
                <w:u w:val="none"/>
                <w:lang w:val="en-US" w:eastAsia="zh-CN" w:bidi="ar"/>
              </w:rPr>
              <w:t>98</w:t>
            </w:r>
            <w:r>
              <w:rPr>
                <w:rFonts w:hint="default" w:ascii="华文细黑" w:hAnsi="华文细黑" w:eastAsia="华文细黑" w:cs="华文细黑"/>
                <w:i w:val="0"/>
                <w:iCs w:val="0"/>
                <w:color w:val="000000"/>
                <w:kern w:val="0"/>
                <w:sz w:val="16"/>
                <w:szCs w:val="16"/>
                <w:u w:val="none"/>
                <w:lang w:val="en-US" w:eastAsia="zh-CN" w:bidi="ar"/>
              </w:rPr>
              <w:t>%</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2141.2万元</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、上年结转结余</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等；支出包括：一般公共服务支出</w:t>
      </w:r>
      <w:r>
        <w:rPr>
          <w:rFonts w:hint="eastAsia" w:ascii="仿宋_GB2312" w:hAnsi="仿宋_GB2312" w:cs="仿宋_GB2312"/>
          <w:szCs w:val="32"/>
          <w:lang w:val="en-US" w:eastAsia="zh-CN"/>
        </w:rPr>
        <w:t>1353.0万元</w:t>
      </w:r>
      <w:r>
        <w:rPr>
          <w:rFonts w:hint="eastAsia" w:ascii="仿宋_GB2312" w:hAnsi="仿宋_GB2312" w:eastAsia="仿宋_GB2312" w:cs="仿宋_GB2312"/>
          <w:szCs w:val="32"/>
        </w:rPr>
        <w:t>、教育支出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、科学技术支出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w:t>
      </w: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78.1万元、</w:t>
      </w:r>
      <w:r>
        <w:rPr>
          <w:rFonts w:hint="eastAsia" w:ascii="仿宋_GB2312" w:hAnsi="仿宋_GB2312" w:eastAsia="仿宋_GB2312" w:cs="仿宋_GB2312"/>
          <w:szCs w:val="32"/>
        </w:rPr>
        <w:t>文化旅游体育与传媒支出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243.9万元</w:t>
      </w:r>
      <w:r>
        <w:rPr>
          <w:rFonts w:hint="eastAsia" w:ascii="仿宋_GB2312" w:hAnsi="仿宋_GB2312" w:eastAsia="仿宋_GB2312" w:cs="仿宋_GB2312"/>
          <w:szCs w:val="32"/>
        </w:rPr>
        <w:t>、农林水支出</w:t>
      </w:r>
      <w:r>
        <w:rPr>
          <w:rFonts w:hint="eastAsia" w:ascii="仿宋_GB2312" w:hAnsi="仿宋_GB2312" w:cs="仿宋_GB2312"/>
          <w:szCs w:val="32"/>
          <w:lang w:val="en-US" w:eastAsia="zh-CN"/>
        </w:rPr>
        <w:t>333.2万元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133.0万元</w:t>
      </w:r>
      <w:r>
        <w:rPr>
          <w:rFonts w:hint="eastAsia" w:ascii="仿宋_GB2312" w:hAnsi="仿宋_GB2312" w:eastAsia="仿宋_GB2312" w:cs="仿宋_GB2312"/>
          <w:szCs w:val="32"/>
        </w:rPr>
        <w:t>、结转下年支出</w:t>
      </w:r>
      <w:r>
        <w:rPr>
          <w:rFonts w:hint="eastAsia" w:ascii="仿宋_GB2312" w:hAnsi="仿宋_GB2312" w:cs="仿宋_GB2312"/>
          <w:szCs w:val="32"/>
          <w:lang w:val="en-US" w:eastAsia="zh-CN"/>
        </w:rPr>
        <w:t>0万元</w:t>
      </w:r>
      <w:r>
        <w:rPr>
          <w:rFonts w:hint="eastAsia" w:ascii="仿宋_GB2312" w:hAnsi="仿宋_GB2312" w:eastAsia="仿宋_GB2312" w:cs="仿宋_GB2312"/>
          <w:szCs w:val="32"/>
        </w:rPr>
        <w:t>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207.5</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职工减少，卫生健康支出、社会保障和就业支出及相关费用减少</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楷体"/>
          <w:szCs w:val="30"/>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rPr>
        <w:t>万元，占____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___%；上年结转___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__%。本年收入中，一般公共预算拨款收入___</w:t>
      </w:r>
      <w:r>
        <w:rPr>
          <w:rFonts w:hint="eastAsia" w:ascii="仿宋_GB2312" w:hAnsi="仿宋_GB2312" w:cs="仿宋_GB2312"/>
          <w:szCs w:val="32"/>
          <w:lang w:val="en-US" w:eastAsia="zh-CN"/>
        </w:rPr>
        <w:t>2141.2</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___%；政府性基金预算拨款收入____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__%；国有资本经营预算拨款收入___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__%；财政专户管理资金收入____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___%；事业收入___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___%；上级补助收入____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____%；附属单位上缴收入_____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___%；事业单位经营收入____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__%；其他收入_____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___%。上年结转中，一般公共预算拨款结转____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___%；政府性基金预算拨款结转_____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____%；国有资本经营预算拨款结转____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___%；财政专户管理资金结转结余____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___%；单位资金结转____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_____%；用事业基金弥补收支差额____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w:t>
      </w:r>
    </w:p>
    <w:p>
      <w:pPr>
        <w:ind w:firstLine="640" w:firstLineChars="200"/>
        <w:rPr>
          <w:rFonts w:eastAsia="楷体"/>
          <w:szCs w:val="30"/>
        </w:rPr>
      </w:pPr>
    </w:p>
    <w:p>
      <w:pPr>
        <w:ind w:firstLine="640" w:firstLineChars="200"/>
        <w:rPr>
          <w:rFonts w:eastAsia="楷体"/>
          <w:szCs w:val="30"/>
        </w:rPr>
      </w:pPr>
    </w:p>
    <w:p>
      <w:pPr>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rPr>
        <w:t>万元，其中：基本支出___</w:t>
      </w:r>
      <w:r>
        <w:rPr>
          <w:rFonts w:hint="eastAsia" w:ascii="仿宋_GB2312" w:hAnsi="仿宋_GB2312" w:cs="仿宋_GB2312"/>
          <w:szCs w:val="32"/>
          <w:lang w:val="en-US" w:eastAsia="zh-CN"/>
        </w:rPr>
        <w:t>1808.0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84.4</w:t>
      </w:r>
      <w:r>
        <w:rPr>
          <w:rFonts w:hint="eastAsia" w:ascii="仿宋_GB2312" w:hAnsi="仿宋_GB2312" w:eastAsia="仿宋_GB2312" w:cs="仿宋_GB2312"/>
          <w:szCs w:val="32"/>
        </w:rPr>
        <w:t>____%；项目支出____</w:t>
      </w:r>
      <w:r>
        <w:rPr>
          <w:rFonts w:hint="eastAsia" w:ascii="仿宋_GB2312" w:hAnsi="仿宋_GB2312" w:cs="仿宋_GB2312"/>
          <w:szCs w:val="32"/>
          <w:lang w:val="en-US" w:eastAsia="zh-CN"/>
        </w:rPr>
        <w:t>333.2</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15.6</w:t>
      </w:r>
      <w:r>
        <w:rPr>
          <w:rFonts w:hint="eastAsia" w:ascii="仿宋_GB2312" w:hAnsi="仿宋_GB2312" w:eastAsia="仿宋_GB2312" w:cs="仿宋_GB2312"/>
          <w:szCs w:val="32"/>
        </w:rPr>
        <w:t>____%；事业单位经营支出___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____%；上缴上级支出____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___%；对附属单位补助支出___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____万元，占___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年财政拨款收支总预算___</w:t>
      </w:r>
      <w:r>
        <w:rPr>
          <w:rFonts w:hint="eastAsia" w:ascii="仿宋_GB2312" w:hAnsi="仿宋_GB2312" w:cs="仿宋_GB2312"/>
          <w:szCs w:val="32"/>
          <w:lang w:val="en-US" w:eastAsia="zh-CN"/>
        </w:rPr>
        <w:t>2141.2</w:t>
      </w:r>
      <w:r>
        <w:rPr>
          <w:rFonts w:hint="eastAsia" w:ascii="仿宋_GB2312" w:hAnsi="仿宋_GB2312" w:eastAsia="仿宋_GB2312" w:cs="仿宋_GB2312"/>
          <w:szCs w:val="32"/>
        </w:rPr>
        <w:t>____万元，其中：本年收入____</w:t>
      </w:r>
      <w:r>
        <w:rPr>
          <w:rFonts w:hint="eastAsia" w:ascii="仿宋_GB2312" w:hAnsi="仿宋_GB2312" w:cs="仿宋_GB2312"/>
          <w:szCs w:val="32"/>
          <w:lang w:val="en-US" w:eastAsia="zh-CN"/>
        </w:rPr>
        <w:t>2141.2</w:t>
      </w:r>
      <w:r>
        <w:rPr>
          <w:rFonts w:hint="eastAsia" w:ascii="仿宋_GB2312" w:hAnsi="仿宋_GB2312" w:eastAsia="仿宋_GB2312" w:cs="仿宋_GB2312"/>
          <w:szCs w:val="32"/>
        </w:rPr>
        <w:t>___万元，上年结转____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1353.0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243.9</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78.1</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333.2</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133.0</w:t>
      </w:r>
      <w:r>
        <w:rPr>
          <w:rFonts w:hint="eastAsia" w:ascii="仿宋_GB2312" w:hAnsi="仿宋_GB2312" w:eastAsia="仿宋_GB2312" w:cs="仿宋_GB2312"/>
          <w:szCs w:val="32"/>
        </w:rPr>
        <w:t>___万元，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___万元，灾害防治及应急管理支出____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___万元。</w:t>
      </w:r>
    </w:p>
    <w:p>
      <w:pPr>
        <w:ind w:firstLine="600"/>
        <w:rPr>
          <w:rFonts w:hint="eastAsia" w:ascii="仿宋_GB2312" w:hAnsi="仿宋_GB2312" w:eastAsia="仿宋_GB2312" w:cs="仿宋_GB2312"/>
          <w:szCs w:val="32"/>
        </w:rPr>
      </w:pPr>
    </w:p>
    <w:p>
      <w:pPr>
        <w:ind w:firstLine="600"/>
        <w:rPr>
          <w:szCs w:val="32"/>
        </w:rPr>
      </w:pPr>
    </w:p>
    <w:p>
      <w:pPr>
        <w:ind w:firstLine="600"/>
        <w:rPr>
          <w:szCs w:val="32"/>
        </w:rPr>
      </w:pPr>
    </w:p>
    <w:p>
      <w:pPr>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2141.2</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1808.0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84.4</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333.2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15.6</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1688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93.4</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120.0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6.6</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1353.0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63.2</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政府办公厅及相关机构事务支出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243.9</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11.4</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行政事业单位养老支出</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eastAsia="zh-CN"/>
        </w:rPr>
      </w:pPr>
      <w:r>
        <w:rPr>
          <w:rFonts w:hint="eastAsia" w:ascii="仿宋_GB2312" w:hAnsi="仿宋_GB2312" w:cs="仿宋_GB2312"/>
          <w:szCs w:val="32"/>
          <w:lang w:val="en-US"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u w:val="single"/>
          <w:lang w:val="en-US" w:eastAsia="zh-CN"/>
        </w:rPr>
        <w:t>78.1</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3.6</w:t>
      </w:r>
      <w:r>
        <w:rPr>
          <w:rFonts w:hint="eastAsia" w:ascii="仿宋_GB2312" w:hAnsi="仿宋_GB2312" w:cs="仿宋_GB2312"/>
          <w:szCs w:val="32"/>
          <w:lang w:val="en-US" w:eastAsia="zh-CN"/>
        </w:rPr>
        <w:t>%主要用于</w:t>
      </w:r>
      <w:r>
        <w:rPr>
          <w:rFonts w:hint="eastAsia" w:ascii="仿宋_GB2312" w:hAnsi="仿宋_GB2312" w:cs="仿宋_GB2312"/>
          <w:szCs w:val="32"/>
          <w:u w:val="single"/>
          <w:lang w:val="en-US" w:eastAsia="zh-CN"/>
        </w:rPr>
        <w:t>行政事业单位医疗支出。</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333.2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15.6</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村民委员会和党支部补助</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133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6.2</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行政事业单位住房公积金支出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rPr>
          <w:rFonts w:hint="eastAsia" w:ascii="仿宋_GB2312" w:hAnsi="仿宋_GB2312" w:eastAsia="仿宋_GB2312" w:cs="仿宋_GB2312"/>
          <w:szCs w:val="32"/>
        </w:rPr>
      </w:pP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1808.0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1688.0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kern w:val="0"/>
          <w:szCs w:val="32"/>
          <w:u w:val="single"/>
          <w:lang w:val="en-US" w:eastAsia="zh-CN"/>
        </w:rPr>
        <w:t>120.0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eastAsia="楷体"/>
          <w:szCs w:val="32"/>
        </w:rPr>
      </w:pPr>
      <w:r>
        <w:rPr>
          <w:rFonts w:eastAsia="楷体"/>
          <w:szCs w:val="32"/>
        </w:rPr>
        <w:t>本部门无一般公共预算拨款</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eastAsia="楷体"/>
          <w:szCs w:val="32"/>
        </w:rPr>
      </w:pPr>
      <w:r>
        <w:rPr>
          <w:rFonts w:eastAsia="楷体"/>
          <w:szCs w:val="32"/>
        </w:rPr>
        <w:t>本部门无政府性基金预算拨款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eastAsia="楷体"/>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本部门无机关运行经费。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本部门无政府采购。</w:t>
      </w:r>
    </w:p>
    <w:p>
      <w:pPr>
        <w:numPr>
          <w:ilvl w:val="0"/>
          <w:numId w:val="1"/>
        </w:numPr>
        <w:spacing w:line="540" w:lineRule="exact"/>
        <w:ind w:firstLine="640" w:firstLineChars="200"/>
        <w:rPr>
          <w:rFonts w:eastAsia="楷体"/>
          <w:szCs w:val="32"/>
        </w:rPr>
      </w:pPr>
      <w:r>
        <w:rPr>
          <w:rFonts w:eastAsia="楷体"/>
          <w:szCs w:val="32"/>
        </w:rPr>
        <w:t>国有资产占有使用情况</w:t>
      </w:r>
    </w:p>
    <w:p>
      <w:pPr>
        <w:numPr>
          <w:ilvl w:val="0"/>
          <w:numId w:val="0"/>
        </w:numPr>
        <w:tabs>
          <w:tab w:val="left" w:pos="818"/>
        </w:tabs>
        <w:spacing w:line="540" w:lineRule="exact"/>
        <w:rPr>
          <w:rFonts w:hint="eastAsia" w:eastAsia="楷体"/>
          <w:szCs w:val="32"/>
          <w:lang w:eastAsia="zh-CN"/>
        </w:rPr>
      </w:pPr>
      <w:r>
        <w:rPr>
          <w:rFonts w:hint="eastAsia" w:eastAsia="楷体"/>
          <w:szCs w:val="32"/>
          <w:lang w:eastAsia="zh-CN"/>
        </w:rPr>
        <w:tab/>
      </w:r>
      <w:r>
        <w:rPr>
          <w:rFonts w:hint="eastAsia" w:ascii="仿宋_GB2312" w:hAnsi="仿宋_GB2312" w:cs="仿宋_GB2312"/>
          <w:szCs w:val="32"/>
          <w:lang w:val="en-US" w:eastAsia="zh-CN"/>
        </w:rPr>
        <w:t>本部门无国有资产占用使用。</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u w:val="single"/>
          <w:lang w:val="en-US" w:eastAsia="zh-CN"/>
        </w:rPr>
        <w:t>333.2</w:t>
      </w:r>
      <w:r>
        <w:rPr>
          <w:rFonts w:hint="eastAsia" w:ascii="仿宋_GB2312" w:hAnsi="仿宋_GB2312" w:eastAsia="仿宋_GB2312" w:cs="仿宋_GB2312"/>
          <w:szCs w:val="32"/>
          <w:highlight w:val="none"/>
        </w:rPr>
        <w:t>万元，其中：二级项目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333.2</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u w:val="single"/>
          <w:lang w:val="en-US" w:eastAsia="zh-CN"/>
        </w:rPr>
        <w:t>1</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u w:val="single"/>
          <w:lang w:val="en-US" w:eastAsia="zh-CN"/>
        </w:rPr>
        <w:t>333.2</w:t>
      </w:r>
      <w:r>
        <w:rPr>
          <w:rFonts w:hint="eastAsia" w:ascii="仿宋_GB2312" w:hAnsi="仿宋_GB2312" w:eastAsia="仿宋_GB2312" w:cs="仿宋_GB2312"/>
        </w:rPr>
        <w:t>万元。</w:t>
      </w:r>
    </w:p>
    <w:p>
      <w:pPr>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ind w:firstLine="645"/>
        <w:rPr>
          <w:rFonts w:eastAsia="楷体"/>
          <w:szCs w:val="32"/>
        </w:rPr>
      </w:pPr>
    </w:p>
    <w:p>
      <w:pPr>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89254E"/>
    <w:multiLevelType w:val="singleLevel"/>
    <w:tmpl w:val="CE89254E"/>
    <w:lvl w:ilvl="0" w:tentative="0">
      <w:start w:val="3"/>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1Yzg4YzA5MDg4MDZjZTg1ODNmNDYyZmYyZWRjYWU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3284"/>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5B07D52"/>
    <w:rsid w:val="06365872"/>
    <w:rsid w:val="063949A0"/>
    <w:rsid w:val="067960C1"/>
    <w:rsid w:val="06BD5BC7"/>
    <w:rsid w:val="075E313A"/>
    <w:rsid w:val="07D21289"/>
    <w:rsid w:val="07F544B0"/>
    <w:rsid w:val="08F6684D"/>
    <w:rsid w:val="09A0082A"/>
    <w:rsid w:val="0A334D52"/>
    <w:rsid w:val="0ABA06FE"/>
    <w:rsid w:val="0B5F5ADA"/>
    <w:rsid w:val="0B710869"/>
    <w:rsid w:val="0C2A5C84"/>
    <w:rsid w:val="0DA001B0"/>
    <w:rsid w:val="0DB6446C"/>
    <w:rsid w:val="0DEB170B"/>
    <w:rsid w:val="0E0802A4"/>
    <w:rsid w:val="0E4C7841"/>
    <w:rsid w:val="0E956910"/>
    <w:rsid w:val="0F3E0406"/>
    <w:rsid w:val="0F8B592F"/>
    <w:rsid w:val="0FD62F63"/>
    <w:rsid w:val="10491CFB"/>
    <w:rsid w:val="107728C7"/>
    <w:rsid w:val="10AE7F82"/>
    <w:rsid w:val="10C93B35"/>
    <w:rsid w:val="11177619"/>
    <w:rsid w:val="112605C8"/>
    <w:rsid w:val="12E711B7"/>
    <w:rsid w:val="132A2352"/>
    <w:rsid w:val="136D62BD"/>
    <w:rsid w:val="13F21722"/>
    <w:rsid w:val="1441443C"/>
    <w:rsid w:val="1449481A"/>
    <w:rsid w:val="14C12787"/>
    <w:rsid w:val="15593E10"/>
    <w:rsid w:val="159F7E25"/>
    <w:rsid w:val="15F848D0"/>
    <w:rsid w:val="160E1FA5"/>
    <w:rsid w:val="160F2600"/>
    <w:rsid w:val="17765BCA"/>
    <w:rsid w:val="17A027D8"/>
    <w:rsid w:val="18D97FF0"/>
    <w:rsid w:val="1A817DF8"/>
    <w:rsid w:val="1ADC594E"/>
    <w:rsid w:val="1AEB5252"/>
    <w:rsid w:val="1BC958C2"/>
    <w:rsid w:val="1C852172"/>
    <w:rsid w:val="1CA40C0C"/>
    <w:rsid w:val="1CFF4A32"/>
    <w:rsid w:val="1D833200"/>
    <w:rsid w:val="1E2D59A2"/>
    <w:rsid w:val="1E3A3FD0"/>
    <w:rsid w:val="1E670B89"/>
    <w:rsid w:val="1EB55C07"/>
    <w:rsid w:val="1F351A10"/>
    <w:rsid w:val="1FED47E9"/>
    <w:rsid w:val="206816AC"/>
    <w:rsid w:val="20D31A63"/>
    <w:rsid w:val="2281716F"/>
    <w:rsid w:val="22A4003E"/>
    <w:rsid w:val="23984063"/>
    <w:rsid w:val="23CE11F0"/>
    <w:rsid w:val="23EC61F6"/>
    <w:rsid w:val="244C543C"/>
    <w:rsid w:val="24624768"/>
    <w:rsid w:val="24B623B0"/>
    <w:rsid w:val="24E24D34"/>
    <w:rsid w:val="2539376C"/>
    <w:rsid w:val="254C6FAD"/>
    <w:rsid w:val="259B5BC5"/>
    <w:rsid w:val="25C7462E"/>
    <w:rsid w:val="25F62C4E"/>
    <w:rsid w:val="26643D6C"/>
    <w:rsid w:val="26FE109D"/>
    <w:rsid w:val="27073E1E"/>
    <w:rsid w:val="27B04AB3"/>
    <w:rsid w:val="28A63332"/>
    <w:rsid w:val="295959FF"/>
    <w:rsid w:val="29C45F24"/>
    <w:rsid w:val="2DF8796C"/>
    <w:rsid w:val="2EB22F18"/>
    <w:rsid w:val="2EE12108"/>
    <w:rsid w:val="2EED35E3"/>
    <w:rsid w:val="2F250383"/>
    <w:rsid w:val="2F63610B"/>
    <w:rsid w:val="2F8E7010"/>
    <w:rsid w:val="300965A3"/>
    <w:rsid w:val="30730D6E"/>
    <w:rsid w:val="30B91A70"/>
    <w:rsid w:val="31C00F6A"/>
    <w:rsid w:val="32CF2C5D"/>
    <w:rsid w:val="335402B5"/>
    <w:rsid w:val="339466B2"/>
    <w:rsid w:val="33C65A3F"/>
    <w:rsid w:val="34555AF5"/>
    <w:rsid w:val="35616772"/>
    <w:rsid w:val="359F0C3E"/>
    <w:rsid w:val="35BE7316"/>
    <w:rsid w:val="35EA1663"/>
    <w:rsid w:val="364C598E"/>
    <w:rsid w:val="36CC2B0F"/>
    <w:rsid w:val="371A614D"/>
    <w:rsid w:val="382471D8"/>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954E00"/>
    <w:rsid w:val="3DF23324"/>
    <w:rsid w:val="3EA14040"/>
    <w:rsid w:val="3EE8108D"/>
    <w:rsid w:val="3F9D1D4A"/>
    <w:rsid w:val="3FC512A1"/>
    <w:rsid w:val="405745EF"/>
    <w:rsid w:val="40B80EFF"/>
    <w:rsid w:val="41A35364"/>
    <w:rsid w:val="41C31686"/>
    <w:rsid w:val="42982B4E"/>
    <w:rsid w:val="436B1E42"/>
    <w:rsid w:val="43993170"/>
    <w:rsid w:val="44054362"/>
    <w:rsid w:val="449C5E6A"/>
    <w:rsid w:val="456D114B"/>
    <w:rsid w:val="45EB670F"/>
    <w:rsid w:val="460D5750"/>
    <w:rsid w:val="46AB7C0D"/>
    <w:rsid w:val="46D44808"/>
    <w:rsid w:val="47CF49E6"/>
    <w:rsid w:val="4843587B"/>
    <w:rsid w:val="48674ED2"/>
    <w:rsid w:val="487708E6"/>
    <w:rsid w:val="49645F71"/>
    <w:rsid w:val="499F5C68"/>
    <w:rsid w:val="49E05655"/>
    <w:rsid w:val="4AF16062"/>
    <w:rsid w:val="4B646DDD"/>
    <w:rsid w:val="4B7F44F8"/>
    <w:rsid w:val="4BAC24C5"/>
    <w:rsid w:val="4BFA0656"/>
    <w:rsid w:val="4C3E497A"/>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2795AF2"/>
    <w:rsid w:val="5415239F"/>
    <w:rsid w:val="54741940"/>
    <w:rsid w:val="54810E66"/>
    <w:rsid w:val="54C2556E"/>
    <w:rsid w:val="55480EEF"/>
    <w:rsid w:val="56570E30"/>
    <w:rsid w:val="56C01977"/>
    <w:rsid w:val="56DD571F"/>
    <w:rsid w:val="57AE5C26"/>
    <w:rsid w:val="57CD43E4"/>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11B35"/>
    <w:rsid w:val="5E256F6F"/>
    <w:rsid w:val="5F6235A9"/>
    <w:rsid w:val="614125C2"/>
    <w:rsid w:val="624C5C52"/>
    <w:rsid w:val="62EF025F"/>
    <w:rsid w:val="63952BB5"/>
    <w:rsid w:val="63DF08E4"/>
    <w:rsid w:val="64127E15"/>
    <w:rsid w:val="64C04AFD"/>
    <w:rsid w:val="65991FE6"/>
    <w:rsid w:val="661A7B69"/>
    <w:rsid w:val="664909C1"/>
    <w:rsid w:val="66C63EB5"/>
    <w:rsid w:val="67010C05"/>
    <w:rsid w:val="677772D0"/>
    <w:rsid w:val="679461D3"/>
    <w:rsid w:val="6821710D"/>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4695B"/>
    <w:rsid w:val="74556746"/>
    <w:rsid w:val="74AB7A24"/>
    <w:rsid w:val="756E14B8"/>
    <w:rsid w:val="75C82457"/>
    <w:rsid w:val="76BB79B1"/>
    <w:rsid w:val="76C17E06"/>
    <w:rsid w:val="76CA67BD"/>
    <w:rsid w:val="774E6400"/>
    <w:rsid w:val="775B0046"/>
    <w:rsid w:val="78796248"/>
    <w:rsid w:val="79700BEF"/>
    <w:rsid w:val="79E65AC0"/>
    <w:rsid w:val="79F85634"/>
    <w:rsid w:val="7A090695"/>
    <w:rsid w:val="7AE175F4"/>
    <w:rsid w:val="7B417685"/>
    <w:rsid w:val="7B5220F0"/>
    <w:rsid w:val="7BA169C0"/>
    <w:rsid w:val="7BD302C6"/>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于金岩</cp:lastModifiedBy>
  <cp:lastPrinted>2022-02-21T08:08:00Z</cp:lastPrinted>
  <dcterms:modified xsi:type="dcterms:W3CDTF">2024-01-30T08:45:35Z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