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lang w:val="en-US" w:eastAsia="zh-CN"/>
        </w:rPr>
        <w:t>通榆县公路管理段</w:t>
      </w:r>
      <w:r>
        <w:rPr>
          <w:rFonts w:hint="eastAsia" w:asciiTheme="majorEastAsia" w:hAnsiTheme="majorEastAsia" w:eastAsiaTheme="majorEastAsia" w:cstheme="majorEastAsia"/>
          <w:sz w:val="44"/>
          <w:szCs w:val="44"/>
          <w:lang w:eastAsia="zh-CN"/>
        </w:rPr>
        <w:t>2024</w:t>
      </w:r>
      <w:r>
        <w:rPr>
          <w:rFonts w:hint="eastAsia" w:asciiTheme="majorEastAsia" w:hAnsiTheme="majorEastAsia" w:eastAsiaTheme="majorEastAsia" w:cstheme="majorEastAsia"/>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color w:val="000000"/>
          <w:szCs w:val="32"/>
          <w:lang w:val="en-US" w:eastAsia="zh-CN"/>
        </w:rPr>
      </w:pPr>
      <w:r>
        <w:rPr>
          <w:rFonts w:hint="eastAsia"/>
          <w:color w:val="000000"/>
          <w:szCs w:val="32"/>
          <w:lang w:val="en-US" w:eastAsia="zh-CN"/>
        </w:rPr>
        <w:t>1为公路畅通提供养护管理保障，负责公路建设、公路养护的管理工作：</w:t>
      </w:r>
    </w:p>
    <w:p>
      <w:pPr>
        <w:ind w:firstLine="640" w:firstLineChars="200"/>
        <w:rPr>
          <w:rFonts w:hint="eastAsia"/>
          <w:color w:val="000000"/>
          <w:szCs w:val="32"/>
          <w:lang w:val="en-US" w:eastAsia="zh-CN"/>
        </w:rPr>
      </w:pPr>
      <w:r>
        <w:rPr>
          <w:rFonts w:hint="eastAsia"/>
          <w:color w:val="000000"/>
          <w:szCs w:val="32"/>
          <w:lang w:val="en-US" w:eastAsia="zh-CN"/>
        </w:rPr>
        <w:t>2负责全县乡道建设和养护的管理工作：</w:t>
      </w:r>
    </w:p>
    <w:p>
      <w:pPr>
        <w:ind w:firstLine="640" w:firstLineChars="200"/>
        <w:rPr>
          <w:rFonts w:hint="default"/>
          <w:color w:val="000000"/>
          <w:szCs w:val="32"/>
          <w:lang w:val="en-US" w:eastAsia="zh-CN"/>
        </w:rPr>
      </w:pPr>
      <w:r>
        <w:rPr>
          <w:rFonts w:hint="eastAsia"/>
          <w:color w:val="000000"/>
          <w:szCs w:val="32"/>
          <w:lang w:val="en-US" w:eastAsia="zh-CN"/>
        </w:rPr>
        <w:t>3保护乡道路产、维护乡道建设和养护的正常秩序。</w:t>
      </w:r>
    </w:p>
    <w:p>
      <w:pPr>
        <w:ind w:firstLine="640" w:firstLineChars="200"/>
      </w:pPr>
      <w:r>
        <w:rPr>
          <w:rFonts w:eastAsia="楷体_GB2312"/>
        </w:rPr>
        <w:t>二、机构设置</w:t>
      </w:r>
    </w:p>
    <w:p>
      <w:pPr>
        <w:pStyle w:val="51"/>
        <w:ind w:firstLine="640" w:firstLineChars="200"/>
        <w:rPr>
          <w:rFonts w:eastAsia="仿宋_GB2312"/>
        </w:rPr>
      </w:pPr>
      <w:r>
        <w:rPr>
          <w:rFonts w:eastAsia="仿宋_GB2312"/>
        </w:rPr>
        <w:t>根据上述职责，</w:t>
      </w:r>
      <w:r>
        <w:rPr>
          <w:rFonts w:hint="eastAsia" w:eastAsia="仿宋_GB2312"/>
          <w:u w:val="single"/>
          <w:lang w:eastAsia="zh-CN"/>
        </w:rPr>
        <w:t>通榆县公路管理段</w:t>
      </w:r>
      <w:r>
        <w:rPr>
          <w:rFonts w:eastAsia="仿宋_GB2312"/>
        </w:rPr>
        <w:t>内设</w:t>
      </w:r>
      <w:r>
        <w:rPr>
          <w:rFonts w:eastAsia="仿宋_GB2312"/>
          <w:u w:val="single"/>
        </w:rPr>
        <w:t xml:space="preserve"> </w:t>
      </w:r>
      <w:r>
        <w:rPr>
          <w:rFonts w:hint="eastAsia" w:eastAsia="仿宋_GB2312"/>
          <w:u w:val="single"/>
          <w:lang w:val="en-US" w:eastAsia="zh-CN"/>
        </w:rPr>
        <w:t>6</w:t>
      </w:r>
      <w:r>
        <w:rPr>
          <w:rFonts w:eastAsia="仿宋_GB2312"/>
          <w:u w:val="single"/>
        </w:rPr>
        <w:t xml:space="preserve"> </w:t>
      </w:r>
      <w:r>
        <w:rPr>
          <w:rFonts w:eastAsia="仿宋_GB2312"/>
        </w:rPr>
        <w:t>个机构，分别为</w:t>
      </w:r>
      <w:r>
        <w:rPr>
          <w:rFonts w:hint="eastAsia" w:eastAsia="仿宋_GB2312"/>
          <w:lang w:eastAsia="zh-CN"/>
        </w:rPr>
        <w:t>综合办公室、财务科、养护科、人事科、农村公路管理科、路政管理科</w:t>
      </w:r>
      <w:r>
        <w:rPr>
          <w:rFonts w:eastAsia="仿宋_GB2312"/>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232"/>
        <w:gridCol w:w="1106"/>
        <w:gridCol w:w="1158"/>
      </w:tblGrid>
      <w:tr>
        <w:tblPrEx>
          <w:tblCellMar>
            <w:top w:w="0" w:type="dxa"/>
            <w:left w:w="108" w:type="dxa"/>
            <w:bottom w:w="0" w:type="dxa"/>
            <w:right w:w="108" w:type="dxa"/>
          </w:tblCellMar>
        </w:tblPrEx>
        <w:trPr>
          <w:trHeight w:val="525" w:hRule="atLeast"/>
        </w:trPr>
        <w:tc>
          <w:tcPr>
            <w:tcW w:w="9908" w:type="dxa"/>
            <w:gridSpan w:val="8"/>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574" w:type="dxa"/>
            <w:gridSpan w:val="2"/>
            <w:tcBorders>
              <w:top w:val="nil"/>
              <w:left w:val="nil"/>
              <w:bottom w:val="nil"/>
              <w:right w:val="nil"/>
            </w:tcBorders>
            <w:noWrap w:val="0"/>
            <w:vAlign w:val="center"/>
          </w:tcPr>
          <w:p>
            <w:pPr>
              <w:widowControl/>
              <w:jc w:val="center"/>
              <w:rPr>
                <w:rFonts w:eastAsia="宋体"/>
                <w:kern w:val="0"/>
                <w:sz w:val="20"/>
              </w:rPr>
            </w:pPr>
          </w:p>
        </w:tc>
        <w:tc>
          <w:tcPr>
            <w:tcW w:w="2264" w:type="dxa"/>
            <w:gridSpan w:val="2"/>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23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0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tabs>
                <w:tab w:val="left" w:pos="383"/>
              </w:tabs>
              <w:jc w:val="center"/>
              <w:rPr>
                <w:rFonts w:hint="default" w:eastAsia="宋体"/>
                <w:kern w:val="0"/>
                <w:sz w:val="20"/>
                <w:lang w:val="en-US" w:eastAsia="zh-CN"/>
              </w:rPr>
            </w:pPr>
            <w:r>
              <w:rPr>
                <w:rFonts w:hint="eastAsia" w:eastAsia="宋体"/>
                <w:kern w:val="0"/>
                <w:sz w:val="20"/>
                <w:lang w:val="en-US" w:eastAsia="zh-CN"/>
              </w:rPr>
              <w:t>235.79</w:t>
            </w:r>
          </w:p>
        </w:tc>
        <w:tc>
          <w:tcPr>
            <w:tcW w:w="1073" w:type="dxa"/>
            <w:tcBorders>
              <w:top w:val="nil"/>
              <w:left w:val="nil"/>
              <w:bottom w:val="single" w:color="auto" w:sz="4" w:space="0"/>
              <w:right w:val="single" w:color="auto" w:sz="4" w:space="0"/>
            </w:tcBorders>
            <w:noWrap w:val="0"/>
            <w:vAlign w:val="center"/>
          </w:tcPr>
          <w:p>
            <w:pPr>
              <w:widowControl/>
              <w:tabs>
                <w:tab w:val="left" w:pos="383"/>
              </w:tabs>
              <w:jc w:val="center"/>
              <w:rPr>
                <w:rFonts w:eastAsia="宋体"/>
                <w:kern w:val="0"/>
                <w:sz w:val="20"/>
              </w:rPr>
            </w:pPr>
            <w:r>
              <w:rPr>
                <w:rFonts w:hint="eastAsia" w:eastAsia="宋体"/>
                <w:kern w:val="0"/>
                <w:sz w:val="20"/>
                <w:lang w:val="en-US" w:eastAsia="zh-CN"/>
              </w:rPr>
              <w:t>235.79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23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06"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235.79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235.79</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23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06"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23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06"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23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06"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23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06"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23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06"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八、社会保障和就业支出</w:t>
            </w:r>
          </w:p>
        </w:tc>
        <w:tc>
          <w:tcPr>
            <w:tcW w:w="1232"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15.23</w:t>
            </w:r>
          </w:p>
        </w:tc>
        <w:tc>
          <w:tcPr>
            <w:tcW w:w="110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15.23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十、卫生健康支出</w:t>
            </w:r>
          </w:p>
        </w:tc>
        <w:tc>
          <w:tcPr>
            <w:tcW w:w="1232"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4.87</w:t>
            </w:r>
          </w:p>
        </w:tc>
        <w:tc>
          <w:tcPr>
            <w:tcW w:w="110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4.87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eastAsia="宋体"/>
                <w:b w:val="0"/>
                <w:bCs/>
                <w:color w:val="000000"/>
                <w:kern w:val="0"/>
                <w:sz w:val="20"/>
              </w:rPr>
            </w:pPr>
            <w:r>
              <w:rPr>
                <w:rFonts w:hint="eastAsia" w:ascii="仿宋_GB2312"/>
                <w:b w:val="0"/>
                <w:bCs/>
                <w:color w:val="000000"/>
                <w:kern w:val="0"/>
                <w:sz w:val="20"/>
              </w:rPr>
              <w:t>十四、交通运输支出</w:t>
            </w:r>
          </w:p>
        </w:tc>
        <w:tc>
          <w:tcPr>
            <w:tcW w:w="1232" w:type="dxa"/>
            <w:tcBorders>
              <w:top w:val="nil"/>
              <w:left w:val="single" w:color="auto" w:sz="4" w:space="0"/>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hint="eastAsia" w:eastAsia="宋体"/>
                <w:sz w:val="20"/>
                <w:lang w:val="en-US" w:eastAsia="zh-CN"/>
              </w:rPr>
              <w:t>206.82</w:t>
            </w:r>
          </w:p>
        </w:tc>
        <w:tc>
          <w:tcPr>
            <w:tcW w:w="110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lang w:val="en-US" w:eastAsia="zh-CN" w:bidi="ar-SA"/>
              </w:rPr>
            </w:pPr>
            <w:r>
              <w:rPr>
                <w:rFonts w:hint="eastAsia" w:eastAsia="宋体"/>
                <w:sz w:val="20"/>
                <w:lang w:val="en-US" w:eastAsia="zh-CN"/>
              </w:rPr>
              <w:t>206.82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lang w:val="en-US" w:eastAsia="zh-CN"/>
              </w:rPr>
              <w:t>二十</w:t>
            </w:r>
            <w:r>
              <w:rPr>
                <w:rFonts w:hint="eastAsia" w:ascii="仿宋_GB2312"/>
                <w:b w:val="0"/>
                <w:bCs/>
                <w:color w:val="000000"/>
                <w:kern w:val="0"/>
                <w:sz w:val="20"/>
              </w:rPr>
              <w:t>、住房保障支出</w:t>
            </w:r>
          </w:p>
        </w:tc>
        <w:tc>
          <w:tcPr>
            <w:tcW w:w="1232" w:type="dxa"/>
            <w:tcBorders>
              <w:top w:val="nil"/>
              <w:left w:val="single" w:color="auto" w:sz="4" w:space="0"/>
              <w:bottom w:val="single" w:color="auto" w:sz="4" w:space="0"/>
              <w:right w:val="single" w:color="auto" w:sz="4" w:space="0"/>
            </w:tcBorders>
            <w:noWrap w:val="0"/>
            <w:vAlign w:val="center"/>
          </w:tcPr>
          <w:p>
            <w:pPr>
              <w:widowControl/>
              <w:tabs>
                <w:tab w:val="left" w:pos="314"/>
                <w:tab w:val="center" w:pos="568"/>
              </w:tabs>
              <w:jc w:val="center"/>
              <w:rPr>
                <w:rFonts w:hint="default" w:eastAsia="宋体"/>
                <w:color w:val="000000"/>
                <w:kern w:val="0"/>
                <w:sz w:val="20"/>
                <w:lang w:val="en-US" w:eastAsia="zh-CN"/>
              </w:rPr>
            </w:pPr>
            <w:r>
              <w:rPr>
                <w:rFonts w:hint="eastAsia" w:eastAsia="宋体"/>
                <w:color w:val="000000"/>
                <w:kern w:val="0"/>
                <w:sz w:val="20"/>
                <w:lang w:val="en-US" w:eastAsia="zh-CN"/>
              </w:rPr>
              <w:t>8.86</w:t>
            </w:r>
          </w:p>
        </w:tc>
        <w:tc>
          <w:tcPr>
            <w:tcW w:w="1106" w:type="dxa"/>
            <w:tcBorders>
              <w:top w:val="nil"/>
              <w:left w:val="nil"/>
              <w:bottom w:val="single" w:color="auto" w:sz="4" w:space="0"/>
              <w:right w:val="single" w:color="auto" w:sz="4" w:space="0"/>
            </w:tcBorders>
            <w:noWrap w:val="0"/>
            <w:vAlign w:val="center"/>
          </w:tcPr>
          <w:p>
            <w:pPr>
              <w:widowControl/>
              <w:tabs>
                <w:tab w:val="left" w:pos="314"/>
                <w:tab w:val="center" w:pos="568"/>
              </w:tabs>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lang w:val="en-US" w:eastAsia="zh-CN"/>
              </w:rPr>
              <w:t>二十一</w:t>
            </w:r>
            <w:r>
              <w:rPr>
                <w:rFonts w:hint="eastAsia" w:ascii="仿宋_GB2312"/>
                <w:b w:val="0"/>
                <w:bCs/>
                <w:color w:val="000000"/>
                <w:kern w:val="0"/>
                <w:sz w:val="20"/>
              </w:rPr>
              <w:t>、</w:t>
            </w:r>
            <w:r>
              <w:rPr>
                <w:rFonts w:hint="eastAsia" w:ascii="仿宋_GB2312"/>
                <w:b w:val="0"/>
                <w:bCs/>
                <w:color w:val="000000"/>
                <w:kern w:val="0"/>
                <w:sz w:val="20"/>
                <w:lang w:val="en-US" w:eastAsia="zh-CN"/>
              </w:rPr>
              <w:t>其他</w:t>
            </w:r>
            <w:r>
              <w:rPr>
                <w:rFonts w:hint="eastAsia" w:ascii="仿宋_GB2312"/>
                <w:b w:val="0"/>
                <w:bCs/>
                <w:color w:val="000000"/>
                <w:kern w:val="0"/>
                <w:sz w:val="20"/>
              </w:rPr>
              <w:t>支出</w:t>
            </w:r>
          </w:p>
        </w:tc>
        <w:tc>
          <w:tcPr>
            <w:tcW w:w="1232"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06"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235.79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bCs/>
                <w:kern w:val="0"/>
                <w:sz w:val="20"/>
                <w:lang w:val="en-US" w:eastAsia="zh-CN"/>
              </w:rPr>
              <w:t>235.79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232" w:type="dxa"/>
            <w:tcBorders>
              <w:top w:val="nil"/>
              <w:left w:val="single" w:color="auto" w:sz="4" w:space="0"/>
              <w:bottom w:val="single" w:color="auto" w:sz="4" w:space="0"/>
              <w:right w:val="single" w:color="auto" w:sz="4" w:space="0"/>
            </w:tcBorders>
            <w:noWrap w:val="0"/>
            <w:vAlign w:val="center"/>
          </w:tcPr>
          <w:p>
            <w:pPr>
              <w:widowControl/>
              <w:tabs>
                <w:tab w:val="left" w:pos="419"/>
              </w:tabs>
              <w:jc w:val="center"/>
              <w:rPr>
                <w:rFonts w:hint="default" w:eastAsia="宋体"/>
                <w:b/>
                <w:bCs/>
                <w:kern w:val="0"/>
                <w:sz w:val="20"/>
                <w:lang w:val="en-US" w:eastAsia="zh-CN"/>
              </w:rPr>
            </w:pPr>
            <w:r>
              <w:rPr>
                <w:rFonts w:hint="eastAsia" w:eastAsia="宋体"/>
                <w:b/>
                <w:bCs/>
                <w:kern w:val="0"/>
                <w:sz w:val="20"/>
                <w:lang w:val="en-US" w:eastAsia="zh-CN"/>
              </w:rPr>
              <w:t>235.79</w:t>
            </w:r>
          </w:p>
        </w:tc>
        <w:tc>
          <w:tcPr>
            <w:tcW w:w="1106" w:type="dxa"/>
            <w:tcBorders>
              <w:top w:val="nil"/>
              <w:left w:val="nil"/>
              <w:bottom w:val="single" w:color="auto" w:sz="4" w:space="0"/>
              <w:right w:val="single" w:color="auto" w:sz="4" w:space="0"/>
            </w:tcBorders>
            <w:noWrap w:val="0"/>
            <w:vAlign w:val="center"/>
          </w:tcPr>
          <w:p>
            <w:pPr>
              <w:widowControl/>
              <w:tabs>
                <w:tab w:val="left" w:pos="419"/>
              </w:tabs>
              <w:jc w:val="center"/>
              <w:rPr>
                <w:rFonts w:hint="default" w:ascii="Times New Roman" w:hAnsi="Times New Roman" w:eastAsia="宋体" w:cs="Times New Roman"/>
                <w:b/>
                <w:bCs/>
                <w:kern w:val="0"/>
                <w:sz w:val="20"/>
                <w:lang w:val="en-US" w:eastAsia="zh-CN" w:bidi="ar-SA"/>
              </w:rPr>
            </w:pPr>
            <w:r>
              <w:rPr>
                <w:rFonts w:hint="eastAsia" w:eastAsia="宋体"/>
                <w:b/>
                <w:bCs/>
                <w:kern w:val="0"/>
                <w:sz w:val="20"/>
                <w:lang w:val="en-US" w:eastAsia="zh-CN"/>
              </w:rPr>
              <w:t>235.79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428"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23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06"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23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06"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235.79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bCs/>
                <w:kern w:val="0"/>
                <w:sz w:val="20"/>
                <w:lang w:val="en-US" w:eastAsia="zh-CN"/>
              </w:rPr>
              <w:t>235.79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23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bCs/>
                <w:kern w:val="0"/>
                <w:sz w:val="20"/>
                <w:lang w:val="en-US" w:eastAsia="zh-CN"/>
              </w:rPr>
              <w:t>235.79</w:t>
            </w:r>
          </w:p>
        </w:tc>
        <w:tc>
          <w:tcPr>
            <w:tcW w:w="1106"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bCs/>
                <w:kern w:val="0"/>
                <w:sz w:val="20"/>
                <w:lang w:val="en-US" w:eastAsia="zh-CN"/>
              </w:rPr>
              <w:t>235.79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rPr>
          <w:rFonts w:eastAsia="楷体"/>
        </w:rPr>
      </w:pPr>
    </w:p>
    <w:p>
      <w:pPr>
        <w:jc w:val="center"/>
        <w:rPr>
          <w:rFonts w:eastAsia="方正小标宋简体"/>
          <w:sz w:val="36"/>
          <w:szCs w:val="36"/>
        </w:rPr>
      </w:pPr>
    </w:p>
    <w:p>
      <w:pPr>
        <w:jc w:val="center"/>
        <w:rPr>
          <w:rFonts w:eastAsia="方正小标宋简体"/>
          <w:sz w:val="36"/>
          <w:szCs w:val="36"/>
        </w:rPr>
      </w:pPr>
    </w:p>
    <w:p>
      <w:pPr>
        <w:jc w:val="center"/>
        <w:rPr>
          <w:rFonts w:eastAsia="方正小标宋简体"/>
          <w:sz w:val="36"/>
          <w:szCs w:val="36"/>
        </w:rPr>
      </w:pP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8969" w:type="dxa"/>
        <w:jc w:val="center"/>
        <w:tblLayout w:type="fixed"/>
        <w:tblCellMar>
          <w:top w:w="0" w:type="dxa"/>
          <w:left w:w="108" w:type="dxa"/>
          <w:bottom w:w="0" w:type="dxa"/>
          <w:right w:w="108" w:type="dxa"/>
        </w:tblCellMar>
      </w:tblPr>
      <w:tblGrid>
        <w:gridCol w:w="428"/>
        <w:gridCol w:w="733"/>
        <w:gridCol w:w="570"/>
        <w:gridCol w:w="660"/>
        <w:gridCol w:w="570"/>
        <w:gridCol w:w="367"/>
        <w:gridCol w:w="375"/>
        <w:gridCol w:w="360"/>
        <w:gridCol w:w="318"/>
        <w:gridCol w:w="177"/>
        <w:gridCol w:w="239"/>
        <w:gridCol w:w="416"/>
        <w:gridCol w:w="406"/>
        <w:gridCol w:w="10"/>
        <w:gridCol w:w="375"/>
        <w:gridCol w:w="41"/>
        <w:gridCol w:w="105"/>
        <w:gridCol w:w="311"/>
        <w:gridCol w:w="220"/>
        <w:gridCol w:w="196"/>
        <w:gridCol w:w="335"/>
        <w:gridCol w:w="81"/>
        <w:gridCol w:w="416"/>
        <w:gridCol w:w="416"/>
        <w:gridCol w:w="416"/>
        <w:gridCol w:w="387"/>
        <w:gridCol w:w="41"/>
      </w:tblGrid>
      <w:tr>
        <w:tblPrEx>
          <w:tblCellMar>
            <w:top w:w="0" w:type="dxa"/>
            <w:left w:w="108" w:type="dxa"/>
            <w:bottom w:w="0" w:type="dxa"/>
            <w:right w:w="108" w:type="dxa"/>
          </w:tblCellMar>
        </w:tblPrEx>
        <w:trPr>
          <w:gridAfter w:val="1"/>
          <w:wAfter w:w="41"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3"/>
            <w:noWrap w:val="0"/>
            <w:vAlign w:val="center"/>
          </w:tcPr>
          <w:p>
            <w:pPr>
              <w:autoSpaceDN w:val="0"/>
              <w:jc w:val="left"/>
              <w:textAlignment w:val="center"/>
              <w:rPr>
                <w:rFonts w:eastAsia="华文细黑"/>
                <w:color w:val="000000"/>
                <w:sz w:val="20"/>
              </w:rPr>
            </w:pPr>
          </w:p>
        </w:tc>
        <w:tc>
          <w:tcPr>
            <w:tcW w:w="53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41" w:type="dxa"/>
          <w:trHeight w:val="418" w:hRule="atLeast"/>
          <w:jc w:val="center"/>
        </w:trPr>
        <w:tc>
          <w:tcPr>
            <w:tcW w:w="116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570"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273"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16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570"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161"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通榆县公路管理段</w:t>
            </w:r>
          </w:p>
        </w:tc>
        <w:tc>
          <w:tcPr>
            <w:tcW w:w="57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235.79</w:t>
            </w:r>
          </w:p>
        </w:tc>
        <w:tc>
          <w:tcPr>
            <w:tcW w:w="66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235.79</w:t>
            </w:r>
          </w:p>
        </w:tc>
        <w:tc>
          <w:tcPr>
            <w:tcW w:w="57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235.79</w:t>
            </w:r>
          </w:p>
        </w:tc>
        <w:tc>
          <w:tcPr>
            <w:tcW w:w="367"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37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60"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1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161"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161"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161"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161"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161"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161"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161"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161"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235.79</w:t>
            </w: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235.79</w:t>
            </w: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235.79</w:t>
            </w:r>
          </w:p>
        </w:tc>
        <w:tc>
          <w:tcPr>
            <w:tcW w:w="36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ascii="Times New Roman" w:hAnsi="Times New Roman" w:eastAsia="华文细黑" w:cs="Times New Roman"/>
                      <w:color w:val="000000"/>
                      <w:kern w:val="0"/>
                      <w:sz w:val="20"/>
                      <w:lang w:val="en-US" w:eastAsia="zh-CN" w:bidi="ar-SA"/>
                    </w:rPr>
                  </w:pPr>
                  <w:r>
                    <w:rPr>
                      <w:rFonts w:hint="eastAsia"/>
                      <w:sz w:val="18"/>
                      <w:szCs w:val="18"/>
                      <w:lang w:val="en-US" w:eastAsia="zh-CN"/>
                    </w:rPr>
                    <w:t>一、</w:t>
                  </w:r>
                  <w:r>
                    <w:rPr>
                      <w:rFonts w:hint="eastAsia"/>
                      <w:sz w:val="18"/>
                      <w:szCs w:val="18"/>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52"/>
                    </w:tabs>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15.23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52"/>
                    </w:tabs>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15.23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tabs>
                      <w:tab w:val="center" w:pos="1060"/>
                    </w:tabs>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15.23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15.23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11.82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2.89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2.89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rPr>
                  </w:pPr>
                  <w:r>
                    <w:rPr>
                      <w:rFonts w:hint="eastAsia" w:eastAsia="宋体"/>
                      <w:color w:val="000000"/>
                      <w:kern w:val="0"/>
                      <w:sz w:val="20"/>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二、</w:t>
                  </w:r>
                  <w:r>
                    <w:rPr>
                      <w:rFonts w:hint="eastAsia" w:eastAsia="宋体"/>
                      <w:color w:val="000000"/>
                      <w:kern w:val="0"/>
                      <w:sz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15"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三、交通运输支出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206.82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96.02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公路水路运输</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206.82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96.02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公路养护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206.82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96.02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四、</w:t>
                  </w:r>
                  <w:r>
                    <w:rPr>
                      <w:rFonts w:hint="eastAsia" w:eastAsia="宋体"/>
                      <w:color w:val="000000"/>
                      <w:kern w:val="0"/>
                      <w:sz w:val="20"/>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12"/>
                    </w:tabs>
                    <w:jc w:val="left"/>
                    <w:rPr>
                      <w:rFonts w:hint="default" w:eastAsia="宋体"/>
                      <w:color w:val="000000"/>
                      <w:kern w:val="0"/>
                      <w:sz w:val="20"/>
                      <w:lang w:val="en-US" w:eastAsia="zh-CN"/>
                    </w:rPr>
                  </w:pPr>
                  <w:r>
                    <w:rPr>
                      <w:rFonts w:hint="eastAsia" w:eastAsia="宋体"/>
                      <w:color w:val="000000"/>
                      <w:kern w:val="0"/>
                      <w:sz w:val="20"/>
                      <w:lang w:eastAsia="zh-CN"/>
                    </w:rPr>
                    <w:tab/>
                  </w:r>
                  <w:r>
                    <w:rPr>
                      <w:rFonts w:hint="eastAsia" w:eastAsia="宋体"/>
                      <w:color w:val="000000"/>
                      <w:kern w:val="0"/>
                      <w:sz w:val="20"/>
                      <w:lang w:val="en-US" w:eastAsia="zh-CN"/>
                    </w:rPr>
                    <w:t>8.86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12"/>
                    </w:tabs>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ab/>
                  </w:r>
                  <w:r>
                    <w:rPr>
                      <w:rFonts w:hint="eastAsia" w:eastAsia="宋体"/>
                      <w:color w:val="000000"/>
                      <w:kern w:val="0"/>
                      <w:sz w:val="20"/>
                      <w:lang w:val="en-US" w:eastAsia="zh-CN"/>
                    </w:rPr>
                    <w:t>8.86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235.79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124.99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235.79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235.79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256"/>
                      <w:tab w:val="right" w:pos="1067"/>
                    </w:tabs>
                    <w:jc w:val="center"/>
                    <w:rPr>
                      <w:rFonts w:eastAsia="宋体"/>
                      <w:kern w:val="0"/>
                      <w:sz w:val="20"/>
                    </w:rPr>
                  </w:pPr>
                  <w:r>
                    <w:rPr>
                      <w:rFonts w:hint="eastAsia" w:eastAsia="宋体"/>
                      <w:kern w:val="0"/>
                      <w:sz w:val="20"/>
                      <w:lang w:val="en-US" w:eastAsia="zh-CN"/>
                    </w:rPr>
                    <w:t>235.79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256"/>
                      <w:tab w:val="right" w:pos="1067"/>
                    </w:tabs>
                    <w:jc w:val="center"/>
                    <w:rPr>
                      <w:rFonts w:eastAsia="宋体"/>
                      <w:kern w:val="0"/>
                      <w:sz w:val="20"/>
                    </w:rPr>
                  </w:pPr>
                  <w:r>
                    <w:rPr>
                      <w:rFonts w:hint="eastAsia" w:eastAsia="宋体"/>
                      <w:kern w:val="0"/>
                      <w:sz w:val="20"/>
                      <w:lang w:val="en-US" w:eastAsia="zh-CN"/>
                    </w:rPr>
                    <w:t>235.79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15.23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15.23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4.88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4.88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十四、交通运输</w:t>
                  </w:r>
                  <w:r>
                    <w:rPr>
                      <w:rFonts w:hint="eastAsia" w:ascii="宋体" w:hAnsi="宋体" w:eastAsia="宋体" w:cs="宋体"/>
                      <w:b w:val="0"/>
                      <w:bCs/>
                      <w:kern w:val="0"/>
                      <w:sz w:val="20"/>
                      <w:lang w:val="en-US" w:eastAsia="zh-CN"/>
                    </w:rPr>
                    <w:t>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206.82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206.82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8.86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8.86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235.79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235.79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235.79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235.79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r>
                    <w:rPr>
                      <w:rFonts w:hint="eastAsia" w:eastAsia="黑体"/>
                      <w:kern w:val="0"/>
                      <w:sz w:val="20"/>
                      <w:lang w:val="en-US" w:eastAsia="zh-CN"/>
                    </w:rPr>
                    <w:t>235.79</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r>
                    <w:rPr>
                      <w:rFonts w:hint="eastAsia" w:eastAsia="黑体"/>
                      <w:kern w:val="0"/>
                      <w:sz w:val="20"/>
                      <w:lang w:val="en-US" w:eastAsia="zh-CN"/>
                    </w:rPr>
                    <w:t>235.79</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235.79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235.79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ascii="Times New Roman" w:hAnsi="Times New Roman" w:eastAsia="华文细黑" w:cs="Times New Roman"/>
                      <w:color w:val="000000"/>
                      <w:kern w:val="0"/>
                      <w:sz w:val="20"/>
                      <w:lang w:val="en-US" w:eastAsia="zh-CN" w:bidi="ar-SA"/>
                    </w:rPr>
                  </w:pPr>
                  <w:r>
                    <w:rPr>
                      <w:rFonts w:hint="eastAsia"/>
                      <w:sz w:val="18"/>
                      <w:szCs w:val="18"/>
                      <w:lang w:val="en-US" w:eastAsia="zh-CN"/>
                    </w:rPr>
                    <w:t>一、</w:t>
                  </w:r>
                  <w:r>
                    <w:rPr>
                      <w:rFonts w:hint="eastAsia"/>
                      <w:sz w:val="18"/>
                      <w:szCs w:val="18"/>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52"/>
                    </w:tabs>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15.23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52"/>
                    </w:tabs>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15.23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52"/>
                    </w:tabs>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15.23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tabs>
                      <w:tab w:val="center" w:pos="1060"/>
                    </w:tabs>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ab/>
                  </w:r>
                  <w:r>
                    <w:rPr>
                      <w:rFonts w:hint="eastAsia" w:eastAsia="宋体"/>
                      <w:color w:val="000000"/>
                      <w:kern w:val="0"/>
                      <w:sz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15.23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15.23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15.23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二、</w:t>
                  </w:r>
                  <w:r>
                    <w:rPr>
                      <w:rFonts w:hint="eastAsia" w:eastAsia="宋体"/>
                      <w:color w:val="000000"/>
                      <w:kern w:val="0"/>
                      <w:sz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5"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三、交通运输支出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206.82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96.02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88.34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公路水路运输</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206.82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96.02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88.34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110.8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公路养护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206.82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96.02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88.34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110.8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四、</w:t>
                  </w:r>
                  <w:r>
                    <w:rPr>
                      <w:rFonts w:hint="eastAsia" w:eastAsia="宋体"/>
                      <w:color w:val="000000"/>
                      <w:kern w:val="0"/>
                      <w:sz w:val="20"/>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12"/>
                    </w:tabs>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ab/>
                  </w:r>
                  <w:r>
                    <w:rPr>
                      <w:rFonts w:hint="eastAsia" w:eastAsia="宋体"/>
                      <w:color w:val="000000"/>
                      <w:kern w:val="0"/>
                      <w:sz w:val="20"/>
                      <w:lang w:val="en-US" w:eastAsia="zh-CN"/>
                    </w:rPr>
                    <w:t>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12"/>
                    </w:tabs>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12"/>
                    </w:tabs>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235.79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124.99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117.31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110.8</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63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48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both"/>
              <w:textAlignment w:val="center"/>
              <w:rPr>
                <w:rFonts w:eastAsia="宋体"/>
                <w:color w:val="000000"/>
                <w:kern w:val="0"/>
                <w:sz w:val="20"/>
              </w:rPr>
            </w:pPr>
            <w:r>
              <w:rPr>
                <w:rFonts w:hint="eastAsia" w:eastAsia="宋体"/>
                <w:b/>
                <w:bCs/>
                <w:color w:val="000000"/>
                <w:sz w:val="20"/>
                <w:lang w:val="en-US" w:eastAsia="zh-CN"/>
              </w:rPr>
              <w:t>一、</w:t>
            </w:r>
            <w:r>
              <w:rPr>
                <w:rFonts w:hint="eastAsia" w:eastAsia="宋体"/>
                <w:b/>
                <w:bCs/>
                <w:color w:val="000000"/>
                <w:sz w:val="20"/>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103.84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103.84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41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both"/>
              <w:textAlignment w:val="center"/>
              <w:rPr>
                <w:rFonts w:eastAsia="宋体"/>
                <w:color w:val="000000"/>
                <w:kern w:val="0"/>
                <w:sz w:val="20"/>
              </w:rPr>
            </w:pPr>
            <w:r>
              <w:rPr>
                <w:rFonts w:hint="eastAsia"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40.68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40.68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9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both"/>
              <w:textAlignment w:val="center"/>
              <w:rPr>
                <w:rFonts w:eastAsia="宋体"/>
                <w:color w:val="000000"/>
                <w:kern w:val="0"/>
                <w:sz w:val="20"/>
              </w:rPr>
            </w:pPr>
            <w:r>
              <w:rPr>
                <w:rFonts w:hint="eastAsia"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2.62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2.62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both"/>
              <w:textAlignment w:val="center"/>
              <w:rPr>
                <w:rFonts w:eastAsia="宋体"/>
                <w:color w:val="000000"/>
                <w:kern w:val="0"/>
                <w:sz w:val="20"/>
              </w:rPr>
            </w:pPr>
            <w:r>
              <w:rPr>
                <w:rFonts w:hint="eastAsia"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8.19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8.19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47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both"/>
              <w:textAlignment w:val="center"/>
              <w:rPr>
                <w:rFonts w:eastAsia="宋体"/>
                <w:kern w:val="0"/>
                <w:sz w:val="20"/>
              </w:rPr>
            </w:pPr>
            <w:r>
              <w:rPr>
                <w:rFonts w:hint="eastAsia" w:eastAsia="宋体"/>
                <w:color w:val="000000"/>
                <w:sz w:val="20"/>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22.36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49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both"/>
              <w:textAlignment w:val="center"/>
              <w:rPr>
                <w:rFonts w:eastAsia="宋体"/>
                <w:color w:val="000000"/>
                <w:sz w:val="20"/>
              </w:rPr>
            </w:pPr>
            <w:r>
              <w:rPr>
                <w:rFonts w:hint="eastAsia" w:eastAsia="宋体"/>
                <w:color w:val="000000"/>
                <w:sz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11.82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11.82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both"/>
              <w:textAlignment w:val="center"/>
              <w:rPr>
                <w:rFonts w:eastAsia="宋体"/>
                <w:color w:val="000000"/>
                <w:sz w:val="20"/>
              </w:rPr>
            </w:pPr>
            <w:r>
              <w:rPr>
                <w:rFonts w:hint="eastAsia" w:eastAsia="宋体"/>
                <w:color w:val="00000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2.89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2.89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both"/>
              <w:textAlignment w:val="center"/>
              <w:rPr>
                <w:rFonts w:eastAsia="宋体"/>
                <w:color w:val="000000"/>
                <w:sz w:val="20"/>
              </w:rPr>
            </w:pPr>
            <w:r>
              <w:rPr>
                <w:rFonts w:hint="eastAsia" w:eastAsia="宋体"/>
                <w:color w:val="00000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4.73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41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both"/>
              <w:textAlignment w:val="center"/>
              <w:rPr>
                <w:rFonts w:eastAsia="宋体"/>
                <w:color w:val="000000"/>
                <w:sz w:val="20"/>
              </w:rPr>
            </w:pPr>
            <w:r>
              <w:rPr>
                <w:rFonts w:hint="eastAsia" w:eastAsia="宋体"/>
                <w:color w:val="000000"/>
                <w:sz w:val="20"/>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0.67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0.67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both"/>
              <w:textAlignment w:val="center"/>
              <w:rPr>
                <w:rFonts w:eastAsia="宋体"/>
                <w:color w:val="000000"/>
                <w:sz w:val="20"/>
              </w:rPr>
            </w:pPr>
            <w:r>
              <w:rPr>
                <w:rFonts w:hint="eastAsia" w:eastAsia="宋体"/>
                <w:color w:val="000000"/>
                <w:sz w:val="20"/>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8.86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both"/>
              <w:textAlignment w:val="center"/>
              <w:rPr>
                <w:rFonts w:eastAsia="宋体"/>
                <w:color w:val="000000"/>
                <w:sz w:val="20"/>
              </w:rPr>
            </w:pPr>
            <w:r>
              <w:rPr>
                <w:rFonts w:hint="eastAsia"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41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tabs>
                <w:tab w:val="left" w:pos="390"/>
              </w:tabs>
              <w:autoSpaceDN w:val="0"/>
              <w:jc w:val="both"/>
              <w:textAlignment w:val="center"/>
              <w:rPr>
                <w:rFonts w:eastAsia="宋体"/>
                <w:color w:val="000000"/>
                <w:sz w:val="20"/>
              </w:rPr>
            </w:pPr>
            <w:r>
              <w:rPr>
                <w:rFonts w:hint="eastAsia" w:eastAsia="宋体"/>
                <w:b/>
                <w:bCs/>
                <w:color w:val="000000"/>
                <w:sz w:val="20"/>
                <w:lang w:val="en-US" w:eastAsia="zh-CN"/>
              </w:rPr>
              <w:t>二、</w:t>
            </w:r>
            <w:r>
              <w:rPr>
                <w:rFonts w:hint="eastAsia" w:eastAsia="宋体"/>
                <w:b/>
                <w:bCs/>
                <w:color w:val="000000"/>
                <w:sz w:val="20"/>
              </w:rPr>
              <w:t>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7.68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7.68</w:t>
            </w:r>
          </w:p>
        </w:tc>
      </w:tr>
      <w:tr>
        <w:tblPrEx>
          <w:tblCellMar>
            <w:top w:w="0" w:type="dxa"/>
            <w:left w:w="108" w:type="dxa"/>
            <w:bottom w:w="0" w:type="dxa"/>
            <w:right w:w="108" w:type="dxa"/>
          </w:tblCellMar>
        </w:tblPrEx>
        <w:trPr>
          <w:trHeight w:val="42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both"/>
              <w:textAlignment w:val="center"/>
              <w:rPr>
                <w:rFonts w:eastAsia="宋体"/>
                <w:color w:val="000000"/>
                <w:sz w:val="20"/>
              </w:rPr>
            </w:pPr>
            <w:r>
              <w:rPr>
                <w:rFonts w:hint="eastAsia"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0.4</w:t>
            </w:r>
          </w:p>
        </w:tc>
      </w:tr>
      <w:tr>
        <w:tblPrEx>
          <w:tblCellMar>
            <w:top w:w="0" w:type="dxa"/>
            <w:left w:w="108" w:type="dxa"/>
            <w:bottom w:w="0" w:type="dxa"/>
            <w:right w:w="108" w:type="dxa"/>
          </w:tblCellMar>
        </w:tblPrEx>
        <w:trPr>
          <w:trHeight w:val="41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both"/>
              <w:textAlignment w:val="center"/>
              <w:rPr>
                <w:rFonts w:eastAsia="宋体"/>
                <w:color w:val="000000"/>
                <w:sz w:val="20"/>
              </w:rPr>
            </w:pPr>
            <w:r>
              <w:rPr>
                <w:rFonts w:hint="eastAsia" w:eastAsia="宋体"/>
                <w:color w:val="000000"/>
                <w:sz w:val="20"/>
              </w:rPr>
              <w:t>邮电费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0.48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0.48</w:t>
            </w:r>
          </w:p>
        </w:tc>
      </w:tr>
      <w:tr>
        <w:tblPrEx>
          <w:tblCellMar>
            <w:top w:w="0" w:type="dxa"/>
            <w:left w:w="108" w:type="dxa"/>
            <w:bottom w:w="0" w:type="dxa"/>
            <w:right w:w="108" w:type="dxa"/>
          </w:tblCellMar>
        </w:tblPrEx>
        <w:trPr>
          <w:trHeight w:val="39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both"/>
              <w:textAlignment w:val="center"/>
              <w:rPr>
                <w:rFonts w:eastAsia="宋体"/>
                <w:color w:val="000000"/>
                <w:sz w:val="20"/>
              </w:rPr>
            </w:pPr>
            <w:r>
              <w:rPr>
                <w:rFonts w:hint="eastAsia" w:eastAsia="宋体"/>
                <w:color w:val="000000"/>
                <w:sz w:val="20"/>
              </w:rPr>
              <w:t>差旅费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1.8</w:t>
            </w: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both"/>
              <w:textAlignment w:val="center"/>
              <w:rPr>
                <w:rFonts w:eastAsia="宋体"/>
                <w:color w:val="000000"/>
                <w:sz w:val="20"/>
              </w:rPr>
            </w:pPr>
            <w:r>
              <w:rPr>
                <w:rFonts w:hint="eastAsia" w:eastAsia="宋体"/>
                <w:color w:val="000000"/>
                <w:sz w:val="20"/>
              </w:rPr>
              <w:t>公务用车运行维护费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5</w:t>
            </w:r>
          </w:p>
        </w:tc>
      </w:tr>
      <w:tr>
        <w:tblPrEx>
          <w:tblCellMar>
            <w:top w:w="0" w:type="dxa"/>
            <w:left w:w="108" w:type="dxa"/>
            <w:bottom w:w="0" w:type="dxa"/>
            <w:right w:w="108" w:type="dxa"/>
          </w:tblCellMar>
        </w:tblPrEx>
        <w:trPr>
          <w:trHeight w:val="48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both"/>
              <w:textAlignment w:val="center"/>
              <w:rPr>
                <w:rFonts w:eastAsia="宋体"/>
                <w:color w:val="000000"/>
                <w:sz w:val="20"/>
              </w:rPr>
            </w:pPr>
            <w:r>
              <w:rPr>
                <w:rFonts w:hint="eastAsia" w:eastAsia="宋体"/>
                <w:b/>
                <w:bCs/>
                <w:color w:val="000000"/>
                <w:sz w:val="20"/>
                <w:lang w:val="en-US" w:eastAsia="zh-CN"/>
              </w:rPr>
              <w:t>三、</w:t>
            </w:r>
            <w:r>
              <w:rPr>
                <w:rFonts w:hint="eastAsia" w:eastAsia="宋体"/>
                <w:b/>
                <w:bCs/>
                <w:color w:val="000000"/>
                <w:sz w:val="20"/>
              </w:rPr>
              <w:t>对个人和家庭的补助</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13.47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13.47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both"/>
              <w:textAlignment w:val="center"/>
              <w:rPr>
                <w:rFonts w:eastAsia="宋体"/>
                <w:color w:val="000000"/>
                <w:sz w:val="20"/>
              </w:rPr>
            </w:pPr>
            <w:r>
              <w:rPr>
                <w:rFonts w:hint="eastAsia" w:eastAsia="宋体"/>
                <w:color w:val="000000"/>
                <w:sz w:val="20"/>
              </w:rPr>
              <w:t>退休费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13.47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13.47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both"/>
              <w:textAlignment w:val="center"/>
              <w:rPr>
                <w:rFonts w:hint="default" w:eastAsia="宋体"/>
                <w:color w:val="000000"/>
                <w:sz w:val="20"/>
                <w:lang w:val="en-US" w:eastAsia="zh-CN"/>
              </w:rPr>
            </w:pPr>
            <w:r>
              <w:rPr>
                <w:rFonts w:hint="eastAsia" w:eastAsia="宋体"/>
                <w:color w:val="000000"/>
                <w:sz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124.99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lang w:val="en-US"/>
              </w:rPr>
            </w:pPr>
            <w:r>
              <w:rPr>
                <w:rFonts w:hint="eastAsia" w:eastAsia="宋体"/>
                <w:kern w:val="0"/>
                <w:sz w:val="20"/>
                <w:lang w:val="en-US" w:eastAsia="zh-CN"/>
              </w:rPr>
              <w:t>117.31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eastAsia="宋体"/>
                <w:kern w:val="0"/>
                <w:sz w:val="20"/>
                <w:lang w:val="en-US" w:eastAsia="zh-CN"/>
              </w:rPr>
              <w:t>7.68</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5</w:t>
            </w:r>
          </w:p>
        </w:tc>
        <w:tc>
          <w:tcPr>
            <w:tcW w:w="1378"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5</w:t>
            </w:r>
          </w:p>
        </w:tc>
        <w:tc>
          <w:tcPr>
            <w:tcW w:w="1378"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5</w:t>
            </w:r>
          </w:p>
        </w:tc>
        <w:tc>
          <w:tcPr>
            <w:tcW w:w="1378"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39</w:t>
            </w:r>
            <w:r>
              <w:rPr>
                <w:rFonts w:eastAsia="宋体"/>
                <w:color w:val="000000"/>
                <w:kern w:val="0"/>
                <w:sz w:val="28"/>
                <w:szCs w:val="28"/>
                <w:u w:val="single"/>
              </w:rPr>
              <w:t xml:space="preserve"> </w:t>
            </w:r>
            <w:r>
              <w:rPr>
                <w:color w:val="000000"/>
                <w:kern w:val="0"/>
                <w:sz w:val="28"/>
                <w:szCs w:val="28"/>
              </w:rPr>
              <w:t>人，其中：在职人员</w:t>
            </w:r>
            <w:r>
              <w:rPr>
                <w:rFonts w:hint="eastAsia" w:eastAsia="宋体"/>
                <w:color w:val="000000"/>
                <w:kern w:val="0"/>
                <w:sz w:val="28"/>
                <w:szCs w:val="28"/>
                <w:u w:val="single"/>
                <w:lang w:val="en-US" w:eastAsia="zh-CN"/>
              </w:rPr>
              <w:t>8</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31</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439"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770"/>
        <w:gridCol w:w="705"/>
        <w:gridCol w:w="435"/>
        <w:gridCol w:w="465"/>
        <w:gridCol w:w="480"/>
        <w:gridCol w:w="495"/>
        <w:gridCol w:w="470"/>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7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05"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313"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77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05"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445"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770" w:type="dxa"/>
            <w:vMerge w:val="continue"/>
            <w:noWrap w:val="0"/>
            <w:vAlign w:val="center"/>
          </w:tcPr>
          <w:p>
            <w:pPr>
              <w:autoSpaceDN w:val="0"/>
              <w:jc w:val="center"/>
              <w:textAlignment w:val="center"/>
              <w:rPr>
                <w:rFonts w:ascii="Calibri" w:hAnsi="Calibri" w:eastAsia="华文细黑"/>
                <w:color w:val="000000"/>
                <w:sz w:val="20"/>
                <w:szCs w:val="22"/>
              </w:rPr>
            </w:pPr>
          </w:p>
        </w:tc>
        <w:tc>
          <w:tcPr>
            <w:tcW w:w="70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3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6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48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9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7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exact"/>
          <w:jc w:val="center"/>
        </w:trPr>
        <w:tc>
          <w:tcPr>
            <w:tcW w:w="759" w:type="dxa"/>
            <w:noWrap w:val="0"/>
            <w:vAlign w:val="center"/>
          </w:tcPr>
          <w:p>
            <w:pPr>
              <w:spacing w:line="240" w:lineRule="auto"/>
              <w:jc w:val="center"/>
              <w:rPr>
                <w:rFonts w:hint="default" w:ascii="Times New Roman" w:hAnsi="Times New Roman" w:eastAsia="楷体" w:cs="Times New Roman"/>
                <w:kern w:val="0"/>
                <w:sz w:val="20"/>
                <w:szCs w:val="20"/>
                <w:lang w:val="en-US" w:eastAsia="zh-CN"/>
              </w:rPr>
            </w:pPr>
            <w:r>
              <w:rPr>
                <w:rFonts w:hint="default" w:ascii="Times New Roman" w:hAnsi="Times New Roman" w:eastAsia="楷体" w:cs="Times New Roman"/>
                <w:kern w:val="0"/>
                <w:sz w:val="20"/>
                <w:szCs w:val="20"/>
                <w:lang w:val="en-US" w:eastAsia="zh-CN"/>
              </w:rPr>
              <w:t>311-专项业务支出</w:t>
            </w:r>
          </w:p>
        </w:tc>
        <w:tc>
          <w:tcPr>
            <w:tcW w:w="1063" w:type="dxa"/>
            <w:noWrap w:val="0"/>
            <w:vAlign w:val="center"/>
          </w:tcPr>
          <w:p>
            <w:pPr>
              <w:spacing w:line="240" w:lineRule="auto"/>
              <w:jc w:val="center"/>
              <w:rPr>
                <w:rFonts w:hint="default" w:ascii="Times New Roman" w:hAnsi="Times New Roman" w:eastAsia="楷体" w:cs="Times New Roman"/>
                <w:kern w:val="0"/>
                <w:sz w:val="20"/>
                <w:szCs w:val="20"/>
              </w:rPr>
            </w:pPr>
          </w:p>
          <w:p>
            <w:pPr>
              <w:spacing w:line="240" w:lineRule="auto"/>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交通运输局2024年驻村工作队生活补贴</w:t>
            </w:r>
          </w:p>
        </w:tc>
        <w:tc>
          <w:tcPr>
            <w:tcW w:w="1107" w:type="dxa"/>
            <w:noWrap w:val="0"/>
            <w:vAlign w:val="center"/>
          </w:tcPr>
          <w:p>
            <w:pPr>
              <w:spacing w:line="240" w:lineRule="auto"/>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通榆县公路管理段2024年驻村工作队生活补贴</w:t>
            </w:r>
          </w:p>
        </w:tc>
        <w:tc>
          <w:tcPr>
            <w:tcW w:w="864" w:type="dxa"/>
            <w:noWrap w:val="0"/>
            <w:vAlign w:val="center"/>
          </w:tcPr>
          <w:p>
            <w:pPr>
              <w:spacing w:line="240" w:lineRule="auto"/>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通榆县公路管理段</w:t>
            </w:r>
          </w:p>
        </w:tc>
        <w:tc>
          <w:tcPr>
            <w:tcW w:w="770" w:type="dxa"/>
            <w:noWrap w:val="0"/>
            <w:vAlign w:val="center"/>
          </w:tcPr>
          <w:p>
            <w:pPr>
              <w:spacing w:line="240" w:lineRule="auto"/>
              <w:jc w:val="center"/>
              <w:rPr>
                <w:rFonts w:hint="default" w:ascii="Times New Roman" w:hAnsi="Times New Roman" w:eastAsia="楷体" w:cs="Times New Roman"/>
                <w:kern w:val="0"/>
                <w:sz w:val="20"/>
                <w:szCs w:val="20"/>
                <w:lang w:val="en-US" w:eastAsia="zh-CN"/>
              </w:rPr>
            </w:pPr>
            <w:r>
              <w:rPr>
                <w:rFonts w:hint="eastAsia" w:eastAsia="楷体" w:cs="Times New Roman"/>
                <w:kern w:val="0"/>
                <w:sz w:val="20"/>
                <w:szCs w:val="20"/>
                <w:lang w:val="en-US" w:eastAsia="zh-CN"/>
              </w:rPr>
              <w:t>10.8</w:t>
            </w:r>
          </w:p>
        </w:tc>
        <w:tc>
          <w:tcPr>
            <w:tcW w:w="705" w:type="dxa"/>
            <w:noWrap w:val="0"/>
            <w:vAlign w:val="center"/>
          </w:tcPr>
          <w:p>
            <w:pPr>
              <w:spacing w:line="240" w:lineRule="auto"/>
              <w:jc w:val="center"/>
              <w:rPr>
                <w:rFonts w:hint="default" w:ascii="Times New Roman" w:hAnsi="Times New Roman" w:eastAsia="楷体" w:cs="Times New Roman"/>
                <w:kern w:val="0"/>
                <w:sz w:val="20"/>
                <w:szCs w:val="20"/>
                <w:lang w:val="en-US" w:eastAsia="zh-CN"/>
              </w:rPr>
            </w:pPr>
            <w:r>
              <w:rPr>
                <w:rFonts w:hint="eastAsia" w:eastAsia="楷体" w:cs="Times New Roman"/>
                <w:kern w:val="0"/>
                <w:sz w:val="20"/>
                <w:szCs w:val="20"/>
                <w:lang w:val="en-US" w:eastAsia="zh-CN"/>
              </w:rPr>
              <w:t>10.8</w:t>
            </w:r>
          </w:p>
        </w:tc>
        <w:tc>
          <w:tcPr>
            <w:tcW w:w="435" w:type="dxa"/>
            <w:noWrap w:val="0"/>
            <w:vAlign w:val="center"/>
          </w:tcPr>
          <w:p>
            <w:pPr>
              <w:spacing w:line="240" w:lineRule="auto"/>
              <w:jc w:val="both"/>
              <w:rPr>
                <w:rFonts w:hint="default" w:ascii="Times New Roman" w:hAnsi="Times New Roman" w:eastAsia="楷体" w:cs="Times New Roman"/>
                <w:kern w:val="0"/>
                <w:sz w:val="20"/>
                <w:szCs w:val="20"/>
              </w:rPr>
            </w:pPr>
          </w:p>
        </w:tc>
        <w:tc>
          <w:tcPr>
            <w:tcW w:w="465" w:type="dxa"/>
            <w:noWrap w:val="0"/>
            <w:vAlign w:val="center"/>
          </w:tcPr>
          <w:p>
            <w:pPr>
              <w:spacing w:line="240" w:lineRule="auto"/>
              <w:jc w:val="both"/>
              <w:rPr>
                <w:rFonts w:hint="default" w:ascii="Times New Roman" w:hAnsi="Times New Roman" w:eastAsia="楷体" w:cs="Times New Roman"/>
                <w:kern w:val="0"/>
                <w:sz w:val="20"/>
                <w:szCs w:val="20"/>
              </w:rPr>
            </w:pPr>
          </w:p>
        </w:tc>
        <w:tc>
          <w:tcPr>
            <w:tcW w:w="480" w:type="dxa"/>
            <w:noWrap w:val="0"/>
            <w:vAlign w:val="center"/>
          </w:tcPr>
          <w:p>
            <w:pPr>
              <w:spacing w:line="240" w:lineRule="auto"/>
              <w:jc w:val="both"/>
              <w:rPr>
                <w:rFonts w:hint="default" w:ascii="Times New Roman" w:hAnsi="Times New Roman" w:eastAsia="楷体" w:cs="Times New Roman"/>
                <w:kern w:val="0"/>
                <w:sz w:val="20"/>
                <w:szCs w:val="20"/>
              </w:rPr>
            </w:pPr>
          </w:p>
        </w:tc>
        <w:tc>
          <w:tcPr>
            <w:tcW w:w="495" w:type="dxa"/>
            <w:noWrap w:val="0"/>
            <w:vAlign w:val="center"/>
          </w:tcPr>
          <w:p>
            <w:pPr>
              <w:spacing w:line="240" w:lineRule="auto"/>
              <w:jc w:val="both"/>
              <w:rPr>
                <w:rFonts w:hint="default" w:ascii="Times New Roman" w:hAnsi="Times New Roman" w:eastAsia="楷体" w:cs="Times New Roman"/>
                <w:kern w:val="0"/>
                <w:sz w:val="20"/>
                <w:szCs w:val="20"/>
              </w:rPr>
            </w:pPr>
          </w:p>
        </w:tc>
        <w:tc>
          <w:tcPr>
            <w:tcW w:w="470" w:type="dxa"/>
            <w:noWrap w:val="0"/>
            <w:vAlign w:val="center"/>
          </w:tcPr>
          <w:p>
            <w:pPr>
              <w:spacing w:line="240" w:lineRule="auto"/>
              <w:jc w:val="both"/>
              <w:rPr>
                <w:rFonts w:hint="default" w:ascii="Times New Roman" w:hAnsi="Times New Roman" w:eastAsia="楷体" w:cs="Times New Roman"/>
                <w:kern w:val="0"/>
                <w:sz w:val="20"/>
                <w:szCs w:val="20"/>
              </w:rPr>
            </w:pPr>
          </w:p>
        </w:tc>
        <w:tc>
          <w:tcPr>
            <w:tcW w:w="443" w:type="dxa"/>
            <w:noWrap w:val="0"/>
            <w:vAlign w:val="center"/>
          </w:tcPr>
          <w:p>
            <w:pPr>
              <w:spacing w:line="240" w:lineRule="auto"/>
              <w:jc w:val="both"/>
              <w:rPr>
                <w:rFonts w:hint="default" w:ascii="Times New Roman" w:hAnsi="Times New Roman" w:eastAsia="楷体" w:cs="Times New Roman"/>
                <w:kern w:val="0"/>
                <w:sz w:val="20"/>
                <w:szCs w:val="20"/>
              </w:rPr>
            </w:pPr>
          </w:p>
        </w:tc>
        <w:tc>
          <w:tcPr>
            <w:tcW w:w="425" w:type="dxa"/>
            <w:noWrap w:val="0"/>
            <w:vAlign w:val="center"/>
          </w:tcPr>
          <w:p>
            <w:pPr>
              <w:spacing w:line="240" w:lineRule="auto"/>
              <w:jc w:val="both"/>
              <w:rPr>
                <w:rFonts w:hint="default" w:ascii="Times New Roman" w:hAnsi="Times New Roman" w:eastAsia="楷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7" w:hRule="exact"/>
          <w:jc w:val="center"/>
        </w:trPr>
        <w:tc>
          <w:tcPr>
            <w:tcW w:w="759" w:type="dxa"/>
            <w:noWrap w:val="0"/>
            <w:vAlign w:val="center"/>
          </w:tcPr>
          <w:p>
            <w:pPr>
              <w:spacing w:line="240" w:lineRule="auto"/>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lang w:val="en-US" w:eastAsia="zh-CN"/>
              </w:rPr>
              <w:t>311-专项业务支出</w:t>
            </w:r>
          </w:p>
        </w:tc>
        <w:tc>
          <w:tcPr>
            <w:tcW w:w="1063" w:type="dxa"/>
            <w:noWrap w:val="0"/>
            <w:vAlign w:val="center"/>
          </w:tcPr>
          <w:p>
            <w:pPr>
              <w:spacing w:line="240" w:lineRule="auto"/>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公路管理段2024年体制下划经费</w:t>
            </w:r>
          </w:p>
        </w:tc>
        <w:tc>
          <w:tcPr>
            <w:tcW w:w="1107" w:type="dxa"/>
            <w:noWrap w:val="0"/>
            <w:vAlign w:val="center"/>
          </w:tcPr>
          <w:p>
            <w:pPr>
              <w:spacing w:line="240" w:lineRule="auto"/>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通榆县公路管理段2024年体制下划经费</w:t>
            </w:r>
          </w:p>
        </w:tc>
        <w:tc>
          <w:tcPr>
            <w:tcW w:w="864" w:type="dxa"/>
            <w:noWrap w:val="0"/>
            <w:vAlign w:val="center"/>
          </w:tcPr>
          <w:p>
            <w:pPr>
              <w:spacing w:line="240" w:lineRule="auto"/>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通榆县公路管理段</w:t>
            </w:r>
          </w:p>
        </w:tc>
        <w:tc>
          <w:tcPr>
            <w:tcW w:w="770" w:type="dxa"/>
            <w:noWrap w:val="0"/>
            <w:vAlign w:val="center"/>
          </w:tcPr>
          <w:p>
            <w:pPr>
              <w:spacing w:line="240" w:lineRule="auto"/>
              <w:jc w:val="center"/>
              <w:rPr>
                <w:rFonts w:hint="default" w:ascii="Times New Roman" w:hAnsi="Times New Roman" w:eastAsia="楷体" w:cs="Times New Roman"/>
                <w:kern w:val="0"/>
                <w:sz w:val="20"/>
                <w:szCs w:val="20"/>
                <w:lang w:val="en-US" w:eastAsia="zh-CN"/>
              </w:rPr>
            </w:pPr>
            <w:r>
              <w:rPr>
                <w:rFonts w:hint="eastAsia" w:eastAsia="楷体" w:cs="Times New Roman"/>
                <w:kern w:val="0"/>
                <w:sz w:val="20"/>
                <w:szCs w:val="20"/>
                <w:lang w:val="en-US" w:eastAsia="zh-CN"/>
              </w:rPr>
              <w:t>100</w:t>
            </w:r>
          </w:p>
        </w:tc>
        <w:tc>
          <w:tcPr>
            <w:tcW w:w="705" w:type="dxa"/>
            <w:noWrap w:val="0"/>
            <w:vAlign w:val="center"/>
          </w:tcPr>
          <w:p>
            <w:pPr>
              <w:spacing w:line="240" w:lineRule="auto"/>
              <w:jc w:val="center"/>
              <w:rPr>
                <w:rFonts w:hint="default" w:ascii="Times New Roman" w:hAnsi="Times New Roman" w:eastAsia="楷体" w:cs="Times New Roman"/>
                <w:kern w:val="0"/>
                <w:sz w:val="20"/>
                <w:szCs w:val="20"/>
                <w:lang w:val="en-US" w:eastAsia="zh-CN"/>
              </w:rPr>
            </w:pPr>
            <w:r>
              <w:rPr>
                <w:rFonts w:hint="eastAsia" w:eastAsia="楷体" w:cs="Times New Roman"/>
                <w:kern w:val="0"/>
                <w:sz w:val="20"/>
                <w:szCs w:val="20"/>
                <w:lang w:val="en-US" w:eastAsia="zh-CN"/>
              </w:rPr>
              <w:t>100</w:t>
            </w:r>
          </w:p>
        </w:tc>
        <w:tc>
          <w:tcPr>
            <w:tcW w:w="435" w:type="dxa"/>
            <w:noWrap w:val="0"/>
            <w:vAlign w:val="center"/>
          </w:tcPr>
          <w:p>
            <w:pPr>
              <w:spacing w:line="240" w:lineRule="auto"/>
              <w:jc w:val="both"/>
              <w:rPr>
                <w:rFonts w:hint="default" w:ascii="Times New Roman" w:hAnsi="Times New Roman" w:eastAsia="楷体" w:cs="Times New Roman"/>
                <w:kern w:val="0"/>
                <w:sz w:val="20"/>
                <w:szCs w:val="20"/>
              </w:rPr>
            </w:pPr>
          </w:p>
        </w:tc>
        <w:tc>
          <w:tcPr>
            <w:tcW w:w="465" w:type="dxa"/>
            <w:noWrap w:val="0"/>
            <w:vAlign w:val="center"/>
          </w:tcPr>
          <w:p>
            <w:pPr>
              <w:spacing w:line="240" w:lineRule="auto"/>
              <w:jc w:val="both"/>
              <w:rPr>
                <w:rFonts w:hint="default" w:ascii="Times New Roman" w:hAnsi="Times New Roman" w:eastAsia="楷体" w:cs="Times New Roman"/>
                <w:kern w:val="0"/>
                <w:sz w:val="20"/>
                <w:szCs w:val="20"/>
              </w:rPr>
            </w:pPr>
          </w:p>
        </w:tc>
        <w:tc>
          <w:tcPr>
            <w:tcW w:w="480" w:type="dxa"/>
            <w:noWrap w:val="0"/>
            <w:vAlign w:val="center"/>
          </w:tcPr>
          <w:p>
            <w:pPr>
              <w:spacing w:line="240" w:lineRule="auto"/>
              <w:jc w:val="both"/>
              <w:rPr>
                <w:rFonts w:hint="default" w:ascii="Times New Roman" w:hAnsi="Times New Roman" w:eastAsia="楷体" w:cs="Times New Roman"/>
                <w:kern w:val="0"/>
                <w:sz w:val="20"/>
                <w:szCs w:val="20"/>
              </w:rPr>
            </w:pPr>
          </w:p>
        </w:tc>
        <w:tc>
          <w:tcPr>
            <w:tcW w:w="495" w:type="dxa"/>
            <w:noWrap w:val="0"/>
            <w:vAlign w:val="center"/>
          </w:tcPr>
          <w:p>
            <w:pPr>
              <w:spacing w:line="240" w:lineRule="auto"/>
              <w:jc w:val="both"/>
              <w:rPr>
                <w:rFonts w:hint="default" w:ascii="Times New Roman" w:hAnsi="Times New Roman" w:eastAsia="楷体" w:cs="Times New Roman"/>
                <w:kern w:val="0"/>
                <w:sz w:val="20"/>
                <w:szCs w:val="20"/>
              </w:rPr>
            </w:pPr>
          </w:p>
        </w:tc>
        <w:tc>
          <w:tcPr>
            <w:tcW w:w="470" w:type="dxa"/>
            <w:noWrap w:val="0"/>
            <w:vAlign w:val="center"/>
          </w:tcPr>
          <w:p>
            <w:pPr>
              <w:spacing w:line="240" w:lineRule="auto"/>
              <w:jc w:val="both"/>
              <w:rPr>
                <w:rFonts w:hint="default" w:ascii="Times New Roman" w:hAnsi="Times New Roman" w:eastAsia="楷体" w:cs="Times New Roman"/>
                <w:kern w:val="0"/>
                <w:sz w:val="20"/>
                <w:szCs w:val="20"/>
              </w:rPr>
            </w:pPr>
          </w:p>
        </w:tc>
        <w:tc>
          <w:tcPr>
            <w:tcW w:w="443" w:type="dxa"/>
            <w:noWrap w:val="0"/>
            <w:vAlign w:val="center"/>
          </w:tcPr>
          <w:p>
            <w:pPr>
              <w:spacing w:line="240" w:lineRule="auto"/>
              <w:jc w:val="both"/>
              <w:rPr>
                <w:rFonts w:hint="default" w:ascii="Times New Roman" w:hAnsi="Times New Roman" w:eastAsia="楷体" w:cs="Times New Roman"/>
                <w:kern w:val="0"/>
                <w:sz w:val="20"/>
                <w:szCs w:val="20"/>
              </w:rPr>
            </w:pPr>
          </w:p>
        </w:tc>
        <w:tc>
          <w:tcPr>
            <w:tcW w:w="425" w:type="dxa"/>
            <w:noWrap w:val="0"/>
            <w:vAlign w:val="center"/>
          </w:tcPr>
          <w:p>
            <w:pPr>
              <w:spacing w:line="240" w:lineRule="auto"/>
              <w:jc w:val="both"/>
              <w:rPr>
                <w:rFonts w:hint="default" w:ascii="Times New Roman" w:hAnsi="Times New Roman" w:eastAsia="楷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2" w:hRule="exact"/>
          <w:jc w:val="center"/>
        </w:trPr>
        <w:tc>
          <w:tcPr>
            <w:tcW w:w="759" w:type="dxa"/>
            <w:noWrap w:val="0"/>
            <w:vAlign w:val="center"/>
          </w:tcPr>
          <w:p>
            <w:pPr>
              <w:autoSpaceDN w:val="0"/>
              <w:spacing w:line="240" w:lineRule="auto"/>
              <w:jc w:val="both"/>
              <w:textAlignment w:val="center"/>
              <w:rPr>
                <w:rFonts w:hint="default" w:ascii="Times New Roman" w:hAnsi="Times New Roman" w:eastAsia="华文细黑" w:cs="Times New Roman"/>
                <w:color w:val="000000"/>
                <w:sz w:val="20"/>
                <w:szCs w:val="20"/>
              </w:rPr>
            </w:pPr>
            <w:r>
              <w:rPr>
                <w:rFonts w:hint="default" w:ascii="Times New Roman" w:hAnsi="Times New Roman" w:eastAsia="华文细黑" w:cs="Times New Roman"/>
                <w:color w:val="000000"/>
                <w:sz w:val="20"/>
                <w:szCs w:val="20"/>
              </w:rPr>
              <w:t>合计</w:t>
            </w:r>
          </w:p>
        </w:tc>
        <w:tc>
          <w:tcPr>
            <w:tcW w:w="1063" w:type="dxa"/>
            <w:noWrap w:val="0"/>
            <w:vAlign w:val="center"/>
          </w:tcPr>
          <w:p>
            <w:pPr>
              <w:autoSpaceDN w:val="0"/>
              <w:spacing w:line="240" w:lineRule="auto"/>
              <w:jc w:val="both"/>
              <w:textAlignment w:val="center"/>
              <w:rPr>
                <w:rFonts w:hint="default" w:ascii="Times New Roman" w:hAnsi="Times New Roman" w:eastAsia="华文细黑" w:cs="Times New Roman"/>
                <w:color w:val="000000"/>
                <w:sz w:val="20"/>
                <w:szCs w:val="20"/>
              </w:rPr>
            </w:pPr>
          </w:p>
        </w:tc>
        <w:tc>
          <w:tcPr>
            <w:tcW w:w="1107" w:type="dxa"/>
            <w:noWrap w:val="0"/>
            <w:vAlign w:val="center"/>
          </w:tcPr>
          <w:p>
            <w:pPr>
              <w:spacing w:line="240" w:lineRule="auto"/>
              <w:jc w:val="both"/>
              <w:rPr>
                <w:rFonts w:hint="default" w:ascii="Times New Roman" w:hAnsi="Times New Roman" w:eastAsia="楷体" w:cs="Times New Roman"/>
                <w:kern w:val="0"/>
                <w:sz w:val="20"/>
                <w:szCs w:val="20"/>
              </w:rPr>
            </w:pPr>
          </w:p>
        </w:tc>
        <w:tc>
          <w:tcPr>
            <w:tcW w:w="864" w:type="dxa"/>
            <w:noWrap w:val="0"/>
            <w:vAlign w:val="center"/>
          </w:tcPr>
          <w:p>
            <w:pPr>
              <w:spacing w:line="240" w:lineRule="auto"/>
              <w:jc w:val="both"/>
              <w:rPr>
                <w:rFonts w:hint="default" w:ascii="Times New Roman" w:hAnsi="Times New Roman" w:eastAsia="楷体" w:cs="Times New Roman"/>
                <w:kern w:val="0"/>
                <w:sz w:val="20"/>
                <w:szCs w:val="20"/>
              </w:rPr>
            </w:pPr>
          </w:p>
        </w:tc>
        <w:tc>
          <w:tcPr>
            <w:tcW w:w="770" w:type="dxa"/>
            <w:noWrap w:val="0"/>
            <w:vAlign w:val="center"/>
          </w:tcPr>
          <w:p>
            <w:pPr>
              <w:spacing w:line="240" w:lineRule="auto"/>
              <w:jc w:val="center"/>
              <w:rPr>
                <w:rFonts w:hint="default" w:ascii="Times New Roman" w:hAnsi="Times New Roman" w:eastAsia="楷体" w:cs="Times New Roman"/>
                <w:kern w:val="0"/>
                <w:sz w:val="20"/>
                <w:szCs w:val="20"/>
                <w:lang w:val="en-US" w:eastAsia="zh-CN"/>
              </w:rPr>
            </w:pPr>
            <w:r>
              <w:rPr>
                <w:rFonts w:hint="eastAsia" w:eastAsia="楷体" w:cs="Times New Roman"/>
                <w:kern w:val="0"/>
                <w:sz w:val="20"/>
                <w:szCs w:val="20"/>
                <w:lang w:val="en-US" w:eastAsia="zh-CN"/>
              </w:rPr>
              <w:t>110.8</w:t>
            </w:r>
          </w:p>
        </w:tc>
        <w:tc>
          <w:tcPr>
            <w:tcW w:w="705" w:type="dxa"/>
            <w:noWrap w:val="0"/>
            <w:vAlign w:val="center"/>
          </w:tcPr>
          <w:p>
            <w:pPr>
              <w:spacing w:line="240" w:lineRule="auto"/>
              <w:jc w:val="both"/>
              <w:rPr>
                <w:rFonts w:hint="default" w:ascii="Times New Roman" w:hAnsi="Times New Roman" w:eastAsia="楷体" w:cs="Times New Roman"/>
                <w:kern w:val="0"/>
                <w:sz w:val="20"/>
                <w:szCs w:val="20"/>
                <w:lang w:val="en-US" w:eastAsia="zh-CN"/>
              </w:rPr>
            </w:pPr>
            <w:r>
              <w:rPr>
                <w:rFonts w:hint="eastAsia" w:eastAsia="楷体" w:cs="Times New Roman"/>
                <w:kern w:val="0"/>
                <w:sz w:val="20"/>
                <w:szCs w:val="20"/>
                <w:lang w:val="en-US" w:eastAsia="zh-CN"/>
              </w:rPr>
              <w:t>110.8</w:t>
            </w:r>
          </w:p>
        </w:tc>
        <w:tc>
          <w:tcPr>
            <w:tcW w:w="435" w:type="dxa"/>
            <w:noWrap w:val="0"/>
            <w:vAlign w:val="center"/>
          </w:tcPr>
          <w:p>
            <w:pPr>
              <w:spacing w:line="240" w:lineRule="auto"/>
              <w:jc w:val="both"/>
              <w:rPr>
                <w:rFonts w:hint="default" w:ascii="Times New Roman" w:hAnsi="Times New Roman" w:eastAsia="楷体" w:cs="Times New Roman"/>
                <w:kern w:val="0"/>
                <w:sz w:val="20"/>
                <w:szCs w:val="20"/>
              </w:rPr>
            </w:pPr>
          </w:p>
        </w:tc>
        <w:tc>
          <w:tcPr>
            <w:tcW w:w="465" w:type="dxa"/>
            <w:noWrap w:val="0"/>
            <w:vAlign w:val="center"/>
          </w:tcPr>
          <w:p>
            <w:pPr>
              <w:spacing w:line="240" w:lineRule="auto"/>
              <w:jc w:val="both"/>
              <w:rPr>
                <w:rFonts w:hint="default" w:ascii="Times New Roman" w:hAnsi="Times New Roman" w:eastAsia="楷体" w:cs="Times New Roman"/>
                <w:kern w:val="0"/>
                <w:sz w:val="20"/>
                <w:szCs w:val="20"/>
              </w:rPr>
            </w:pPr>
          </w:p>
        </w:tc>
        <w:tc>
          <w:tcPr>
            <w:tcW w:w="480" w:type="dxa"/>
            <w:noWrap w:val="0"/>
            <w:vAlign w:val="center"/>
          </w:tcPr>
          <w:p>
            <w:pPr>
              <w:spacing w:line="240" w:lineRule="auto"/>
              <w:jc w:val="both"/>
              <w:rPr>
                <w:rFonts w:hint="default" w:ascii="Times New Roman" w:hAnsi="Times New Roman" w:eastAsia="楷体" w:cs="Times New Roman"/>
                <w:kern w:val="0"/>
                <w:sz w:val="20"/>
                <w:szCs w:val="20"/>
              </w:rPr>
            </w:pPr>
          </w:p>
        </w:tc>
        <w:tc>
          <w:tcPr>
            <w:tcW w:w="495" w:type="dxa"/>
            <w:noWrap w:val="0"/>
            <w:vAlign w:val="center"/>
          </w:tcPr>
          <w:p>
            <w:pPr>
              <w:spacing w:line="240" w:lineRule="auto"/>
              <w:jc w:val="both"/>
              <w:rPr>
                <w:rFonts w:hint="default" w:ascii="Times New Roman" w:hAnsi="Times New Roman" w:eastAsia="楷体" w:cs="Times New Roman"/>
                <w:kern w:val="0"/>
                <w:sz w:val="20"/>
                <w:szCs w:val="20"/>
              </w:rPr>
            </w:pPr>
          </w:p>
        </w:tc>
        <w:tc>
          <w:tcPr>
            <w:tcW w:w="470" w:type="dxa"/>
            <w:noWrap w:val="0"/>
            <w:vAlign w:val="center"/>
          </w:tcPr>
          <w:p>
            <w:pPr>
              <w:spacing w:line="240" w:lineRule="auto"/>
              <w:jc w:val="both"/>
              <w:rPr>
                <w:rFonts w:hint="default" w:ascii="Times New Roman" w:hAnsi="Times New Roman" w:eastAsia="楷体" w:cs="Times New Roman"/>
                <w:kern w:val="0"/>
                <w:sz w:val="20"/>
                <w:szCs w:val="20"/>
              </w:rPr>
            </w:pPr>
          </w:p>
        </w:tc>
        <w:tc>
          <w:tcPr>
            <w:tcW w:w="443" w:type="dxa"/>
            <w:noWrap w:val="0"/>
            <w:vAlign w:val="center"/>
          </w:tcPr>
          <w:p>
            <w:pPr>
              <w:spacing w:line="240" w:lineRule="auto"/>
              <w:jc w:val="both"/>
              <w:rPr>
                <w:rFonts w:hint="default" w:ascii="Times New Roman" w:hAnsi="Times New Roman" w:eastAsia="楷体" w:cs="Times New Roman"/>
                <w:kern w:val="0"/>
                <w:sz w:val="20"/>
                <w:szCs w:val="20"/>
              </w:rPr>
            </w:pPr>
          </w:p>
        </w:tc>
        <w:tc>
          <w:tcPr>
            <w:tcW w:w="425" w:type="dxa"/>
            <w:noWrap w:val="0"/>
            <w:vAlign w:val="center"/>
          </w:tcPr>
          <w:p>
            <w:pPr>
              <w:spacing w:line="240" w:lineRule="auto"/>
              <w:jc w:val="both"/>
              <w:rPr>
                <w:rFonts w:hint="default" w:ascii="Times New Roman" w:hAnsi="Times New Roman" w:eastAsia="楷体" w:cs="Times New Roman"/>
                <w:kern w:val="0"/>
                <w:sz w:val="20"/>
                <w:szCs w:val="20"/>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Times New Roman" w:hAnsi="Times New Roman" w:eastAsia="楷体" w:cs="Times New Roman"/>
                <w:kern w:val="0"/>
                <w:sz w:val="20"/>
                <w:szCs w:val="20"/>
              </w:rPr>
              <w:t>通榆县公路管理段2024年驻村工作队生活补贴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853"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按县委县政府要求，向新兴乡新兴村派出驻村工作人员三人，开展乡村振兴工作。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派出驻村人数（人）</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3</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驻村天数（天）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补贴资金对生活水平的影响程度≧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补助标准（元/天）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驻村补贴发放及时率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驻村工作质量，工作效率的影响≧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对乡村振兴的影响程度≧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3560"/>
        <w:gridCol w:w="1147"/>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Times New Roman" w:hAnsi="Times New Roman" w:eastAsia="楷体" w:cs="Times New Roman"/>
                <w:kern w:val="0"/>
                <w:sz w:val="20"/>
                <w:szCs w:val="20"/>
              </w:rPr>
              <w:t>通榆县公路管理段2024年体制下划经费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9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left"/>
              <w:textAlignment w:val="center"/>
              <w:rPr>
                <w:rFonts w:hint="default" w:ascii="Times New Roman" w:hAnsi="Times New Roman" w:eastAsia="仿宋_GB2312" w:cs="Times New Roman"/>
                <w:kern w:val="2"/>
                <w:sz w:val="32"/>
                <w:lang w:val="en-US" w:eastAsia="zh-CN" w:bidi="ar-SA"/>
              </w:rPr>
            </w:pPr>
            <w:r>
              <w:rPr>
                <w:rFonts w:hint="eastAsia" w:ascii="宋体" w:hAnsi="宋体" w:eastAsia="宋体" w:cs="宋体"/>
                <w:color w:val="000000"/>
                <w:sz w:val="20"/>
                <w:lang w:val="en-US" w:eastAsia="zh-CN"/>
              </w:rPr>
              <w:t xml:space="preserve">  经费主要是办公费、印刷费、咨询费、水费、邮电费、差旅费、劳力费、租赁费、公务用车运行维护费、人员经费为改制人员补差退休费。</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公务用车车辆数量 （辆数）</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3</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转企业人员退休人数（人数/年）</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单位保洁值守发生月份数量（月份数）</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单位办公楼取暖费月份数量（月份数）</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单位租赁擎天柱广告牌数量 （块数）</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单位乡村振兴房屋租赁数量（栋数）</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单位财务账目审计月份数量（月份数）</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各项工作完成验收合格率</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公务用车车辆运行维护费（元/台/月）</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转企业人员退休费补差金额（元/人/月）</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650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单位保洁值守劳务费（元/月）</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单位办公楼取暖费（元/月）</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6600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单位安全生产广告牌租赁费（元/月）</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2500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乡村振兴房屋租赁费（元/栋/月）</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1125</w:t>
            </w:r>
          </w:p>
        </w:tc>
      </w:tr>
      <w:tr>
        <w:tblPrEx>
          <w:tblCellMar>
            <w:top w:w="15" w:type="dxa"/>
            <w:left w:w="15" w:type="dxa"/>
            <w:bottom w:w="15" w:type="dxa"/>
            <w:right w:w="15" w:type="dxa"/>
          </w:tblCellMar>
        </w:tblPrEx>
        <w:trPr>
          <w:trHeight w:val="365"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单位财务账目审计费（元/月）</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1208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单位各项经费支出及时率≧</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对经济发展的促进作用</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作用明显</w:t>
            </w:r>
          </w:p>
        </w:tc>
      </w:tr>
      <w:tr>
        <w:tblPrEx>
          <w:tblCellMar>
            <w:top w:w="15" w:type="dxa"/>
            <w:left w:w="15" w:type="dxa"/>
            <w:bottom w:w="15" w:type="dxa"/>
            <w:right w:w="15" w:type="dxa"/>
          </w:tblCellMar>
        </w:tblPrEx>
        <w:trPr>
          <w:trHeight w:val="394"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公路安全水平</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有所保护</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公路法对生态环境保护</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有所保护</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35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服务群众满意度≧</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bl>
    <w:p>
      <w:pPr>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eastAsia="楷体"/>
          <w:szCs w:val="30"/>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235.79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w:t>
      </w:r>
      <w:r>
        <w:rPr>
          <w:rFonts w:hint="eastAsia" w:ascii="仿宋_GB2312" w:hAnsi="仿宋_GB2312" w:cs="仿宋_GB2312"/>
          <w:szCs w:val="32"/>
          <w:u w:val="single"/>
          <w:lang w:val="en-US" w:eastAsia="zh-CN"/>
        </w:rPr>
        <w:t>235.79</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60.54</w:t>
      </w:r>
      <w:r>
        <w:rPr>
          <w:rFonts w:hint="eastAsia" w:ascii="仿宋_GB2312" w:hAnsi="仿宋_GB2312" w:eastAsia="仿宋_GB2312" w:cs="仿宋_GB2312"/>
          <w:szCs w:val="32"/>
        </w:rPr>
        <w:t>万元，主要原因是</w:t>
      </w:r>
      <w:r>
        <w:rPr>
          <w:rFonts w:hint="eastAsia"/>
          <w:szCs w:val="32"/>
          <w:u w:val="single"/>
          <w:lang w:val="en-US" w:eastAsia="zh-CN"/>
        </w:rPr>
        <w:t>由于工资上涨</w:t>
      </w:r>
      <w:r>
        <w:rPr>
          <w:rFonts w:hint="eastAsia" w:ascii="仿宋_GB2312" w:hAnsi="仿宋_GB2312" w:eastAsia="仿宋_GB2312" w:cs="仿宋_GB2312"/>
          <w:szCs w:val="32"/>
        </w:rPr>
        <w:t>。</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eastAsia="楷体"/>
          <w:szCs w:val="30"/>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235.79</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235.79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100 </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235.79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100 </w:t>
      </w:r>
      <w:r>
        <w:rPr>
          <w:rFonts w:hint="eastAsia" w:ascii="仿宋_GB2312" w:hAnsi="仿宋_GB2312" w:eastAsia="仿宋_GB2312" w:cs="仿宋_GB2312"/>
          <w:szCs w:val="32"/>
        </w:rPr>
        <w:t>%。</w:t>
      </w: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235.79</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124.99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53.01</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110.8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46.99</w:t>
      </w:r>
      <w:r>
        <w:rPr>
          <w:rFonts w:hint="eastAsia" w:ascii="仿宋_GB2312" w:hAnsi="仿宋_GB2312" w:eastAsia="仿宋_GB2312" w:cs="仿宋_GB2312"/>
          <w:szCs w:val="32"/>
        </w:rPr>
        <w:t>%。</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235.79</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235.79</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15.23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4.88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206.82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8.86</w:t>
      </w:r>
      <w:r>
        <w:rPr>
          <w:rFonts w:hint="eastAsia" w:ascii="仿宋_GB2312" w:hAnsi="仿宋_GB2312" w:eastAsia="仿宋_GB2312" w:cs="仿宋_GB2312"/>
          <w:szCs w:val="32"/>
        </w:rPr>
        <w:t>万元。</w:t>
      </w: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235.79</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124.99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53.01</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110.8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46.99</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117.31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49.75</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7.68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3.26</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kern w:val="0"/>
          <w:szCs w:val="32"/>
        </w:rPr>
        <w:t>卫生健康</w:t>
      </w:r>
      <w:r>
        <w:rPr>
          <w:rFonts w:hint="eastAsia" w:ascii="仿宋_GB2312" w:hAnsi="仿宋_GB2312" w:eastAsia="仿宋_GB2312" w:cs="仿宋_GB2312"/>
          <w:szCs w:val="32"/>
        </w:rPr>
        <w:t>出（类）支出</w:t>
      </w:r>
      <w:r>
        <w:rPr>
          <w:rFonts w:hint="eastAsia" w:ascii="仿宋_GB2312" w:hAnsi="仿宋_GB2312" w:cs="仿宋_GB2312"/>
          <w:szCs w:val="32"/>
          <w:u w:val="single"/>
          <w:lang w:val="en-US" w:eastAsia="zh-CN"/>
        </w:rPr>
        <w:t>4.88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2.07</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职工基本医疗保险</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15.23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6.46</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职工养老、失业保险</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kern w:val="0"/>
          <w:szCs w:val="32"/>
        </w:rPr>
        <w:t>交通运输</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206.82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87.71</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公路养护</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8.86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3.76</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职工住房公积金</w:t>
      </w:r>
      <w:r>
        <w:rPr>
          <w:rFonts w:hint="eastAsia" w:ascii="仿宋_GB2312" w:hAnsi="仿宋_GB2312" w:eastAsia="仿宋_GB2312" w:cs="仿宋_GB2312"/>
          <w:szCs w:val="32"/>
        </w:rPr>
        <w:t>。</w:t>
      </w:r>
    </w:p>
    <w:p>
      <w:pPr>
        <w:spacing w:line="520" w:lineRule="exact"/>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124.99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117.31</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7.68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0.73</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0.73</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0.73</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由于车辆使用年限已经超过10年，预算增加修理费</w:t>
      </w:r>
      <w:r>
        <w:rPr>
          <w:rFonts w:hint="eastAsia" w:ascii="仿宋_GB2312" w:hAnsi="仿宋_GB2312" w:eastAsia="仿宋_GB2312" w:cs="仿宋_GB2312"/>
          <w:szCs w:val="32"/>
        </w:rPr>
        <w:t>；公务用车购置费_____万元，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hint="eastAsia" w:ascii="仿宋_GB2312" w:hAnsi="仿宋_GB2312" w:cs="仿宋_GB2312"/>
          <w:szCs w:val="32"/>
          <w:lang w:eastAsia="zh-CN"/>
        </w:rPr>
        <w:t>本部门无政府性基金预算拨款。</w:t>
      </w: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eastAsia="楷体"/>
          <w:szCs w:val="32"/>
        </w:rPr>
      </w:pPr>
      <w:r>
        <w:rPr>
          <w:rFonts w:hint="eastAsia" w:ascii="仿宋_GB2312" w:hAnsi="仿宋_GB2312" w:cs="仿宋_GB2312"/>
          <w:szCs w:val="32"/>
          <w:highlight w:val="none"/>
          <w:lang w:eastAsia="zh-CN"/>
        </w:rPr>
        <w:t>本部门无国有资本经营预算拨款。</w:t>
      </w: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本部门无机关运行经费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本部门无</w:t>
      </w:r>
      <w:r>
        <w:rPr>
          <w:rFonts w:hint="eastAsia" w:ascii="仿宋_GB2312" w:hAnsi="仿宋_GB2312" w:eastAsia="仿宋_GB2312" w:cs="仿宋_GB2312"/>
          <w:szCs w:val="32"/>
        </w:rPr>
        <w:t>政府采购情况</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年8月底，部门本级和所属各预算单位共有车辆_</w:t>
      </w:r>
      <w:r>
        <w:rPr>
          <w:rFonts w:hint="eastAsia" w:ascii="仿宋_GB2312" w:hAnsi="仿宋_GB2312" w:cs="仿宋_GB2312"/>
          <w:szCs w:val="32"/>
          <w:lang w:val="en-US" w:eastAsia="zh-CN"/>
        </w:rPr>
        <w:t>5</w:t>
      </w:r>
      <w:r>
        <w:rPr>
          <w:rFonts w:hint="eastAsia" w:ascii="仿宋_GB2312" w:hAnsi="仿宋_GB2312" w:eastAsia="仿宋_GB2312" w:cs="仿宋_GB2312"/>
          <w:szCs w:val="32"/>
        </w:rPr>
        <w:t>_辆，土地___平方米，房屋__</w:t>
      </w:r>
      <w:r>
        <w:rPr>
          <w:rFonts w:hint="eastAsia" w:ascii="仿宋_GB2312" w:hAnsi="仿宋_GB2312" w:cs="仿宋_GB2312"/>
          <w:szCs w:val="32"/>
          <w:lang w:val="en-US" w:eastAsia="zh-CN"/>
        </w:rPr>
        <w:t>1800</w:t>
      </w:r>
      <w:r>
        <w:rPr>
          <w:rFonts w:hint="eastAsia" w:ascii="仿宋_GB2312" w:hAnsi="仿宋_GB2312" w:eastAsia="仿宋_GB2312" w:cs="仿宋_GB2312"/>
          <w:szCs w:val="32"/>
        </w:rPr>
        <w:t>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110.8</w:t>
      </w:r>
      <w:r>
        <w:rPr>
          <w:rFonts w:hint="eastAsia" w:ascii="仿宋_GB2312" w:hAnsi="仿宋_GB2312" w:eastAsia="仿宋_GB2312" w:cs="仿宋_GB2312"/>
          <w:szCs w:val="32"/>
          <w:highlight w:val="none"/>
        </w:rPr>
        <w:t>万元，其中：</w:t>
      </w:r>
      <w:r>
        <w:rPr>
          <w:rFonts w:hint="eastAsia" w:ascii="仿宋_GB2312" w:hAnsi="仿宋_GB2312" w:cs="仿宋_GB2312"/>
          <w:szCs w:val="32"/>
          <w:highlight w:val="none"/>
          <w:lang w:val="en-US" w:eastAsia="zh-CN"/>
        </w:rPr>
        <w:t>一</w:t>
      </w:r>
      <w:r>
        <w:rPr>
          <w:rFonts w:hint="eastAsia" w:ascii="仿宋_GB2312" w:hAnsi="仿宋_GB2312" w:eastAsia="仿宋_GB2312" w:cs="仿宋_GB2312"/>
          <w:szCs w:val="32"/>
          <w:highlight w:val="none"/>
        </w:rPr>
        <w:t>级项目____个，二级项目</w:t>
      </w:r>
      <w:r>
        <w:rPr>
          <w:rFonts w:hint="eastAsia" w:ascii="仿宋_GB2312" w:hAnsi="仿宋_GB2312" w:cs="仿宋_GB2312"/>
          <w:szCs w:val="32"/>
          <w:highlight w:val="none"/>
          <w:u w:val="single"/>
          <w:lang w:val="en-US" w:eastAsia="zh-CN"/>
        </w:rPr>
        <w:t>2</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110.8</w:t>
      </w:r>
      <w:r>
        <w:rPr>
          <w:rFonts w:hint="eastAsia" w:ascii="仿宋_GB2312" w:hAnsi="仿宋_GB2312" w:eastAsia="仿宋_GB2312" w:cs="仿宋_GB2312"/>
          <w:szCs w:val="32"/>
          <w:highlight w:val="none"/>
        </w:rPr>
        <w:t>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2</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u w:val="single"/>
          <w:lang w:val="en-US" w:eastAsia="zh-CN"/>
        </w:rPr>
        <w:t>110.8</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jc w:val="center"/>
        <w:rPr>
          <w:rFonts w:eastAsia="黑体"/>
        </w:rPr>
      </w:pPr>
      <w:bookmarkStart w:id="0" w:name="_GoBack"/>
      <w:bookmarkEnd w:id="0"/>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14B91"/>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1F652CA"/>
    <w:rsid w:val="020E6D2C"/>
    <w:rsid w:val="031D7D4B"/>
    <w:rsid w:val="031E27AC"/>
    <w:rsid w:val="04022755"/>
    <w:rsid w:val="0486486A"/>
    <w:rsid w:val="04954460"/>
    <w:rsid w:val="04F026C1"/>
    <w:rsid w:val="050D06DA"/>
    <w:rsid w:val="050F3BA7"/>
    <w:rsid w:val="05513E94"/>
    <w:rsid w:val="056F5A6D"/>
    <w:rsid w:val="0588271A"/>
    <w:rsid w:val="059B3770"/>
    <w:rsid w:val="063949A0"/>
    <w:rsid w:val="067960C1"/>
    <w:rsid w:val="06BD5BC7"/>
    <w:rsid w:val="07C21686"/>
    <w:rsid w:val="07D21289"/>
    <w:rsid w:val="07F544B0"/>
    <w:rsid w:val="09A0082A"/>
    <w:rsid w:val="0A334D52"/>
    <w:rsid w:val="0ABA06FE"/>
    <w:rsid w:val="0B5F5ADA"/>
    <w:rsid w:val="0B6F4D1A"/>
    <w:rsid w:val="0B710869"/>
    <w:rsid w:val="0BA674A8"/>
    <w:rsid w:val="0C2A5C84"/>
    <w:rsid w:val="0D4434DD"/>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1B0041"/>
    <w:rsid w:val="1441443C"/>
    <w:rsid w:val="14C12787"/>
    <w:rsid w:val="15593E10"/>
    <w:rsid w:val="159F7E25"/>
    <w:rsid w:val="15C54C7F"/>
    <w:rsid w:val="15F848D0"/>
    <w:rsid w:val="160E1FA5"/>
    <w:rsid w:val="160F2600"/>
    <w:rsid w:val="17765BCA"/>
    <w:rsid w:val="17A027D8"/>
    <w:rsid w:val="1A60247B"/>
    <w:rsid w:val="1A817DF8"/>
    <w:rsid w:val="1ADC594E"/>
    <w:rsid w:val="1AEB5252"/>
    <w:rsid w:val="1C852172"/>
    <w:rsid w:val="1CA40C0C"/>
    <w:rsid w:val="1CFF4A32"/>
    <w:rsid w:val="1D7A45EE"/>
    <w:rsid w:val="1D833200"/>
    <w:rsid w:val="1E2D59A2"/>
    <w:rsid w:val="1E3A3FD0"/>
    <w:rsid w:val="1EB55C07"/>
    <w:rsid w:val="1F351A10"/>
    <w:rsid w:val="1F4163D7"/>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1B5CF7"/>
    <w:rsid w:val="27B04AB3"/>
    <w:rsid w:val="283565BE"/>
    <w:rsid w:val="2897175A"/>
    <w:rsid w:val="28A63332"/>
    <w:rsid w:val="29C45F24"/>
    <w:rsid w:val="2A9117EF"/>
    <w:rsid w:val="2B59251B"/>
    <w:rsid w:val="2C6F2560"/>
    <w:rsid w:val="2C836BD0"/>
    <w:rsid w:val="2DF8796C"/>
    <w:rsid w:val="2EB22F18"/>
    <w:rsid w:val="2EE12108"/>
    <w:rsid w:val="2EED35E3"/>
    <w:rsid w:val="2F250383"/>
    <w:rsid w:val="2F63610B"/>
    <w:rsid w:val="300965A3"/>
    <w:rsid w:val="30730D6E"/>
    <w:rsid w:val="30B91A70"/>
    <w:rsid w:val="3227669B"/>
    <w:rsid w:val="328217E2"/>
    <w:rsid w:val="32CF2C5D"/>
    <w:rsid w:val="33310476"/>
    <w:rsid w:val="335402B5"/>
    <w:rsid w:val="339466B2"/>
    <w:rsid w:val="33AC7A27"/>
    <w:rsid w:val="34555AF5"/>
    <w:rsid w:val="3497033D"/>
    <w:rsid w:val="35616772"/>
    <w:rsid w:val="35EA1663"/>
    <w:rsid w:val="36133FA5"/>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D5EDB"/>
    <w:rsid w:val="3CAE3960"/>
    <w:rsid w:val="3D365BF6"/>
    <w:rsid w:val="3DF23324"/>
    <w:rsid w:val="3EA14040"/>
    <w:rsid w:val="3EE8108D"/>
    <w:rsid w:val="40510B52"/>
    <w:rsid w:val="405745EF"/>
    <w:rsid w:val="40B80EFF"/>
    <w:rsid w:val="41A35364"/>
    <w:rsid w:val="41C31686"/>
    <w:rsid w:val="42470616"/>
    <w:rsid w:val="42982B4E"/>
    <w:rsid w:val="436B1E42"/>
    <w:rsid w:val="43993170"/>
    <w:rsid w:val="44054362"/>
    <w:rsid w:val="449C5E6A"/>
    <w:rsid w:val="456D114B"/>
    <w:rsid w:val="45EB670F"/>
    <w:rsid w:val="46637ED3"/>
    <w:rsid w:val="46AB7C0D"/>
    <w:rsid w:val="46D44808"/>
    <w:rsid w:val="47CF49E6"/>
    <w:rsid w:val="48280DEF"/>
    <w:rsid w:val="4843587B"/>
    <w:rsid w:val="48674ED2"/>
    <w:rsid w:val="487708E6"/>
    <w:rsid w:val="49645F71"/>
    <w:rsid w:val="499F5C68"/>
    <w:rsid w:val="4AF16062"/>
    <w:rsid w:val="4B646DDD"/>
    <w:rsid w:val="4B7F44F8"/>
    <w:rsid w:val="4BAC24C5"/>
    <w:rsid w:val="4BFA0656"/>
    <w:rsid w:val="4C3363A0"/>
    <w:rsid w:val="4C5567C9"/>
    <w:rsid w:val="4D243AAB"/>
    <w:rsid w:val="4D730507"/>
    <w:rsid w:val="4D741DD3"/>
    <w:rsid w:val="4DC93207"/>
    <w:rsid w:val="4E2A22FD"/>
    <w:rsid w:val="4E893BD4"/>
    <w:rsid w:val="4E8D5761"/>
    <w:rsid w:val="4EF54A85"/>
    <w:rsid w:val="4F6F75D9"/>
    <w:rsid w:val="501B3C66"/>
    <w:rsid w:val="504B40C5"/>
    <w:rsid w:val="50987DC2"/>
    <w:rsid w:val="50A4703E"/>
    <w:rsid w:val="50A76E4B"/>
    <w:rsid w:val="50C51FF9"/>
    <w:rsid w:val="5136104F"/>
    <w:rsid w:val="51A40D2E"/>
    <w:rsid w:val="51B24451"/>
    <w:rsid w:val="51E55C99"/>
    <w:rsid w:val="52071113"/>
    <w:rsid w:val="52447C09"/>
    <w:rsid w:val="525A440D"/>
    <w:rsid w:val="54741940"/>
    <w:rsid w:val="54810E66"/>
    <w:rsid w:val="54C2556E"/>
    <w:rsid w:val="55480EEF"/>
    <w:rsid w:val="55982572"/>
    <w:rsid w:val="56570E30"/>
    <w:rsid w:val="5718770E"/>
    <w:rsid w:val="573A2431"/>
    <w:rsid w:val="57AE5C26"/>
    <w:rsid w:val="57DD75A9"/>
    <w:rsid w:val="58256ABD"/>
    <w:rsid w:val="59472AC7"/>
    <w:rsid w:val="59B2635D"/>
    <w:rsid w:val="59BD150F"/>
    <w:rsid w:val="59DD570D"/>
    <w:rsid w:val="59FF5EDC"/>
    <w:rsid w:val="5A084708"/>
    <w:rsid w:val="5AB343F7"/>
    <w:rsid w:val="5ABF50F2"/>
    <w:rsid w:val="5AF76904"/>
    <w:rsid w:val="5B052E7A"/>
    <w:rsid w:val="5B3D7F7E"/>
    <w:rsid w:val="5B7C7777"/>
    <w:rsid w:val="5B9462A0"/>
    <w:rsid w:val="5BEC6771"/>
    <w:rsid w:val="5CA506B9"/>
    <w:rsid w:val="5CE06B77"/>
    <w:rsid w:val="5CFD5FB2"/>
    <w:rsid w:val="5D2B52D8"/>
    <w:rsid w:val="5D5A7C63"/>
    <w:rsid w:val="5E256F6F"/>
    <w:rsid w:val="5F6235A9"/>
    <w:rsid w:val="614125C2"/>
    <w:rsid w:val="624C5C52"/>
    <w:rsid w:val="63952BB5"/>
    <w:rsid w:val="63DF08E4"/>
    <w:rsid w:val="64127E15"/>
    <w:rsid w:val="64C04AFD"/>
    <w:rsid w:val="661A7B69"/>
    <w:rsid w:val="663429DE"/>
    <w:rsid w:val="664909C1"/>
    <w:rsid w:val="66C63EB5"/>
    <w:rsid w:val="677772D0"/>
    <w:rsid w:val="679461D3"/>
    <w:rsid w:val="6858287E"/>
    <w:rsid w:val="68DE00D8"/>
    <w:rsid w:val="69157114"/>
    <w:rsid w:val="691A443E"/>
    <w:rsid w:val="697F3294"/>
    <w:rsid w:val="6A80735F"/>
    <w:rsid w:val="6ACC5E47"/>
    <w:rsid w:val="6AD43ED1"/>
    <w:rsid w:val="6B11024D"/>
    <w:rsid w:val="6B713437"/>
    <w:rsid w:val="6B7D5B36"/>
    <w:rsid w:val="6CF120A8"/>
    <w:rsid w:val="6ECE1671"/>
    <w:rsid w:val="714213DD"/>
    <w:rsid w:val="717F272E"/>
    <w:rsid w:val="71BD15AB"/>
    <w:rsid w:val="728027C6"/>
    <w:rsid w:val="72D54D7C"/>
    <w:rsid w:val="72EB5C90"/>
    <w:rsid w:val="736A17A4"/>
    <w:rsid w:val="737664E0"/>
    <w:rsid w:val="73FE7ACC"/>
    <w:rsid w:val="74053F35"/>
    <w:rsid w:val="74556746"/>
    <w:rsid w:val="74AB7A24"/>
    <w:rsid w:val="76BB79B1"/>
    <w:rsid w:val="76C17E06"/>
    <w:rsid w:val="76CA67BD"/>
    <w:rsid w:val="774E6400"/>
    <w:rsid w:val="775B0046"/>
    <w:rsid w:val="78796248"/>
    <w:rsid w:val="79700BEF"/>
    <w:rsid w:val="79F85634"/>
    <w:rsid w:val="7A090695"/>
    <w:rsid w:val="7A3C13FC"/>
    <w:rsid w:val="7ACB23EA"/>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31</Pages>
  <Words>6841</Words>
  <Characters>8148</Characters>
  <Lines>71</Lines>
  <Paragraphs>20</Paragraphs>
  <TotalTime>11</TotalTime>
  <ScaleCrop>false</ScaleCrop>
  <LinksUpToDate>false</LinksUpToDate>
  <CharactersWithSpaces>8673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2024-01-31T08:37:13Z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