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通榆县交通运输综合行政执法大队</w:t>
      </w:r>
    </w:p>
    <w:p>
      <w:pPr>
        <w:jc w:val="center"/>
        <w:rPr>
          <w:rFonts w:eastAsia="方正小标宋简体"/>
          <w:sz w:val="44"/>
          <w:szCs w:val="44"/>
        </w:rPr>
      </w:pP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r>
        <w:t>一、主要职能</w:t>
      </w:r>
    </w:p>
    <w:p>
      <w:pPr>
        <w:ind w:firstLine="640" w:firstLineChars="200"/>
        <w:rPr>
          <w:rFonts w:hint="eastAsia"/>
          <w:color w:val="000000"/>
          <w:szCs w:val="32"/>
        </w:rPr>
      </w:pPr>
      <w:r>
        <w:rPr>
          <w:rFonts w:hint="eastAsia"/>
          <w:color w:val="000000"/>
          <w:szCs w:val="32"/>
        </w:rPr>
        <w:t>第一条根据《中共中央办公厅国务院办公厅印发&lt;关于深化</w:t>
      </w:r>
    </w:p>
    <w:p>
      <w:pPr>
        <w:rPr>
          <w:rFonts w:hint="eastAsia"/>
          <w:color w:val="000000"/>
          <w:szCs w:val="32"/>
        </w:rPr>
      </w:pPr>
      <w:r>
        <w:rPr>
          <w:rFonts w:hint="eastAsia"/>
          <w:color w:val="000000"/>
          <w:szCs w:val="32"/>
        </w:rPr>
        <w:t>市场监管综合行政执法改革的指导意见&gt;的通知》中办发〔2018]62 号)、中共吉林省委机构编制委员会办公室《关于做好我省市县整合组建五个重点领域综合行政执法队伍工作的政策口径》精神，按照中共吉林省委机构编制委员会办公室《关于同意通榆县整合组建综合行政执法机构的复函》(吉委编事函〔2020〕4号);制定本规定。</w:t>
      </w:r>
    </w:p>
    <w:p>
      <w:pPr>
        <w:ind w:firstLine="640" w:firstLineChars="200"/>
        <w:rPr>
          <w:rFonts w:hint="eastAsia"/>
          <w:color w:val="000000"/>
          <w:szCs w:val="32"/>
        </w:rPr>
      </w:pPr>
      <w:r>
        <w:rPr>
          <w:rFonts w:hint="eastAsia"/>
          <w:color w:val="000000"/>
          <w:szCs w:val="32"/>
        </w:rPr>
        <w:t>第二条通榆县交通运输综合行政执法大队，为通榆县交通</w:t>
      </w:r>
    </w:p>
    <w:p>
      <w:pPr>
        <w:rPr>
          <w:rFonts w:hint="eastAsia"/>
          <w:color w:val="000000"/>
          <w:szCs w:val="32"/>
        </w:rPr>
      </w:pPr>
      <w:r>
        <w:rPr>
          <w:rFonts w:hint="eastAsia"/>
          <w:color w:val="000000"/>
          <w:szCs w:val="32"/>
        </w:rPr>
        <w:t>运输局所属综合行政执法机构（暂定公益一类)，以通榆县交通运输局名义，依法统一行使交通运输领域行政执法职责。</w:t>
      </w:r>
    </w:p>
    <w:p>
      <w:pPr>
        <w:ind w:firstLine="640" w:firstLineChars="200"/>
        <w:rPr>
          <w:rFonts w:hint="eastAsia"/>
          <w:color w:val="000000"/>
          <w:szCs w:val="32"/>
        </w:rPr>
      </w:pPr>
      <w:r>
        <w:rPr>
          <w:rFonts w:hint="eastAsia"/>
          <w:color w:val="000000"/>
          <w:szCs w:val="32"/>
        </w:rPr>
        <w:t>第三条通榆县交通运输综合行政执法大队贯彻落实中央</w:t>
      </w:r>
    </w:p>
    <w:p>
      <w:pPr>
        <w:rPr>
          <w:rFonts w:hint="eastAsia"/>
          <w:color w:val="000000"/>
          <w:szCs w:val="32"/>
        </w:rPr>
      </w:pPr>
      <w:r>
        <w:rPr>
          <w:rFonts w:hint="eastAsia"/>
          <w:color w:val="000000"/>
          <w:szCs w:val="32"/>
        </w:rPr>
        <w:t>和省委、市委、县委和主管部门党组关于交通运输工作的方针政策和决策部署,在履行职责过程中坚持和加强党对交通运输工作的集中统一领导。主要职责是：</w:t>
      </w:r>
    </w:p>
    <w:p>
      <w:pPr>
        <w:ind w:firstLine="640" w:firstLineChars="200"/>
        <w:rPr>
          <w:rFonts w:hint="eastAsia"/>
          <w:color w:val="000000"/>
          <w:szCs w:val="32"/>
        </w:rPr>
      </w:pPr>
      <w:r>
        <w:rPr>
          <w:rFonts w:hint="eastAsia"/>
          <w:color w:val="000000"/>
          <w:szCs w:val="32"/>
        </w:rPr>
        <w:t>（一）负责全县交通运输综合行政执法方面的政策研究，参与制定交通运输综合行政执法工作规划、管理制度等。</w:t>
      </w:r>
    </w:p>
    <w:p>
      <w:pPr>
        <w:ind w:firstLine="640" w:firstLineChars="200"/>
        <w:rPr>
          <w:rFonts w:hint="eastAsia"/>
          <w:color w:val="000000"/>
          <w:szCs w:val="32"/>
        </w:rPr>
      </w:pPr>
      <w:r>
        <w:rPr>
          <w:rFonts w:hint="eastAsia"/>
          <w:color w:val="000000"/>
          <w:szCs w:val="32"/>
        </w:rPr>
        <w:t>（二）依法统一行使公路路政、道路运政、水路运政、航道行政、港口行政、地方海事行政、工程质量监督管理等方面的行政处罚权以及与之相关的行政检查、行政强制权。</w:t>
      </w:r>
    </w:p>
    <w:p>
      <w:pPr>
        <w:ind w:firstLine="640" w:firstLineChars="200"/>
        <w:rPr>
          <w:rFonts w:hint="eastAsia"/>
          <w:color w:val="000000"/>
          <w:szCs w:val="32"/>
        </w:rPr>
      </w:pPr>
      <w:r>
        <w:rPr>
          <w:rFonts w:hint="eastAsia"/>
          <w:color w:val="000000"/>
          <w:szCs w:val="32"/>
        </w:rPr>
        <w:t>（三）组织查处辖区内案件、监督指导辖区内交通运输综合行政执法体系建设和执法工作。负责全县交通综合行政执法的队伍建设和业务培训工作；做好全县交通综合行政执法人员的执法资格管理工作。</w:t>
      </w:r>
    </w:p>
    <w:p>
      <w:pPr>
        <w:ind w:firstLine="640" w:firstLineChars="200"/>
        <w:rPr>
          <w:rFonts w:hint="eastAsia"/>
          <w:color w:val="000000"/>
          <w:szCs w:val="32"/>
        </w:rPr>
      </w:pPr>
      <w:r>
        <w:rPr>
          <w:rFonts w:hint="eastAsia"/>
          <w:color w:val="000000"/>
          <w:szCs w:val="32"/>
        </w:rPr>
        <w:t>（四）参与协调救灾抢险、交通战备、突发事件等应急运输工作。</w:t>
      </w:r>
    </w:p>
    <w:p>
      <w:pPr>
        <w:ind w:firstLine="640" w:firstLineChars="200"/>
        <w:rPr>
          <w:rFonts w:hint="eastAsia"/>
          <w:color w:val="000000"/>
          <w:szCs w:val="32"/>
        </w:rPr>
      </w:pPr>
      <w:r>
        <w:rPr>
          <w:rFonts w:hint="eastAsia"/>
          <w:color w:val="000000"/>
          <w:szCs w:val="32"/>
        </w:rPr>
        <w:t>（五）完成县交通运输局交办的其他工作。</w:t>
      </w:r>
    </w:p>
    <w:p>
      <w:pPr>
        <w:ind w:firstLine="640" w:firstLineChars="200"/>
        <w:rPr>
          <w:rFonts w:hint="eastAsia"/>
          <w:color w:val="000000"/>
          <w:szCs w:val="32"/>
        </w:rPr>
      </w:pPr>
      <w:r>
        <w:t>二、机构设置</w:t>
      </w:r>
    </w:p>
    <w:p>
      <w:pPr>
        <w:ind w:firstLine="640" w:firstLineChars="200"/>
        <w:rPr>
          <w:rFonts w:hint="eastAsia"/>
          <w:color w:val="000000"/>
          <w:szCs w:val="32"/>
        </w:rPr>
      </w:pPr>
      <w:r>
        <w:rPr>
          <w:rFonts w:hint="eastAsia"/>
          <w:color w:val="000000"/>
          <w:szCs w:val="32"/>
        </w:rPr>
        <w:t>第四条通榆县交通运输综合行政执法大队内设机构 10 个：</w:t>
      </w:r>
    </w:p>
    <w:p>
      <w:pPr>
        <w:ind w:firstLine="640" w:firstLineChars="200"/>
        <w:rPr>
          <w:rFonts w:hint="eastAsia"/>
          <w:color w:val="000000"/>
          <w:szCs w:val="32"/>
        </w:rPr>
      </w:pPr>
      <w:r>
        <w:rPr>
          <w:rFonts w:hint="eastAsia"/>
          <w:color w:val="000000"/>
          <w:szCs w:val="32"/>
        </w:rPr>
        <w:t>（一)综合执法一中队</w:t>
      </w:r>
    </w:p>
    <w:p>
      <w:pPr>
        <w:ind w:firstLine="640" w:firstLineChars="200"/>
        <w:rPr>
          <w:rFonts w:hint="eastAsia"/>
          <w:color w:val="000000"/>
          <w:szCs w:val="32"/>
        </w:rPr>
      </w:pPr>
      <w:r>
        <w:rPr>
          <w:rFonts w:hint="eastAsia"/>
          <w:color w:val="000000"/>
          <w:szCs w:val="32"/>
        </w:rPr>
        <w:t>（二）综合执法二中队</w:t>
      </w:r>
    </w:p>
    <w:p>
      <w:pPr>
        <w:ind w:firstLine="640" w:firstLineChars="200"/>
        <w:rPr>
          <w:rFonts w:hint="eastAsia"/>
          <w:color w:val="000000"/>
          <w:szCs w:val="32"/>
        </w:rPr>
      </w:pPr>
      <w:r>
        <w:rPr>
          <w:rFonts w:hint="eastAsia"/>
          <w:color w:val="000000"/>
          <w:szCs w:val="32"/>
        </w:rPr>
        <w:t>（三）综合执法三中队</w:t>
      </w:r>
    </w:p>
    <w:p>
      <w:pPr>
        <w:ind w:firstLine="640" w:firstLineChars="200"/>
        <w:rPr>
          <w:rFonts w:hint="eastAsia"/>
          <w:color w:val="000000"/>
          <w:szCs w:val="32"/>
        </w:rPr>
      </w:pPr>
      <w:r>
        <w:rPr>
          <w:rFonts w:hint="eastAsia"/>
          <w:color w:val="000000"/>
          <w:szCs w:val="32"/>
        </w:rPr>
        <w:t>（四）综合执法四中队</w:t>
      </w:r>
    </w:p>
    <w:p>
      <w:pPr>
        <w:ind w:firstLine="640" w:firstLineChars="200"/>
        <w:rPr>
          <w:rFonts w:hint="eastAsia"/>
          <w:color w:val="000000"/>
          <w:szCs w:val="32"/>
        </w:rPr>
      </w:pPr>
      <w:r>
        <w:rPr>
          <w:rFonts w:hint="eastAsia"/>
          <w:color w:val="000000"/>
          <w:szCs w:val="32"/>
        </w:rPr>
        <w:t>（五）执法五中队</w:t>
      </w:r>
    </w:p>
    <w:p>
      <w:pPr>
        <w:ind w:firstLine="640" w:firstLineChars="200"/>
        <w:rPr>
          <w:rFonts w:hint="eastAsia"/>
          <w:color w:val="000000"/>
          <w:szCs w:val="32"/>
        </w:rPr>
      </w:pPr>
      <w:r>
        <w:rPr>
          <w:rFonts w:hint="eastAsia"/>
          <w:color w:val="000000"/>
          <w:szCs w:val="32"/>
        </w:rPr>
        <w:t>（六）执法六中队</w:t>
      </w:r>
    </w:p>
    <w:p>
      <w:pPr>
        <w:ind w:firstLine="640" w:firstLineChars="200"/>
        <w:rPr>
          <w:rFonts w:hint="eastAsia"/>
          <w:color w:val="000000"/>
          <w:szCs w:val="32"/>
        </w:rPr>
      </w:pPr>
      <w:r>
        <w:rPr>
          <w:rFonts w:hint="eastAsia"/>
          <w:color w:val="000000"/>
          <w:szCs w:val="32"/>
        </w:rPr>
        <w:t>（七）执法七中队</w:t>
      </w:r>
    </w:p>
    <w:p>
      <w:pPr>
        <w:ind w:firstLine="640" w:firstLineChars="200"/>
        <w:rPr>
          <w:rFonts w:hint="eastAsia"/>
          <w:color w:val="000000"/>
          <w:szCs w:val="32"/>
        </w:rPr>
      </w:pPr>
      <w:r>
        <w:rPr>
          <w:rFonts w:hint="eastAsia"/>
          <w:color w:val="000000"/>
          <w:szCs w:val="32"/>
        </w:rPr>
        <w:t>（八）执法八中队</w:t>
      </w:r>
    </w:p>
    <w:p>
      <w:pPr>
        <w:ind w:firstLine="640" w:firstLineChars="200"/>
        <w:rPr>
          <w:rFonts w:hint="eastAsia"/>
          <w:color w:val="000000"/>
          <w:szCs w:val="32"/>
        </w:rPr>
      </w:pPr>
      <w:r>
        <w:rPr>
          <w:rFonts w:hint="eastAsia"/>
          <w:color w:val="000000"/>
          <w:szCs w:val="32"/>
        </w:rPr>
        <w:t>（九）执法九中队</w:t>
      </w:r>
    </w:p>
    <w:p>
      <w:pPr>
        <w:ind w:firstLine="640" w:firstLineChars="200"/>
        <w:rPr>
          <w:rFonts w:hint="eastAsia"/>
          <w:color w:val="000000"/>
          <w:szCs w:val="32"/>
        </w:rPr>
      </w:pPr>
      <w:r>
        <w:rPr>
          <w:rFonts w:hint="eastAsia"/>
          <w:color w:val="000000"/>
          <w:szCs w:val="32"/>
        </w:rPr>
        <w:t>（十）执法十中队</w:t>
      </w:r>
    </w:p>
    <w:p>
      <w:pPr>
        <w:ind w:firstLine="640" w:firstLineChars="200"/>
        <w:rPr>
          <w:rFonts w:hint="eastAsia"/>
          <w:color w:val="000000"/>
          <w:szCs w:val="32"/>
        </w:rPr>
      </w:pPr>
      <w:r>
        <w:rPr>
          <w:rFonts w:hint="eastAsia"/>
          <w:color w:val="000000"/>
          <w:szCs w:val="32"/>
        </w:rPr>
        <w:t>内设机构职责根据本单位主要职责自行分解。</w:t>
      </w:r>
    </w:p>
    <w:p>
      <w:pPr>
        <w:ind w:firstLine="640" w:firstLineChars="200"/>
        <w:rPr>
          <w:rFonts w:hint="eastAsia"/>
          <w:color w:val="000000"/>
          <w:szCs w:val="32"/>
        </w:rPr>
      </w:pPr>
      <w:r>
        <w:rPr>
          <w:rFonts w:hint="eastAsia"/>
          <w:color w:val="000000"/>
          <w:szCs w:val="32"/>
        </w:rPr>
        <w:t>第五条根据上述职责和工作任务，核定及锁定通榆县交通</w:t>
      </w:r>
    </w:p>
    <w:p>
      <w:pPr>
        <w:ind w:firstLine="640" w:firstLineChars="200"/>
        <w:rPr>
          <w:rFonts w:hint="eastAsia"/>
          <w:color w:val="000000"/>
          <w:szCs w:val="32"/>
        </w:rPr>
      </w:pPr>
      <w:r>
        <w:rPr>
          <w:rFonts w:hint="eastAsia"/>
          <w:color w:val="000000"/>
          <w:szCs w:val="32"/>
        </w:rPr>
        <w:t>运输综合行政执法大队全额拨款事业编制 6</w:t>
      </w:r>
      <w:r>
        <w:rPr>
          <w:rFonts w:hint="eastAsia"/>
          <w:color w:val="000000"/>
          <w:szCs w:val="32"/>
          <w:lang w:val="en-US" w:eastAsia="zh-CN"/>
        </w:rPr>
        <w:t>2</w:t>
      </w:r>
      <w:r>
        <w:rPr>
          <w:rFonts w:hint="eastAsia"/>
          <w:color w:val="000000"/>
          <w:szCs w:val="32"/>
        </w:rPr>
        <w:t xml:space="preserve"> 名（暂核定行政管理岗位编制 </w:t>
      </w:r>
      <w:r>
        <w:rPr>
          <w:rFonts w:hint="eastAsia"/>
          <w:color w:val="000000"/>
          <w:szCs w:val="32"/>
          <w:lang w:val="en-US" w:eastAsia="zh-CN"/>
        </w:rPr>
        <w:t>29</w:t>
      </w:r>
      <w:r>
        <w:rPr>
          <w:rFonts w:hint="eastAsia"/>
          <w:color w:val="000000"/>
          <w:szCs w:val="32"/>
        </w:rPr>
        <w:t xml:space="preserve"> 名，专业技术岗位编制 33 名)；核定领导职数 5名（1 正、副科级， 4 副、未定级)；核定内设机构领导职数 20名（正职 10 名、未定级，副职 10 名、未定级)。</w:t>
      </w:r>
    </w:p>
    <w:p>
      <w:pPr>
        <w:ind w:firstLine="640" w:firstLineChars="200"/>
        <w:rPr>
          <w:rFonts w:hint="eastAsia"/>
          <w:color w:val="000000"/>
          <w:szCs w:val="32"/>
        </w:rPr>
      </w:pPr>
      <w:r>
        <w:rPr>
          <w:rFonts w:hint="eastAsia"/>
          <w:color w:val="000000"/>
          <w:szCs w:val="32"/>
        </w:rPr>
        <w:t>第六条本规定由中共通榆县委机构编制委员会办公室负责</w:t>
      </w:r>
    </w:p>
    <w:p>
      <w:pPr>
        <w:rPr>
          <w:rFonts w:hint="eastAsia"/>
          <w:color w:val="000000"/>
          <w:szCs w:val="32"/>
        </w:rPr>
      </w:pPr>
      <w:r>
        <w:rPr>
          <w:rFonts w:hint="eastAsia"/>
          <w:color w:val="000000"/>
          <w:szCs w:val="32"/>
        </w:rPr>
        <w:t>解释,其调整由中共通榆县委机构编制委员会办公室按规定程序办理。</w:t>
      </w:r>
    </w:p>
    <w:p>
      <w:pPr>
        <w:ind w:firstLine="640" w:firstLineChars="200"/>
        <w:rPr>
          <w:rFonts w:hint="eastAsia"/>
          <w:color w:val="000000"/>
          <w:szCs w:val="32"/>
        </w:rPr>
      </w:pPr>
      <w:r>
        <w:rPr>
          <w:rFonts w:hint="eastAsia"/>
          <w:color w:val="000000"/>
          <w:szCs w:val="32"/>
        </w:rPr>
        <w:t>第七条本规定自 2020 年 4 月 25 日起执行。</w:t>
      </w:r>
    </w:p>
    <w:p>
      <w:pPr>
        <w:ind w:firstLine="640" w:firstLineChars="200"/>
        <w:rPr>
          <w:rFonts w:hint="eastAsia"/>
          <w:color w:val="000000"/>
          <w:szCs w:val="32"/>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267"/>
        <w:gridCol w:w="1071"/>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609" w:type="dxa"/>
            <w:gridSpan w:val="2"/>
            <w:tcBorders>
              <w:top w:val="nil"/>
              <w:left w:val="nil"/>
              <w:bottom w:val="nil"/>
              <w:right w:val="nil"/>
            </w:tcBorders>
            <w:noWrap w:val="0"/>
            <w:vAlign w:val="center"/>
          </w:tcPr>
          <w:p>
            <w:pPr>
              <w:widowControl/>
              <w:jc w:val="center"/>
              <w:rPr>
                <w:rFonts w:eastAsia="宋体"/>
                <w:kern w:val="0"/>
                <w:sz w:val="20"/>
              </w:rPr>
            </w:pPr>
          </w:p>
        </w:tc>
        <w:tc>
          <w:tcPr>
            <w:tcW w:w="2229"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w:t>
            </w:r>
            <w:r>
              <w:rPr>
                <w:rFonts w:hint="eastAsia" w:eastAsia="宋体"/>
                <w:kern w:val="0"/>
                <w:sz w:val="20"/>
                <w:lang w:val="en-US" w:eastAsia="zh-CN"/>
              </w:rPr>
              <w:t>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26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w:t>
            </w:r>
            <w:r>
              <w:rPr>
                <w:rFonts w:hint="eastAsia" w:eastAsia="宋体"/>
                <w:kern w:val="0"/>
                <w:sz w:val="20"/>
                <w:lang w:val="en-US" w:eastAsia="zh-CN"/>
              </w:rPr>
              <w:t>4</w:t>
            </w:r>
            <w:r>
              <w:rPr>
                <w:rFonts w:hint="eastAsia" w:eastAsia="宋体"/>
                <w:kern w:val="0"/>
                <w:sz w:val="20"/>
              </w:rPr>
              <w:t>年预算数</w:t>
            </w:r>
          </w:p>
        </w:tc>
        <w:tc>
          <w:tcPr>
            <w:tcW w:w="1071"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15"/>
                <w:szCs w:val="15"/>
                <w:lang w:val="en-US" w:eastAsia="zh-CN"/>
              </w:rPr>
            </w:pPr>
            <w:r>
              <w:rPr>
                <w:rFonts w:hint="eastAsia" w:eastAsia="宋体"/>
                <w:kern w:val="0"/>
                <w:sz w:val="24"/>
                <w:szCs w:val="24"/>
                <w:lang w:val="en-US" w:eastAsia="zh-CN"/>
              </w:rPr>
              <w:t>575.49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15"/>
                <w:szCs w:val="15"/>
              </w:rPr>
            </w:pPr>
            <w:r>
              <w:rPr>
                <w:rFonts w:hint="eastAsia" w:eastAsia="宋体"/>
                <w:kern w:val="0"/>
                <w:sz w:val="24"/>
                <w:szCs w:val="24"/>
                <w:lang w:val="en-US" w:eastAsia="zh-CN"/>
              </w:rPr>
              <w:t>575.49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26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071"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15"/>
                <w:szCs w:val="15"/>
              </w:rPr>
            </w:pPr>
            <w:r>
              <w:rPr>
                <w:rFonts w:hint="eastAsia" w:eastAsia="宋体"/>
                <w:kern w:val="0"/>
                <w:sz w:val="24"/>
                <w:szCs w:val="24"/>
                <w:lang w:val="en-US" w:eastAsia="zh-CN"/>
              </w:rPr>
              <w:t>575.49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15"/>
                <w:szCs w:val="15"/>
              </w:rPr>
            </w:pPr>
            <w:r>
              <w:rPr>
                <w:rFonts w:hint="eastAsia" w:eastAsia="宋体"/>
                <w:kern w:val="0"/>
                <w:sz w:val="24"/>
                <w:szCs w:val="24"/>
                <w:lang w:val="en-US" w:eastAsia="zh-CN"/>
              </w:rPr>
              <w:t>575.49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267"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071"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267"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071"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267"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071"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26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071"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26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071"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267"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4"/>
                <w:szCs w:val="24"/>
                <w:lang w:val="en-US" w:eastAsia="zh-CN"/>
              </w:rPr>
            </w:pPr>
            <w:r>
              <w:rPr>
                <w:rFonts w:hint="eastAsia" w:eastAsia="宋体"/>
                <w:color w:val="000000"/>
                <w:kern w:val="0"/>
                <w:sz w:val="24"/>
                <w:szCs w:val="24"/>
                <w:lang w:val="en-US" w:eastAsia="zh-CN"/>
              </w:rPr>
              <w:t>75.89</w:t>
            </w:r>
          </w:p>
        </w:tc>
        <w:tc>
          <w:tcPr>
            <w:tcW w:w="1071"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15"/>
                <w:szCs w:val="15"/>
                <w:lang w:val="en-US" w:eastAsia="zh-CN" w:bidi="ar-SA"/>
              </w:rPr>
            </w:pPr>
            <w:r>
              <w:rPr>
                <w:rFonts w:hint="eastAsia" w:eastAsia="宋体"/>
                <w:color w:val="000000"/>
                <w:kern w:val="0"/>
                <w:sz w:val="24"/>
                <w:szCs w:val="24"/>
                <w:lang w:val="en-US" w:eastAsia="zh-CN"/>
              </w:rPr>
              <w:t>75.89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仿宋_GB2312"/>
                <w:b w:val="0"/>
                <w:bCs/>
                <w:color w:val="000000"/>
                <w:kern w:val="0"/>
                <w:sz w:val="20"/>
                <w:lang w:val="en-US" w:eastAsia="zh-CN"/>
              </w:rPr>
            </w:pPr>
            <w:r>
              <w:rPr>
                <w:rFonts w:hint="eastAsia" w:ascii="仿宋_GB2312"/>
                <w:b w:val="0"/>
                <w:bCs/>
                <w:color w:val="000000"/>
                <w:kern w:val="0"/>
                <w:sz w:val="20"/>
              </w:rPr>
              <w:t>八、</w:t>
            </w:r>
            <w:r>
              <w:rPr>
                <w:rFonts w:hint="eastAsia" w:ascii="仿宋_GB2312"/>
                <w:b w:val="0"/>
                <w:bCs/>
                <w:color w:val="000000"/>
                <w:kern w:val="0"/>
                <w:sz w:val="20"/>
                <w:lang w:val="en-US" w:eastAsia="zh-CN"/>
              </w:rPr>
              <w:t>卫生健康支出</w:t>
            </w:r>
          </w:p>
        </w:tc>
        <w:tc>
          <w:tcPr>
            <w:tcW w:w="1267"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4"/>
                <w:szCs w:val="24"/>
                <w:lang w:val="en-US" w:eastAsia="zh-CN"/>
              </w:rPr>
            </w:pPr>
          </w:p>
        </w:tc>
        <w:tc>
          <w:tcPr>
            <w:tcW w:w="1071"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15"/>
                <w:szCs w:val="15"/>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267"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1"/>
                <w:szCs w:val="21"/>
                <w:lang w:val="en-US" w:eastAsia="zh-CN"/>
              </w:rPr>
            </w:pPr>
            <w:r>
              <w:rPr>
                <w:rFonts w:hint="eastAsia" w:eastAsia="宋体"/>
                <w:color w:val="000000"/>
                <w:kern w:val="0"/>
                <w:sz w:val="21"/>
                <w:szCs w:val="21"/>
                <w:lang w:val="en-US" w:eastAsia="zh-CN"/>
              </w:rPr>
              <w:t>44.17</w:t>
            </w:r>
          </w:p>
        </w:tc>
        <w:tc>
          <w:tcPr>
            <w:tcW w:w="1071"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eastAsia" w:eastAsia="宋体" w:cs="Times New Roman"/>
                <w:color w:val="000000"/>
                <w:kern w:val="0"/>
                <w:sz w:val="21"/>
                <w:szCs w:val="21"/>
                <w:lang w:val="en-US" w:eastAsia="zh-CN" w:bidi="ar-SA"/>
              </w:rPr>
              <w:t>44.17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267"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1"/>
                <w:szCs w:val="21"/>
                <w:lang w:val="en-US" w:eastAsia="zh-CN"/>
              </w:rPr>
            </w:pPr>
            <w:r>
              <w:rPr>
                <w:rFonts w:hint="eastAsia" w:eastAsia="宋体"/>
                <w:color w:val="000000"/>
                <w:kern w:val="0"/>
                <w:sz w:val="21"/>
                <w:szCs w:val="21"/>
                <w:lang w:val="en-US" w:eastAsia="zh-CN"/>
              </w:rPr>
              <w:t>24.29</w:t>
            </w:r>
          </w:p>
        </w:tc>
        <w:tc>
          <w:tcPr>
            <w:tcW w:w="1071"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1"/>
                <w:szCs w:val="21"/>
                <w:lang w:val="en-US" w:eastAsia="zh-CN" w:bidi="ar-SA"/>
              </w:rPr>
            </w:pPr>
            <w:r>
              <w:rPr>
                <w:rFonts w:hint="eastAsia" w:eastAsia="宋体" w:cs="Times New Roman"/>
                <w:color w:val="000000"/>
                <w:kern w:val="0"/>
                <w:sz w:val="21"/>
                <w:szCs w:val="21"/>
                <w:lang w:val="en-US" w:eastAsia="zh-CN" w:bidi="ar-SA"/>
              </w:rPr>
              <w:t>24.29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default" w:eastAsia="仿宋_GB2312"/>
                <w:b w:val="0"/>
                <w:bCs/>
                <w:sz w:val="20"/>
                <w:lang w:val="en-US" w:eastAsia="zh-CN"/>
              </w:rPr>
            </w:pPr>
            <w:r>
              <w:rPr>
                <w:rFonts w:hint="eastAsia" w:ascii="仿宋_GB2312"/>
                <w:b w:val="0"/>
                <w:bCs/>
                <w:color w:val="000000"/>
                <w:kern w:val="0"/>
                <w:sz w:val="20"/>
              </w:rPr>
              <w:t>十一、</w:t>
            </w:r>
            <w:r>
              <w:rPr>
                <w:rFonts w:hint="eastAsia" w:ascii="仿宋_GB2312"/>
                <w:b w:val="0"/>
                <w:bCs/>
                <w:color w:val="000000"/>
                <w:kern w:val="0"/>
                <w:sz w:val="20"/>
                <w:lang w:val="en-US" w:eastAsia="zh-CN"/>
              </w:rPr>
              <w:t>交通运输支出</w:t>
            </w:r>
          </w:p>
        </w:tc>
        <w:tc>
          <w:tcPr>
            <w:tcW w:w="1267" w:type="dxa"/>
            <w:tcBorders>
              <w:top w:val="nil"/>
              <w:left w:val="single" w:color="auto" w:sz="4" w:space="0"/>
              <w:bottom w:val="single" w:color="auto" w:sz="4" w:space="0"/>
              <w:right w:val="single" w:color="auto" w:sz="4" w:space="0"/>
            </w:tcBorders>
            <w:noWrap w:val="0"/>
            <w:vAlign w:val="center"/>
          </w:tcPr>
          <w:p>
            <w:pPr>
              <w:jc w:val="center"/>
              <w:rPr>
                <w:rFonts w:hint="default" w:eastAsia="宋体"/>
                <w:sz w:val="15"/>
                <w:szCs w:val="15"/>
                <w:lang w:val="en-US" w:eastAsia="zh-CN"/>
              </w:rPr>
            </w:pPr>
            <w:r>
              <w:rPr>
                <w:rFonts w:hint="eastAsia" w:eastAsia="宋体"/>
                <w:sz w:val="24"/>
                <w:szCs w:val="24"/>
                <w:lang w:val="en-US" w:eastAsia="zh-CN"/>
              </w:rPr>
              <w:t>431.14</w:t>
            </w:r>
          </w:p>
        </w:tc>
        <w:tc>
          <w:tcPr>
            <w:tcW w:w="107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2"/>
                <w:sz w:val="15"/>
                <w:szCs w:val="15"/>
                <w:lang w:val="en-US" w:eastAsia="zh-CN" w:bidi="ar-SA"/>
              </w:rPr>
            </w:pPr>
            <w:r>
              <w:rPr>
                <w:rFonts w:hint="eastAsia" w:eastAsia="宋体"/>
                <w:sz w:val="24"/>
                <w:szCs w:val="24"/>
                <w:lang w:val="en-US" w:eastAsia="zh-CN"/>
              </w:rPr>
              <w:t>431.14</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4"/>
                <w:szCs w:val="24"/>
                <w:lang w:val="en-US" w:eastAsia="zh-CN"/>
              </w:rPr>
              <w:t>575.49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4"/>
                <w:szCs w:val="24"/>
                <w:lang w:val="en-US" w:eastAsia="zh-CN"/>
              </w:rPr>
              <w:t>575.49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267"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15"/>
                <w:szCs w:val="15"/>
              </w:rPr>
            </w:pPr>
            <w:r>
              <w:rPr>
                <w:rFonts w:hint="eastAsia" w:eastAsia="宋体"/>
                <w:kern w:val="0"/>
                <w:sz w:val="24"/>
                <w:szCs w:val="24"/>
                <w:lang w:val="en-US" w:eastAsia="zh-CN"/>
              </w:rPr>
              <w:t>575.49</w:t>
            </w:r>
          </w:p>
        </w:tc>
        <w:tc>
          <w:tcPr>
            <w:tcW w:w="1071" w:type="dxa"/>
            <w:tcBorders>
              <w:top w:val="nil"/>
              <w:left w:val="nil"/>
              <w:bottom w:val="single" w:color="auto" w:sz="4" w:space="0"/>
              <w:right w:val="single" w:color="auto" w:sz="4" w:space="0"/>
            </w:tcBorders>
            <w:noWrap w:val="0"/>
            <w:vAlign w:val="center"/>
          </w:tcPr>
          <w:p>
            <w:pPr>
              <w:widowControl/>
              <w:jc w:val="center"/>
              <w:rPr>
                <w:rFonts w:eastAsia="宋体"/>
                <w:kern w:val="0"/>
                <w:sz w:val="15"/>
                <w:szCs w:val="15"/>
              </w:rPr>
            </w:pPr>
            <w:r>
              <w:rPr>
                <w:rFonts w:hint="eastAsia" w:eastAsia="宋体"/>
                <w:kern w:val="0"/>
                <w:sz w:val="24"/>
                <w:szCs w:val="24"/>
                <w:lang w:val="en-US" w:eastAsia="zh-CN"/>
              </w:rPr>
              <w:t>575.49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267"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071"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267"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071"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4"/>
                <w:szCs w:val="24"/>
                <w:lang w:val="en-US" w:eastAsia="zh-CN"/>
              </w:rPr>
              <w:t>575.49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4"/>
                <w:szCs w:val="24"/>
                <w:lang w:val="en-US" w:eastAsia="zh-CN"/>
              </w:rPr>
              <w:t>575.49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267"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4"/>
                <w:szCs w:val="24"/>
                <w:lang w:val="en-US" w:eastAsia="zh-CN"/>
              </w:rPr>
              <w:t>575.49</w:t>
            </w:r>
          </w:p>
        </w:tc>
        <w:tc>
          <w:tcPr>
            <w:tcW w:w="1071"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4"/>
                <w:szCs w:val="24"/>
                <w:lang w:val="en-US" w:eastAsia="zh-CN"/>
              </w:rPr>
              <w:t>575.49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通榆县交通运输综合行政执法大队</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8"/>
                <w:szCs w:val="18"/>
                <w:lang w:val="en-US" w:eastAsia="zh-CN"/>
              </w:rPr>
            </w:pPr>
            <w:r>
              <w:rPr>
                <w:rFonts w:hint="eastAsia" w:eastAsia="宋体"/>
                <w:kern w:val="0"/>
                <w:sz w:val="18"/>
                <w:szCs w:val="18"/>
                <w:lang w:val="en-US" w:eastAsia="zh-CN"/>
              </w:rPr>
              <w:t>575.49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r>
              <w:rPr>
                <w:rFonts w:hint="eastAsia" w:eastAsia="宋体"/>
                <w:kern w:val="0"/>
                <w:sz w:val="18"/>
                <w:szCs w:val="18"/>
                <w:lang w:val="en-US" w:eastAsia="zh-CN"/>
              </w:rPr>
              <w:t>575.49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8"/>
                <w:szCs w:val="18"/>
              </w:rPr>
            </w:pPr>
            <w:r>
              <w:rPr>
                <w:rFonts w:hint="eastAsia" w:eastAsia="宋体"/>
                <w:kern w:val="0"/>
                <w:sz w:val="18"/>
                <w:szCs w:val="18"/>
                <w:lang w:val="en-US" w:eastAsia="zh-CN"/>
              </w:rPr>
              <w:t>575.49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0.00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hint="eastAsia" w:eastAsia="宋体"/>
                <w:color w:val="000000"/>
                <w:sz w:val="20"/>
                <w:lang w:val="en-US" w:eastAsia="zh-CN"/>
              </w:rPr>
            </w:pPr>
          </w:p>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0.00</w:t>
            </w: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18"/>
                <w:szCs w:val="18"/>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8"/>
                <w:szCs w:val="18"/>
                <w:lang w:val="en-US" w:eastAsia="zh-CN" w:bidi="ar-SA"/>
              </w:rPr>
            </w:pPr>
            <w:r>
              <w:rPr>
                <w:rFonts w:hint="eastAsia" w:eastAsia="宋体"/>
                <w:kern w:val="0"/>
                <w:sz w:val="18"/>
                <w:szCs w:val="18"/>
                <w:lang w:val="en-US" w:eastAsia="zh-CN"/>
              </w:rPr>
              <w:t>575.49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18"/>
                <w:szCs w:val="18"/>
                <w:lang w:val="en-US" w:eastAsia="zh-CN" w:bidi="ar-SA"/>
              </w:rPr>
            </w:pPr>
            <w:r>
              <w:rPr>
                <w:rFonts w:hint="eastAsia" w:eastAsia="宋体"/>
                <w:kern w:val="0"/>
                <w:sz w:val="18"/>
                <w:szCs w:val="18"/>
                <w:lang w:val="en-US" w:eastAsia="zh-CN"/>
              </w:rPr>
              <w:t>575.49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18"/>
                <w:szCs w:val="18"/>
                <w:lang w:val="en-US" w:eastAsia="zh-CN" w:bidi="ar-SA"/>
              </w:rPr>
            </w:pPr>
            <w:r>
              <w:rPr>
                <w:rFonts w:hint="eastAsia" w:eastAsia="宋体"/>
                <w:kern w:val="0"/>
                <w:sz w:val="18"/>
                <w:szCs w:val="18"/>
                <w:lang w:val="en-US" w:eastAsia="zh-CN"/>
              </w:rPr>
              <w:t>575.49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tcBorders>
              <w:top w:val="single" w:color="000000" w:sz="4" w:space="0"/>
              <w:bottom w:val="single" w:color="000000" w:sz="4" w:space="0"/>
              <w:right w:val="single" w:color="000000" w:sz="4" w:space="0"/>
            </w:tcBorders>
            <w:shd w:val="solid" w:color="FFFFFF" w:fill="auto"/>
            <w:noWrap w:val="0"/>
            <w:vAlign w:val="top"/>
          </w:tcPr>
          <w:p>
            <w:pPr>
              <w:autoSpaceDN w:val="0"/>
              <w:jc w:val="center"/>
              <w:textAlignment w:val="center"/>
              <w:rPr>
                <w:rFonts w:eastAsia="宋体"/>
                <w:color w:val="000000"/>
                <w:sz w:val="20"/>
              </w:rPr>
            </w:pPr>
          </w:p>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autoSpaceDN w:val="0"/>
              <w:jc w:val="center"/>
              <w:textAlignment w:val="center"/>
              <w:rPr>
                <w:rFonts w:hint="eastAsia" w:eastAsia="宋体"/>
                <w:color w:val="000000"/>
                <w:sz w:val="20"/>
                <w:lang w:val="en-US" w:eastAsia="zh-CN"/>
              </w:rPr>
            </w:pPr>
          </w:p>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0.00</w:t>
            </w: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宋体"/>
                      <w:color w:val="000000"/>
                      <w:kern w:val="0"/>
                      <w:sz w:val="20"/>
                      <w:lang w:val="en-US" w:eastAsia="zh-CN"/>
                    </w:rPr>
                    <w:t>一、社会保障和就业支出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75.89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75.89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75.89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75.89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58.89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58.89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14.43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14.43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2.58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2.58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二、卫生健康支出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24.29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24.29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24.29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24.29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23.55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23.55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0.74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0.74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三、交通运输支出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431.14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420.34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公路水路运输</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431.14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420.34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公路运输管理</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431.14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420.34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四、</w:t>
                  </w:r>
                  <w:r>
                    <w:rPr>
                      <w:rFonts w:hint="eastAsia" w:eastAsia="宋体"/>
                      <w:color w:val="000000"/>
                      <w:kern w:val="0"/>
                      <w:sz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44.17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44.17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44.17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44.17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44.17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44.17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575.49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564.69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pPr w:leftFromText="180" w:rightFromText="180" w:vertAnchor="text" w:horzAnchor="page" w:tblpX="955" w:tblpY="265"/>
        <w:tblOverlap w:val="never"/>
        <w:tblW w:w="0" w:type="auto"/>
        <w:tblInd w:w="0" w:type="dxa"/>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786"/>
              <w:gridCol w:w="590"/>
              <w:gridCol w:w="1721"/>
              <w:gridCol w:w="864"/>
              <w:gridCol w:w="825"/>
              <w:gridCol w:w="663"/>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rPr>
                    <w:t>202</w:t>
                  </w:r>
                  <w:r>
                    <w:rPr>
                      <w:rFonts w:hint="eastAsia" w:ascii="宋体" w:hAnsi="宋体" w:eastAsia="宋体" w:cs="宋体"/>
                      <w:kern w:val="0"/>
                      <w:sz w:val="20"/>
                      <w:lang w:val="en-US" w:eastAsia="zh-CN"/>
                    </w:rPr>
                    <w:t>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86"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9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rPr>
                    <w:t>202</w:t>
                  </w:r>
                  <w:r>
                    <w:rPr>
                      <w:rFonts w:hint="eastAsia" w:ascii="宋体" w:hAnsi="宋体" w:eastAsia="宋体" w:cs="宋体"/>
                      <w:kern w:val="0"/>
                      <w:sz w:val="20"/>
                      <w:lang w:val="en-US" w:eastAsia="zh-CN"/>
                    </w:rPr>
                    <w:t>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86"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9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575.49</w:t>
                  </w:r>
                </w:p>
              </w:tc>
              <w:tc>
                <w:tcPr>
                  <w:tcW w:w="78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575.49</w:t>
                  </w:r>
                </w:p>
              </w:tc>
              <w:tc>
                <w:tcPr>
                  <w:tcW w:w="59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575.49</w:t>
                  </w:r>
                </w:p>
              </w:tc>
              <w:tc>
                <w:tcPr>
                  <w:tcW w:w="82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color w:val="000000"/>
                      <w:kern w:val="0"/>
                      <w:sz w:val="20"/>
                      <w:lang w:val="en-US" w:eastAsia="zh-CN"/>
                    </w:rPr>
                  </w:pPr>
                </w:p>
                <w:p>
                  <w:pPr>
                    <w:widowControl/>
                    <w:jc w:val="center"/>
                    <w:rPr>
                      <w:rFonts w:eastAsia="宋体"/>
                      <w:kern w:val="0"/>
                      <w:sz w:val="20"/>
                    </w:rPr>
                  </w:pPr>
                  <w:r>
                    <w:rPr>
                      <w:rFonts w:hint="eastAsia" w:eastAsia="宋体"/>
                      <w:color w:val="000000"/>
                      <w:kern w:val="0"/>
                      <w:sz w:val="20"/>
                      <w:lang w:val="en-US" w:eastAsia="zh-CN"/>
                    </w:rPr>
                    <w:t>575.49</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575.49</w:t>
                  </w:r>
                </w:p>
              </w:tc>
              <w:tc>
                <w:tcPr>
                  <w:tcW w:w="78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575.49</w:t>
                  </w:r>
                </w:p>
              </w:tc>
              <w:tc>
                <w:tcPr>
                  <w:tcW w:w="59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75.89 </w:t>
                  </w:r>
                </w:p>
              </w:tc>
              <w:tc>
                <w:tcPr>
                  <w:tcW w:w="82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75.89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val="en-US" w:eastAsia="zh-CN"/>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24.29 </w:t>
                  </w:r>
                </w:p>
              </w:tc>
              <w:tc>
                <w:tcPr>
                  <w:tcW w:w="82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24.29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default" w:eastAsia="宋体"/>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431.14 </w:t>
                  </w:r>
                </w:p>
              </w:tc>
              <w:tc>
                <w:tcPr>
                  <w:tcW w:w="82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both"/>
                    <w:textAlignment w:val="bottom"/>
                    <w:rPr>
                      <w:rFonts w:hint="default" w:eastAsia="宋体"/>
                      <w:kern w:val="0"/>
                      <w:sz w:val="20"/>
                      <w:lang w:val="en-US" w:eastAsia="zh-CN"/>
                    </w:rPr>
                  </w:pPr>
                  <w:r>
                    <w:rPr>
                      <w:rFonts w:hint="eastAsia" w:eastAsia="宋体"/>
                      <w:kern w:val="0"/>
                      <w:sz w:val="20"/>
                      <w:lang w:val="en-US" w:eastAsia="zh-CN"/>
                    </w:rPr>
                    <w:t>431.14</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44.17</w:t>
                  </w:r>
                </w:p>
              </w:tc>
              <w:tc>
                <w:tcPr>
                  <w:tcW w:w="8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44.17</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575.49</w:t>
                  </w:r>
                </w:p>
              </w:tc>
              <w:tc>
                <w:tcPr>
                  <w:tcW w:w="78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575.49</w:t>
                  </w:r>
                </w:p>
              </w:tc>
              <w:tc>
                <w:tcPr>
                  <w:tcW w:w="59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575.49</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575.49</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9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8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59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2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color w:val="000000"/>
                      <w:kern w:val="0"/>
                      <w:sz w:val="20"/>
                      <w:lang w:val="en-US" w:eastAsia="zh-CN"/>
                    </w:rPr>
                    <w:t>575.49</w:t>
                  </w:r>
                </w:p>
              </w:tc>
              <w:tc>
                <w:tcPr>
                  <w:tcW w:w="78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color w:val="000000"/>
                      <w:kern w:val="0"/>
                      <w:sz w:val="20"/>
                      <w:lang w:val="en-US" w:eastAsia="zh-CN"/>
                    </w:rPr>
                    <w:t>575.49</w:t>
                  </w:r>
                </w:p>
              </w:tc>
              <w:tc>
                <w:tcPr>
                  <w:tcW w:w="59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575.49</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575.49</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rPr>
          <w:rFonts w:hAnsi="楷体" w:eastAsia="楷体"/>
        </w:rPr>
      </w:pP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527"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一、社会保障和就业支出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75.89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机关事业单位基本养老保险费支出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58.89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58.89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58.89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14.43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Arial" w:hAnsi="Arial" w:eastAsia="宋体" w:cs="Arial"/>
                      <w:i w:val="0"/>
                      <w:iCs w:val="0"/>
                      <w:color w:val="000000"/>
                      <w:kern w:val="0"/>
                      <w:sz w:val="20"/>
                      <w:szCs w:val="20"/>
                      <w:u w:val="none"/>
                      <w:lang w:val="en-US" w:eastAsia="zh-CN" w:bidi="ar"/>
                    </w:rPr>
                  </w:pPr>
                </w:p>
                <w:p>
                  <w:pPr>
                    <w:widowControl/>
                    <w:jc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二、卫生健康支出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24.29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bottom"/>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0.74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bottom"/>
                    <w:rPr>
                      <w:rFonts w:hint="default"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0.74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三、交通运输支出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431.14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420.34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381.94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38.40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公路水路运输</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420.34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381.94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38.40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公路运输管理</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431.14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420.34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381.94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38.40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四、</w:t>
                  </w:r>
                  <w:r>
                    <w:rPr>
                      <w:rFonts w:hint="eastAsia" w:eastAsia="宋体"/>
                      <w:color w:val="000000"/>
                      <w:kern w:val="0"/>
                      <w:sz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bottom"/>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bottom"/>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bottom"/>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bottom"/>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5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bottom"/>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bottom"/>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44.17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kern w:val="0"/>
                      <w:sz w:val="20"/>
                      <w:lang w:val="en-US" w:eastAsia="zh-CN"/>
                    </w:rPr>
                    <w:t>575.49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1"/>
                    </w:tabs>
                    <w:ind w:firstLine="200" w:firstLineChars="100"/>
                    <w:jc w:val="left"/>
                    <w:rPr>
                      <w:rFonts w:hint="default" w:eastAsia="宋体"/>
                      <w:color w:val="000000"/>
                      <w:kern w:val="0"/>
                      <w:sz w:val="20"/>
                      <w:lang w:val="en-US" w:eastAsia="zh-CN"/>
                    </w:rPr>
                  </w:pPr>
                  <w:r>
                    <w:rPr>
                      <w:rFonts w:hint="eastAsia" w:eastAsia="宋体"/>
                      <w:kern w:val="0"/>
                      <w:sz w:val="20"/>
                      <w:lang w:val="en-US" w:eastAsia="zh-CN"/>
                    </w:rPr>
                    <w:t>564.69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526.29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38.40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10.8</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272" w:hRule="atLeast"/>
          <w:jc w:val="center"/>
        </w:trPr>
        <w:tc>
          <w:tcPr>
            <w:tcW w:w="8931" w:type="dxa"/>
            <w:gridSpan w:val="4"/>
            <w:tcBorders>
              <w:top w:val="nil"/>
              <w:left w:val="nil"/>
              <w:bottom w:val="nil"/>
              <w:right w:val="nil"/>
            </w:tcBorders>
            <w:noWrap w:val="0"/>
            <w:vAlign w:val="bottom"/>
          </w:tcPr>
          <w:p>
            <w:pPr>
              <w:widowControl/>
              <w:jc w:val="both"/>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297"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36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合计</w:t>
            </w:r>
          </w:p>
        </w:tc>
        <w:tc>
          <w:tcPr>
            <w:tcW w:w="2220" w:type="dxa"/>
            <w:tcBorders>
              <w:top w:val="single" w:color="auto" w:sz="4" w:space="0"/>
              <w:left w:val="single" w:color="auto" w:sz="4" w:space="0"/>
              <w:right w:val="single" w:color="auto" w:sz="4" w:space="0"/>
            </w:tcBorders>
            <w:noWrap w:val="0"/>
            <w:vAlign w:val="center"/>
          </w:tcPr>
          <w:p>
            <w:pPr>
              <w:widowControl/>
              <w:tabs>
                <w:tab w:val="left" w:pos="581"/>
              </w:tabs>
              <w:ind w:firstLine="200" w:firstLineChars="100"/>
              <w:jc w:val="center"/>
              <w:rPr>
                <w:rFonts w:hint="default" w:ascii="宋体" w:hAnsi="宋体" w:eastAsia="宋体" w:cs="宋体"/>
                <w:color w:val="000000"/>
                <w:kern w:val="0"/>
                <w:sz w:val="20"/>
                <w:szCs w:val="20"/>
                <w:lang w:val="en-US" w:eastAsia="zh-CN"/>
              </w:rPr>
            </w:pPr>
            <w:r>
              <w:rPr>
                <w:rFonts w:hint="eastAsia" w:eastAsia="宋体"/>
                <w:kern w:val="0"/>
                <w:sz w:val="20"/>
                <w:lang w:val="en-US" w:eastAsia="zh-CN"/>
              </w:rPr>
              <w:t>564.69</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eastAsia="宋体"/>
                <w:color w:val="000000"/>
                <w:kern w:val="0"/>
                <w:sz w:val="20"/>
                <w:lang w:val="en-US" w:eastAsia="zh-CN"/>
              </w:rPr>
              <w:t>526.29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eastAsia="宋体"/>
                <w:color w:val="000000"/>
                <w:kern w:val="0"/>
                <w:sz w:val="20"/>
                <w:lang w:val="en-US" w:eastAsia="zh-CN"/>
              </w:rPr>
              <w:t>38.40</w:t>
            </w:r>
          </w:p>
        </w:tc>
      </w:tr>
      <w:tr>
        <w:tblPrEx>
          <w:tblCellMar>
            <w:top w:w="0" w:type="dxa"/>
            <w:left w:w="108" w:type="dxa"/>
            <w:bottom w:w="0" w:type="dxa"/>
            <w:right w:w="108" w:type="dxa"/>
          </w:tblCellMar>
        </w:tblPrEx>
        <w:trPr>
          <w:trHeight w:val="37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517.09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517.09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9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209.38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209.38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12.43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4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40.08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40.08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4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106.16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106.16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4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eastAsia="宋体"/>
                <w:color w:val="000000"/>
                <w:sz w:val="20"/>
                <w:lang w:val="en-US" w:eastAsia="zh-CN"/>
              </w:rPr>
            </w:pPr>
            <w:r>
              <w:rPr>
                <w:rFonts w:hint="eastAsia" w:eastAsia="宋体"/>
                <w:color w:val="000000"/>
                <w:sz w:val="20"/>
                <w:lang w:val="en-US"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58.89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58.89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41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8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23.55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23.55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4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其他</w:t>
            </w: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4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44.17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6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4.70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5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sz w:val="20"/>
                <w:szCs w:val="20"/>
                <w:lang w:val="en-US" w:eastAsia="zh-CN"/>
              </w:rPr>
              <w:t>36.4</w:t>
            </w:r>
          </w:p>
        </w:tc>
      </w:tr>
      <w:tr>
        <w:tblPrEx>
          <w:tblCellMar>
            <w:top w:w="0" w:type="dxa"/>
            <w:left w:w="108" w:type="dxa"/>
            <w:bottom w:w="0" w:type="dxa"/>
            <w:right w:w="108" w:type="dxa"/>
          </w:tblCellMar>
        </w:tblPrEx>
        <w:trPr>
          <w:trHeight w:val="34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w:t>
            </w:r>
          </w:p>
        </w:tc>
      </w:tr>
      <w:tr>
        <w:tblPrEx>
          <w:tblCellMar>
            <w:top w:w="0" w:type="dxa"/>
            <w:left w:w="108" w:type="dxa"/>
            <w:bottom w:w="0" w:type="dxa"/>
            <w:right w:w="108" w:type="dxa"/>
          </w:tblCellMar>
        </w:tblPrEx>
        <w:trPr>
          <w:trHeight w:val="40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咨询费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3.08</w:t>
            </w:r>
          </w:p>
        </w:tc>
      </w:tr>
      <w:tr>
        <w:tblPrEx>
          <w:tblCellMar>
            <w:top w:w="0" w:type="dxa"/>
            <w:left w:w="108" w:type="dxa"/>
            <w:bottom w:w="0" w:type="dxa"/>
            <w:right w:w="108" w:type="dxa"/>
          </w:tblCellMar>
        </w:tblPrEx>
        <w:trPr>
          <w:trHeight w:val="37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0.11</w:t>
            </w:r>
          </w:p>
        </w:tc>
      </w:tr>
      <w:tr>
        <w:tblPrEx>
          <w:tblCellMar>
            <w:top w:w="0" w:type="dxa"/>
            <w:left w:w="108" w:type="dxa"/>
            <w:bottom w:w="0" w:type="dxa"/>
            <w:right w:w="108" w:type="dxa"/>
          </w:tblCellMar>
        </w:tblPrEx>
        <w:trPr>
          <w:trHeight w:val="39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4.8</w:t>
            </w:r>
          </w:p>
        </w:tc>
      </w:tr>
      <w:tr>
        <w:tblPrEx>
          <w:tblCellMar>
            <w:top w:w="0" w:type="dxa"/>
            <w:left w:w="108" w:type="dxa"/>
            <w:bottom w:w="0" w:type="dxa"/>
            <w:right w:w="108" w:type="dxa"/>
          </w:tblCellMar>
        </w:tblPrEx>
        <w:trPr>
          <w:trHeight w:val="40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1.56</w:t>
            </w:r>
          </w:p>
        </w:tc>
      </w:tr>
      <w:tr>
        <w:tblPrEx>
          <w:tblCellMar>
            <w:top w:w="0" w:type="dxa"/>
            <w:left w:w="108" w:type="dxa"/>
            <w:bottom w:w="0" w:type="dxa"/>
            <w:right w:w="108" w:type="dxa"/>
          </w:tblCellMar>
        </w:tblPrEx>
        <w:trPr>
          <w:trHeight w:val="37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取暖费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7.3</w:t>
            </w:r>
          </w:p>
        </w:tc>
      </w:tr>
      <w:tr>
        <w:tblPrEx>
          <w:tblCellMar>
            <w:top w:w="0" w:type="dxa"/>
            <w:left w:w="108" w:type="dxa"/>
            <w:bottom w:w="0" w:type="dxa"/>
            <w:right w:w="108" w:type="dxa"/>
          </w:tblCellMar>
        </w:tblPrEx>
        <w:trPr>
          <w:trHeight w:val="42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7.05</w:t>
            </w: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6.52</w:t>
            </w:r>
          </w:p>
        </w:tc>
      </w:tr>
      <w:tr>
        <w:tblPrEx>
          <w:tblCellMar>
            <w:top w:w="0" w:type="dxa"/>
            <w:left w:w="108" w:type="dxa"/>
            <w:bottom w:w="0" w:type="dxa"/>
            <w:right w:w="108" w:type="dxa"/>
          </w:tblCellMar>
        </w:tblPrEx>
        <w:trPr>
          <w:trHeight w:val="381"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公务用车运行维护费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0.86</w:t>
            </w:r>
          </w:p>
        </w:tc>
      </w:tr>
      <w:tr>
        <w:tblPrEx>
          <w:tblCellMar>
            <w:top w:w="0" w:type="dxa"/>
            <w:left w:w="108" w:type="dxa"/>
            <w:bottom w:w="0" w:type="dxa"/>
            <w:right w:w="108" w:type="dxa"/>
          </w:tblCellMar>
        </w:tblPrEx>
        <w:trPr>
          <w:trHeight w:val="36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对个人和家庭的补助</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lang w:val="en-US"/>
              </w:rPr>
            </w:pPr>
            <w:r>
              <w:rPr>
                <w:rFonts w:hint="eastAsia" w:eastAsia="宋体"/>
                <w:kern w:val="0"/>
                <w:sz w:val="20"/>
                <w:lang w:val="en-US" w:eastAsia="zh-CN"/>
              </w:rPr>
              <w:t>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0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9.2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lang w:val="en-US"/>
              </w:rPr>
            </w:pPr>
            <w:r>
              <w:rPr>
                <w:rFonts w:hint="eastAsia" w:eastAsia="宋体"/>
                <w:kern w:val="0"/>
                <w:sz w:val="20"/>
                <w:lang w:val="en-US" w:eastAsia="zh-CN"/>
              </w:rPr>
              <w:t>9.2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31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三、资本性支出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lang w:val="en-US" w:eastAsia="zh-CN"/>
              </w:rPr>
            </w:pPr>
            <w:r>
              <w:rPr>
                <w:rFonts w:hint="eastAsia"/>
                <w:sz w:val="21"/>
                <w:szCs w:val="21"/>
                <w:lang w:val="en-US" w:eastAsia="zh-CN"/>
              </w:rPr>
              <w:t>2</w:t>
            </w:r>
          </w:p>
        </w:tc>
      </w:tr>
      <w:tr>
        <w:tblPrEx>
          <w:tblCellMar>
            <w:top w:w="0" w:type="dxa"/>
            <w:left w:w="108" w:type="dxa"/>
            <w:bottom w:w="0" w:type="dxa"/>
            <w:right w:w="108" w:type="dxa"/>
          </w:tblCellMar>
        </w:tblPrEx>
        <w:trPr>
          <w:trHeight w:val="35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lang w:val="en-US" w:eastAsia="zh-CN"/>
              </w:rPr>
            </w:pPr>
            <w:r>
              <w:rPr>
                <w:rFonts w:hint="eastAsia"/>
                <w:sz w:val="21"/>
                <w:szCs w:val="21"/>
                <w:lang w:val="en-US" w:eastAsia="zh-CN"/>
              </w:rPr>
              <w:t>2</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rPr>
          <w:rFonts w:eastAsia="楷体"/>
        </w:rPr>
      </w:pP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3.72</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3.72</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3.72</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59</w:t>
            </w:r>
            <w:r>
              <w:rPr>
                <w:color w:val="000000"/>
                <w:kern w:val="0"/>
                <w:sz w:val="28"/>
                <w:szCs w:val="28"/>
              </w:rPr>
              <w:t>人，其中：在职人员</w:t>
            </w:r>
            <w:r>
              <w:rPr>
                <w:rFonts w:hint="eastAsia" w:eastAsia="宋体"/>
                <w:color w:val="000000"/>
                <w:kern w:val="0"/>
                <w:sz w:val="28"/>
                <w:szCs w:val="28"/>
                <w:u w:val="single"/>
                <w:lang w:val="en-US" w:eastAsia="zh-CN"/>
              </w:rPr>
              <w:t>40</w:t>
            </w:r>
            <w:r>
              <w:rPr>
                <w:color w:val="000000"/>
                <w:kern w:val="0"/>
                <w:sz w:val="28"/>
                <w:szCs w:val="28"/>
              </w:rPr>
              <w:t>人，离退休人员</w:t>
            </w:r>
            <w:r>
              <w:rPr>
                <w:rFonts w:hint="eastAsia" w:eastAsia="宋体"/>
                <w:color w:val="000000"/>
                <w:kern w:val="0"/>
                <w:sz w:val="28"/>
                <w:szCs w:val="28"/>
                <w:u w:val="single"/>
                <w:lang w:val="en-US" w:eastAsia="zh-CN"/>
              </w:rPr>
              <w:t>19</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p>
      <w:pPr>
        <w:spacing w:line="700" w:lineRule="exact"/>
        <w:rPr>
          <w:rFonts w:hint="eastAsia" w:ascii="楷体" w:hAnsi="楷体" w:eastAsia="楷体" w:cs="楷体"/>
          <w:kern w:val="0"/>
          <w:sz w:val="24"/>
          <w:szCs w:val="24"/>
        </w:rPr>
      </w:pPr>
    </w:p>
    <w:tbl>
      <w:tblPr>
        <w:tblStyle w:val="9"/>
        <w:tblpPr w:leftFromText="180" w:rightFromText="180" w:vertAnchor="page" w:horzAnchor="page" w:tblpX="1578" w:tblpY="361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pPr w:leftFromText="180" w:rightFromText="180" w:vertAnchor="text" w:horzAnchor="page" w:tblpX="1838" w:tblpY="13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1147"/>
        <w:gridCol w:w="1403"/>
        <w:gridCol w:w="814"/>
        <w:gridCol w:w="590"/>
        <w:gridCol w:w="715"/>
        <w:gridCol w:w="497"/>
        <w:gridCol w:w="538"/>
        <w:gridCol w:w="457"/>
        <w:gridCol w:w="497"/>
        <w:gridCol w:w="619"/>
        <w:gridCol w:w="538"/>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0" w:type="auto"/>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0" w:type="auto"/>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0" w:type="auto"/>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0" w:type="auto"/>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0" w:type="auto"/>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0" w:type="auto"/>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0" w:type="auto"/>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0" w:type="auto"/>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0" w:type="auto"/>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0" w:type="auto"/>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0" w:type="auto"/>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trPr>
        <w:tc>
          <w:tcPr>
            <w:tcW w:w="0" w:type="auto"/>
            <w:vMerge w:val="continue"/>
            <w:noWrap w:val="0"/>
            <w:vAlign w:val="center"/>
          </w:tcPr>
          <w:p>
            <w:pPr>
              <w:autoSpaceDN w:val="0"/>
              <w:jc w:val="center"/>
              <w:textAlignment w:val="center"/>
              <w:rPr>
                <w:rFonts w:ascii="Calibri" w:hAnsi="Calibri" w:eastAsia="华文细黑"/>
                <w:color w:val="000000"/>
                <w:sz w:val="20"/>
                <w:szCs w:val="22"/>
              </w:rPr>
            </w:pPr>
          </w:p>
        </w:tc>
        <w:tc>
          <w:tcPr>
            <w:tcW w:w="0" w:type="auto"/>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0" w:type="auto"/>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0" w:type="auto"/>
            <w:vMerge w:val="continue"/>
            <w:noWrap w:val="0"/>
            <w:vAlign w:val="center"/>
          </w:tcPr>
          <w:p>
            <w:pPr>
              <w:autoSpaceDN w:val="0"/>
              <w:jc w:val="center"/>
              <w:textAlignment w:val="center"/>
              <w:rPr>
                <w:rFonts w:ascii="Calibri" w:hAnsi="Calibri" w:eastAsia="华文细黑"/>
                <w:color w:val="000000"/>
                <w:sz w:val="20"/>
                <w:szCs w:val="22"/>
              </w:rPr>
            </w:pPr>
          </w:p>
        </w:tc>
        <w:tc>
          <w:tcPr>
            <w:tcW w:w="0" w:type="auto"/>
            <w:vMerge w:val="continue"/>
            <w:noWrap w:val="0"/>
            <w:vAlign w:val="center"/>
          </w:tcPr>
          <w:p>
            <w:pPr>
              <w:autoSpaceDN w:val="0"/>
              <w:jc w:val="center"/>
              <w:textAlignment w:val="center"/>
              <w:rPr>
                <w:rFonts w:ascii="Calibri" w:hAnsi="Calibri" w:eastAsia="华文细黑"/>
                <w:color w:val="000000"/>
                <w:sz w:val="20"/>
                <w:szCs w:val="22"/>
              </w:rPr>
            </w:pPr>
          </w:p>
        </w:tc>
        <w:tc>
          <w:tcPr>
            <w:tcW w:w="0" w:type="auto"/>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0" w:type="auto"/>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0" w:type="auto"/>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0" w:type="auto"/>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0" w:type="auto"/>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0" w:type="auto"/>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0" w:type="auto"/>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0" w:type="auto"/>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exact"/>
        </w:trPr>
        <w:tc>
          <w:tcPr>
            <w:tcW w:w="0" w:type="auto"/>
            <w:noWrap w:val="0"/>
            <w:vAlign w:val="bottom"/>
          </w:tcPr>
          <w:p>
            <w:pPr>
              <w:spacing w:line="700" w:lineRule="exact"/>
              <w:jc w:val="both"/>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 xml:space="preserve">专项业务支出  </w:t>
            </w:r>
          </w:p>
        </w:tc>
        <w:tc>
          <w:tcPr>
            <w:tcW w:w="0" w:type="auto"/>
            <w:noWrap w:val="0"/>
            <w:vAlign w:val="top"/>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交通运输局2024年驻村工作队生活补贴</w:t>
            </w:r>
          </w:p>
        </w:tc>
        <w:tc>
          <w:tcPr>
            <w:tcW w:w="0" w:type="auto"/>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交通运输综合行政执法大队2024年驻村工作队生活补贴</w:t>
            </w:r>
          </w:p>
        </w:tc>
        <w:tc>
          <w:tcPr>
            <w:tcW w:w="0" w:type="auto"/>
            <w:noWrap w:val="0"/>
            <w:vAlign w:val="center"/>
          </w:tcPr>
          <w:p>
            <w:pPr>
              <w:spacing w:line="240" w:lineRule="auto"/>
              <w:jc w:val="center"/>
              <w:rPr>
                <w:rFonts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交通运输综合行政执法大队</w:t>
            </w:r>
          </w:p>
        </w:tc>
        <w:tc>
          <w:tcPr>
            <w:tcW w:w="0" w:type="auto"/>
            <w:noWrap w:val="0"/>
            <w:vAlign w:val="center"/>
          </w:tcPr>
          <w:p>
            <w:pPr>
              <w:spacing w:line="700" w:lineRule="exact"/>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10.8</w:t>
            </w:r>
          </w:p>
        </w:tc>
        <w:tc>
          <w:tcPr>
            <w:tcW w:w="0" w:type="auto"/>
            <w:noWrap w:val="0"/>
            <w:vAlign w:val="center"/>
          </w:tcPr>
          <w:p>
            <w:pPr>
              <w:spacing w:line="700" w:lineRule="exact"/>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10.8</w:t>
            </w: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exact"/>
        </w:trPr>
        <w:tc>
          <w:tcPr>
            <w:tcW w:w="0" w:type="auto"/>
            <w:noWrap w:val="0"/>
            <w:vAlign w:val="center"/>
          </w:tcPr>
          <w:p>
            <w:pPr>
              <w:spacing w:line="240" w:lineRule="auto"/>
              <w:jc w:val="center"/>
              <w:rPr>
                <w:rFonts w:ascii="Calibri" w:hAnsi="Calibri" w:eastAsia="楷体"/>
                <w:kern w:val="0"/>
                <w:sz w:val="18"/>
                <w:szCs w:val="18"/>
              </w:rPr>
            </w:pPr>
          </w:p>
        </w:tc>
        <w:tc>
          <w:tcPr>
            <w:tcW w:w="0" w:type="auto"/>
            <w:noWrap w:val="0"/>
            <w:vAlign w:val="center"/>
          </w:tcPr>
          <w:p>
            <w:pPr>
              <w:spacing w:line="240" w:lineRule="auto"/>
              <w:jc w:val="center"/>
              <w:rPr>
                <w:rFonts w:ascii="Calibri" w:hAnsi="Calibri" w:eastAsia="楷体"/>
                <w:kern w:val="0"/>
                <w:sz w:val="18"/>
                <w:szCs w:val="18"/>
              </w:rPr>
            </w:pPr>
          </w:p>
        </w:tc>
        <w:tc>
          <w:tcPr>
            <w:tcW w:w="0" w:type="auto"/>
            <w:noWrap w:val="0"/>
            <w:vAlign w:val="center"/>
          </w:tcPr>
          <w:p>
            <w:pPr>
              <w:spacing w:line="240" w:lineRule="auto"/>
              <w:jc w:val="center"/>
              <w:rPr>
                <w:rFonts w:ascii="Calibri" w:hAnsi="Calibri" w:eastAsia="楷体"/>
                <w:kern w:val="0"/>
                <w:sz w:val="18"/>
                <w:szCs w:val="18"/>
              </w:rPr>
            </w:pPr>
          </w:p>
        </w:tc>
        <w:tc>
          <w:tcPr>
            <w:tcW w:w="0" w:type="auto"/>
            <w:noWrap w:val="0"/>
            <w:vAlign w:val="center"/>
          </w:tcPr>
          <w:p>
            <w:pPr>
              <w:spacing w:line="240" w:lineRule="auto"/>
              <w:jc w:val="center"/>
              <w:rPr>
                <w:rFonts w:ascii="Calibri" w:hAnsi="Calibri" w:eastAsia="楷体"/>
                <w:kern w:val="0"/>
                <w:sz w:val="18"/>
                <w:szCs w:val="18"/>
              </w:rPr>
            </w:pPr>
          </w:p>
        </w:tc>
        <w:tc>
          <w:tcPr>
            <w:tcW w:w="0" w:type="auto"/>
            <w:noWrap w:val="0"/>
            <w:vAlign w:val="center"/>
          </w:tcPr>
          <w:p>
            <w:pPr>
              <w:spacing w:line="700" w:lineRule="exact"/>
              <w:jc w:val="center"/>
              <w:rPr>
                <w:rFonts w:hint="default" w:ascii="Calibri" w:hAnsi="Calibri" w:eastAsia="楷体"/>
                <w:kern w:val="0"/>
                <w:sz w:val="15"/>
                <w:szCs w:val="15"/>
                <w:lang w:val="en-US" w:eastAsia="zh-CN"/>
              </w:rPr>
            </w:pPr>
          </w:p>
        </w:tc>
        <w:tc>
          <w:tcPr>
            <w:tcW w:w="0" w:type="auto"/>
            <w:noWrap w:val="0"/>
            <w:vAlign w:val="center"/>
          </w:tcPr>
          <w:p>
            <w:pPr>
              <w:spacing w:line="700" w:lineRule="exact"/>
              <w:jc w:val="center"/>
              <w:rPr>
                <w:rFonts w:hint="default" w:ascii="Calibri" w:hAnsi="Calibri" w:eastAsia="楷体"/>
                <w:kern w:val="0"/>
                <w:sz w:val="15"/>
                <w:szCs w:val="15"/>
                <w:lang w:val="en-US" w:eastAsia="zh-CN"/>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trPr>
        <w:tc>
          <w:tcPr>
            <w:tcW w:w="0" w:type="auto"/>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0" w:type="auto"/>
            <w:noWrap w:val="0"/>
            <w:vAlign w:val="center"/>
          </w:tcPr>
          <w:p>
            <w:pPr>
              <w:autoSpaceDN w:val="0"/>
              <w:jc w:val="center"/>
              <w:textAlignment w:val="center"/>
              <w:rPr>
                <w:rFonts w:ascii="Calibri" w:hAnsi="Calibri" w:eastAsia="华文细黑"/>
                <w:color w:val="000000"/>
                <w:sz w:val="20"/>
                <w:szCs w:val="2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top"/>
          </w:tcPr>
          <w:p>
            <w:pPr>
              <w:spacing w:line="700" w:lineRule="exact"/>
              <w:jc w:val="both"/>
              <w:rPr>
                <w:rFonts w:ascii="Calibri" w:hAnsi="Calibri" w:eastAsia="楷体"/>
                <w:kern w:val="0"/>
                <w:sz w:val="10"/>
                <w:szCs w:val="10"/>
              </w:rPr>
            </w:pPr>
            <w:r>
              <w:rPr>
                <w:rFonts w:hint="eastAsia"/>
                <w:sz w:val="21"/>
                <w:szCs w:val="21"/>
                <w:lang w:val="en-US" w:eastAsia="zh-CN"/>
              </w:rPr>
              <w:t>10.</w:t>
            </w:r>
            <w:r>
              <w:rPr>
                <w:rFonts w:hint="eastAsia"/>
                <w:sz w:val="21"/>
                <w:szCs w:val="21"/>
              </w:rPr>
              <w:t>8</w:t>
            </w:r>
          </w:p>
        </w:tc>
        <w:tc>
          <w:tcPr>
            <w:tcW w:w="0" w:type="auto"/>
            <w:noWrap w:val="0"/>
            <w:vAlign w:val="top"/>
          </w:tcPr>
          <w:p>
            <w:pPr>
              <w:spacing w:line="700" w:lineRule="exact"/>
              <w:jc w:val="center"/>
              <w:rPr>
                <w:rFonts w:ascii="Calibri" w:hAnsi="Calibri" w:eastAsia="楷体"/>
                <w:kern w:val="0"/>
                <w:sz w:val="10"/>
                <w:szCs w:val="10"/>
              </w:rPr>
            </w:pPr>
            <w:r>
              <w:rPr>
                <w:rFonts w:hint="eastAsia"/>
                <w:sz w:val="18"/>
                <w:szCs w:val="18"/>
                <w:lang w:val="en-US" w:eastAsia="zh-CN"/>
              </w:rPr>
              <w:t>1</w:t>
            </w:r>
            <w:r>
              <w:rPr>
                <w:rFonts w:hint="eastAsia"/>
                <w:sz w:val="18"/>
                <w:szCs w:val="18"/>
              </w:rPr>
              <w:t>0.8</w:t>
            </w: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c>
          <w:tcPr>
            <w:tcW w:w="0" w:type="auto"/>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行政执法大队2024年驻村工作队生活补助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交通运输综合执法大队向乌兰花派出三名干部，开展乡村振兴工作</w:t>
            </w:r>
            <w:r>
              <w:rPr>
                <w:rFonts w:hint="eastAsia" w:ascii="宋体" w:hAnsi="宋体" w:eastAsia="宋体" w:cs="宋体"/>
                <w:color w:val="000000"/>
                <w:sz w:val="20"/>
                <w:lang w:eastAsia="zh-CN"/>
              </w:rPr>
              <w:t>。</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派出驻村干部人数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驻村干部天数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b/>
                <w:bCs/>
                <w:color w:val="000000"/>
                <w:sz w:val="20"/>
              </w:rPr>
            </w:pPr>
            <w:r>
              <w:rPr>
                <w:rFonts w:hint="eastAsia" w:ascii="宋体" w:hAnsi="宋体" w:eastAsia="宋体" w:cs="宋体"/>
                <w:b w:val="0"/>
                <w:bCs w:val="0"/>
                <w:color w:val="000000"/>
                <w:sz w:val="20"/>
              </w:rPr>
              <w:t>驻村干部生活补助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r>
              <w:rPr>
                <w:rFonts w:hint="eastAsia" w:ascii="宋体" w:hAnsi="宋体" w:eastAsia="宋体" w:cs="宋体"/>
                <w:color w:val="000000"/>
                <w:sz w:val="20"/>
              </w:rPr>
              <w:t>元/人/日</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驻村工作开展提高村民生活质量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驻村干部对发放驻村补助满意度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
    <w:p/>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575.49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575.49</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121.87</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t>__</w:t>
      </w:r>
      <w:r>
        <w:rPr>
          <w:rFonts w:hint="eastAsia" w:ascii="仿宋_GB2312" w:hAnsi="仿宋_GB2312" w:cs="仿宋_GB2312"/>
          <w:szCs w:val="32"/>
          <w:lang w:val="en-US" w:eastAsia="zh-CN"/>
        </w:rPr>
        <w:t>人员调出退休等原因工资减少导致</w:t>
      </w:r>
      <w:r>
        <w:rPr>
          <w:rFonts w:hint="eastAsia" w:ascii="仿宋_GB2312" w:hAnsi="仿宋_GB2312" w:eastAsia="仿宋_GB2312" w:cs="仿宋_GB2312"/>
          <w:szCs w:val="32"/>
        </w:rPr>
        <w:t>__。</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575.49</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575.49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575.49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575.49</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564.69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98.12</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10.8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1.88</w:t>
      </w:r>
      <w:r>
        <w:rPr>
          <w:rFonts w:hint="eastAsia" w:ascii="仿宋_GB2312" w:hAnsi="仿宋_GB2312" w:eastAsia="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575.49</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575.49</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75.89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24.29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431.14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44.17</w:t>
      </w:r>
      <w:r>
        <w:rPr>
          <w:rFonts w:hint="eastAsia" w:ascii="仿宋_GB2312" w:hAnsi="仿宋_GB2312" w:eastAsia="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575.49</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564.69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98.12</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10.8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1.88</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526.29</w:t>
      </w:r>
      <w:r>
        <w:rPr>
          <w:rFonts w:hint="eastAsia" w:ascii="仿宋_GB2312" w:hAnsi="仿宋_GB2312" w:eastAsia="仿宋_GB2312" w:cs="仿宋_GB2312"/>
          <w:szCs w:val="32"/>
        </w:rPr>
        <w:t>万元，</w:t>
      </w:r>
      <w:r>
        <w:rPr>
          <w:rFonts w:hint="eastAsia" w:ascii="仿宋_GB2312" w:hAnsi="仿宋_GB2312" w:cs="仿宋_GB2312"/>
          <w:szCs w:val="32"/>
          <w:u w:val="single"/>
          <w:lang w:val="en-US" w:eastAsia="zh-CN"/>
        </w:rPr>
        <w:t>93.</w:t>
      </w:r>
      <w:r>
        <w:rPr>
          <w:rFonts w:hint="eastAsia" w:ascii="仿宋_GB2312" w:hAnsi="仿宋_GB2312" w:cs="仿宋_GB2312"/>
          <w:szCs w:val="32"/>
          <w:lang w:val="en-US" w:eastAsia="zh-CN"/>
        </w:rPr>
        <w:t>2</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38.4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6.8</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75.89</w:t>
      </w:r>
      <w:r>
        <w:rPr>
          <w:rFonts w:hint="eastAsia" w:ascii="仿宋_GB2312" w:hAnsi="仿宋_GB2312" w:eastAsia="仿宋_GB2312" w:cs="仿宋_GB2312"/>
          <w:szCs w:val="32"/>
        </w:rPr>
        <w:t>万元，占_</w:t>
      </w:r>
      <w:r>
        <w:rPr>
          <w:rFonts w:hint="eastAsia" w:ascii="仿宋_GB2312" w:hAnsi="仿宋_GB2312" w:cs="仿宋_GB2312"/>
          <w:szCs w:val="32"/>
          <w:lang w:val="en-US" w:eastAsia="zh-CN"/>
        </w:rPr>
        <w:t>13</w:t>
      </w:r>
      <w:r>
        <w:rPr>
          <w:rFonts w:hint="eastAsia" w:ascii="仿宋_GB2312" w:hAnsi="仿宋_GB2312" w:eastAsia="仿宋_GB2312" w:cs="仿宋_GB2312"/>
          <w:szCs w:val="32"/>
        </w:rPr>
        <w:t>_%，主要用于</w:t>
      </w:r>
      <w:r>
        <w:rPr>
          <w:rFonts w:hint="eastAsia" w:ascii="仿宋_GB2312" w:hAnsi="仿宋_GB2312" w:cs="仿宋_GB2312"/>
          <w:szCs w:val="32"/>
          <w:u w:val="single"/>
          <w:lang w:val="en-US" w:eastAsia="zh-CN"/>
        </w:rPr>
        <w:t>职工社保费、职业年金缴费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val="en-US"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24.29</w:t>
      </w:r>
      <w:r>
        <w:rPr>
          <w:rFonts w:hint="eastAsia" w:ascii="仿宋_GB2312" w:hAnsi="仿宋_GB2312" w:eastAsia="仿宋_GB2312" w:cs="仿宋_GB2312"/>
          <w:szCs w:val="32"/>
        </w:rPr>
        <w:t>万元，占_</w:t>
      </w:r>
      <w:r>
        <w:rPr>
          <w:rFonts w:hint="eastAsia" w:ascii="仿宋_GB2312" w:hAnsi="仿宋_GB2312" w:cs="仿宋_GB2312"/>
          <w:szCs w:val="32"/>
          <w:lang w:val="en-US" w:eastAsia="zh-CN"/>
        </w:rPr>
        <w:t>4</w:t>
      </w:r>
      <w:r>
        <w:rPr>
          <w:rFonts w:hint="eastAsia" w:ascii="仿宋_GB2312" w:hAnsi="仿宋_GB2312" w:eastAsia="仿宋_GB2312" w:cs="仿宋_GB2312"/>
          <w:szCs w:val="32"/>
        </w:rPr>
        <w:t>_%，主要用于</w:t>
      </w:r>
      <w:r>
        <w:rPr>
          <w:rFonts w:hint="eastAsia" w:ascii="仿宋_GB2312" w:hAnsi="仿宋_GB2312" w:cs="仿宋_GB2312"/>
          <w:szCs w:val="32"/>
          <w:u w:val="single"/>
          <w:lang w:val="en-US" w:eastAsia="zh-CN"/>
        </w:rPr>
        <w:t>职工医保费、工伤保险费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val="en-US" w:eastAsia="zh-CN"/>
        </w:rPr>
        <w:t>交通运输</w:t>
      </w:r>
      <w:r>
        <w:rPr>
          <w:rFonts w:hint="eastAsia" w:ascii="仿宋_GB2312" w:hAnsi="仿宋_GB2312" w:eastAsia="仿宋_GB2312" w:cs="仿宋_GB2312"/>
          <w:szCs w:val="32"/>
        </w:rPr>
        <w:t>支出（类）支出_</w:t>
      </w:r>
      <w:r>
        <w:rPr>
          <w:rFonts w:hint="eastAsia" w:ascii="仿宋_GB2312" w:hAnsi="仿宋_GB2312" w:cs="仿宋_GB2312"/>
          <w:szCs w:val="32"/>
          <w:u w:val="single"/>
          <w:lang w:val="en-US" w:eastAsia="zh-CN"/>
        </w:rPr>
        <w:t>431.14</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75</w:t>
      </w:r>
      <w:r>
        <w:rPr>
          <w:rFonts w:hint="eastAsia" w:ascii="仿宋_GB2312" w:hAnsi="仿宋_GB2312" w:eastAsia="仿宋_GB2312" w:cs="仿宋_GB2312"/>
          <w:szCs w:val="32"/>
        </w:rPr>
        <w:t>_%，主要用于_</w:t>
      </w:r>
      <w:r>
        <w:rPr>
          <w:rFonts w:hint="eastAsia" w:ascii="仿宋_GB2312" w:hAnsi="仿宋_GB2312" w:cs="仿宋_GB2312"/>
          <w:szCs w:val="32"/>
          <w:lang w:val="en-US" w:eastAsia="zh-CN"/>
        </w:rPr>
        <w:t>工资、日常公用经费支出</w:t>
      </w:r>
      <w:r>
        <w:rPr>
          <w:rFonts w:hint="eastAsia" w:ascii="仿宋_GB2312" w:hAnsi="仿宋_GB2312" w:eastAsia="仿宋_GB2312" w:cs="仿宋_GB2312"/>
          <w:szCs w:val="32"/>
        </w:rPr>
        <w:t>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44.17</w:t>
      </w:r>
      <w:r>
        <w:rPr>
          <w:rFonts w:hint="eastAsia" w:ascii="仿宋_GB2312" w:hAnsi="仿宋_GB2312" w:eastAsia="仿宋_GB2312" w:cs="仿宋_GB2312"/>
          <w:szCs w:val="32"/>
        </w:rPr>
        <w:t>万元，占_</w:t>
      </w:r>
      <w:r>
        <w:rPr>
          <w:rFonts w:hint="eastAsia" w:ascii="仿宋_GB2312" w:hAnsi="仿宋_GB2312" w:cs="仿宋_GB2312"/>
          <w:szCs w:val="32"/>
          <w:lang w:val="en-US" w:eastAsia="zh-CN"/>
        </w:rPr>
        <w:t>8</w:t>
      </w:r>
      <w:r>
        <w:rPr>
          <w:rFonts w:hint="eastAsia" w:ascii="仿宋_GB2312" w:hAnsi="仿宋_GB2312" w:eastAsia="仿宋_GB2312" w:cs="仿宋_GB2312"/>
          <w:szCs w:val="32"/>
        </w:rPr>
        <w:t>__%，主要用于</w:t>
      </w:r>
      <w:r>
        <w:rPr>
          <w:rFonts w:hint="eastAsia" w:ascii="仿宋_GB2312" w:hAnsi="仿宋_GB2312" w:cs="仿宋_GB2312"/>
          <w:szCs w:val="32"/>
          <w:u w:val="single"/>
          <w:lang w:val="en-US" w:eastAsia="zh-CN"/>
        </w:rPr>
        <w:t>职工住房保障费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575.49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526.29</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38.4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3.72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3.72</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年预算数增加__</w:t>
      </w:r>
      <w:r>
        <w:rPr>
          <w:rFonts w:hint="eastAsia" w:ascii="仿宋_GB2312" w:hAnsi="仿宋_GB2312" w:cs="仿宋_GB2312"/>
          <w:szCs w:val="32"/>
          <w:lang w:val="en-US" w:eastAsia="zh-CN"/>
        </w:rPr>
        <w:t>3.72</w:t>
      </w:r>
      <w:r>
        <w:rPr>
          <w:rFonts w:hint="eastAsia" w:ascii="仿宋_GB2312" w:hAnsi="仿宋_GB2312" w:eastAsia="仿宋_GB2312" w:cs="仿宋_GB2312"/>
          <w:szCs w:val="32"/>
        </w:rPr>
        <w:t>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w:t>
      </w:r>
      <w:r>
        <w:rPr>
          <w:rFonts w:hint="eastAsia" w:ascii="仿宋_GB2312" w:hAnsi="仿宋_GB2312" w:cs="仿宋_GB2312"/>
          <w:szCs w:val="32"/>
          <w:lang w:val="en-US" w:eastAsia="zh-CN"/>
        </w:rPr>
        <w:t>3.72</w:t>
      </w:r>
      <w:r>
        <w:rPr>
          <w:rFonts w:hint="eastAsia" w:ascii="仿宋_GB2312" w:hAnsi="仿宋_GB2312" w:eastAsia="仿宋_GB2312" w:cs="仿宋_GB2312"/>
          <w:szCs w:val="32"/>
        </w:rPr>
        <w:t>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3.72</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年预算数增加_</w:t>
      </w:r>
      <w:r>
        <w:rPr>
          <w:rFonts w:hint="eastAsia" w:ascii="仿宋_GB2312" w:hAnsi="仿宋_GB2312" w:cs="仿宋_GB2312"/>
          <w:szCs w:val="32"/>
          <w:lang w:val="en-US" w:eastAsia="zh-CN"/>
        </w:rPr>
        <w:t>3.72</w:t>
      </w:r>
      <w:r>
        <w:rPr>
          <w:rFonts w:hint="eastAsia" w:ascii="仿宋_GB2312" w:hAnsi="仿宋_GB2312" w:eastAsia="仿宋_GB2312" w:cs="仿宋_GB2312"/>
          <w:szCs w:val="32"/>
        </w:rPr>
        <w:t>__万元。公务用车运行维护费</w:t>
      </w:r>
      <w:r>
        <w:rPr>
          <w:rFonts w:hint="eastAsia" w:ascii="仿宋_GB2312" w:hAnsi="仿宋_GB2312" w:cs="仿宋_GB2312"/>
          <w:szCs w:val="32"/>
          <w:u w:val="single"/>
          <w:lang w:val="en-US" w:eastAsia="zh-CN"/>
        </w:rPr>
        <w:t>3.72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3.72</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年预算数增加_</w:t>
      </w:r>
      <w:r>
        <w:rPr>
          <w:rFonts w:hint="eastAsia" w:ascii="仿宋_GB2312" w:hAnsi="仿宋_GB2312" w:cs="仿宋_GB2312"/>
          <w:szCs w:val="32"/>
          <w:lang w:val="en-US" w:eastAsia="zh-CN"/>
        </w:rPr>
        <w:t>3.72</w:t>
      </w:r>
      <w:r>
        <w:rPr>
          <w:rFonts w:hint="eastAsia" w:ascii="仿宋_GB2312" w:hAnsi="仿宋_GB2312" w:eastAsia="仿宋_GB2312" w:cs="仿宋_GB2312"/>
          <w:szCs w:val="32"/>
        </w:rPr>
        <w:t>_万元，主要原因是_</w:t>
      </w:r>
      <w:r>
        <w:rPr>
          <w:rFonts w:hint="eastAsia" w:ascii="仿宋_GB2312" w:hAnsi="仿宋_GB2312" w:cs="仿宋_GB2312"/>
          <w:szCs w:val="32"/>
          <w:lang w:val="en-US" w:eastAsia="zh-CN"/>
        </w:rPr>
        <w:t>上年年度未做预算</w:t>
      </w:r>
      <w:r>
        <w:rPr>
          <w:rFonts w:hint="eastAsia" w:ascii="仿宋_GB2312" w:hAnsi="仿宋_GB2312" w:eastAsia="仿宋_GB2312" w:cs="仿宋_GB2312"/>
          <w:szCs w:val="32"/>
        </w:rPr>
        <w:t>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年预算数增加_</w:t>
      </w:r>
      <w:r>
        <w:rPr>
          <w:rFonts w:hint="eastAsia" w:ascii="仿宋_GB2312" w:hAnsi="仿宋_GB2312" w:cs="仿宋_GB2312"/>
          <w:szCs w:val="32"/>
          <w:lang w:val="en-US" w:eastAsia="zh-CN"/>
        </w:rPr>
        <w:t>3.72</w:t>
      </w:r>
      <w:r>
        <w:rPr>
          <w:rFonts w:hint="eastAsia" w:ascii="仿宋_GB2312" w:hAnsi="仿宋_GB2312" w:eastAsia="仿宋_GB2312" w:cs="仿宋_GB2312"/>
          <w:szCs w:val="32"/>
        </w:rPr>
        <w:t>_万元，主要原因是__</w:t>
      </w:r>
      <w:r>
        <w:rPr>
          <w:rFonts w:hint="eastAsia" w:ascii="仿宋_GB2312" w:hAnsi="仿宋_GB2312" w:cs="仿宋_GB2312"/>
          <w:szCs w:val="32"/>
          <w:lang w:val="en-US" w:eastAsia="zh-CN"/>
        </w:rPr>
        <w:t>上年年度未做预算</w:t>
      </w:r>
      <w:r>
        <w:rPr>
          <w:rFonts w:hint="eastAsia" w:ascii="仿宋_GB2312" w:hAnsi="仿宋_GB2312" w:eastAsia="仿宋_GB2312" w:cs="仿宋_GB2312"/>
          <w:szCs w:val="32"/>
        </w:rPr>
        <w:t>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hint="eastAsia" w:ascii="仿宋_GB2312" w:hAnsi="仿宋_GB2312" w:cs="仿宋_GB2312"/>
          <w:szCs w:val="32"/>
          <w:lang w:eastAsia="zh-CN"/>
        </w:rPr>
        <w:t>本部门无政府性基金预算拨款。</w:t>
      </w:r>
    </w:p>
    <w:p>
      <w:pPr>
        <w:ind w:firstLine="640"/>
        <w:rPr>
          <w:szCs w:val="32"/>
        </w:rPr>
      </w:pPr>
    </w:p>
    <w:p>
      <w:pPr>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eastAsia="楷体"/>
          <w:szCs w:val="32"/>
        </w:rPr>
      </w:pPr>
      <w:r>
        <w:rPr>
          <w:rFonts w:hint="eastAsia" w:ascii="仿宋_GB2312" w:hAnsi="仿宋_GB2312" w:cs="仿宋_GB2312"/>
          <w:szCs w:val="32"/>
          <w:highlight w:val="none"/>
          <w:lang w:eastAsia="zh-CN"/>
        </w:rPr>
        <w:t>本部门无国有资本经营预算拨款</w:t>
      </w:r>
      <w:r>
        <w:rPr>
          <w:rFonts w:hint="eastAsia" w:ascii="仿宋_GB2312" w:hAnsi="仿宋_GB2312" w:eastAsia="仿宋_GB2312" w:cs="仿宋_GB2312"/>
          <w:szCs w:val="32"/>
          <w:highlight w:val="none"/>
        </w:rPr>
        <w:t>。</w:t>
      </w:r>
    </w:p>
    <w:p>
      <w:pPr>
        <w:ind w:firstLine="640"/>
        <w:rPr>
          <w:rFonts w:hint="eastAsia" w:eastAsia="黑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bookmarkStart w:id="0" w:name="_GoBack"/>
      <w:bookmarkEnd w:id="0"/>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14</w:t>
      </w:r>
      <w:r>
        <w:rPr>
          <w:rFonts w:hint="eastAsia" w:ascii="仿宋_GB2312" w:hAnsi="仿宋_GB2312" w:eastAsia="仿宋_GB2312" w:cs="仿宋_GB2312"/>
          <w:szCs w:val="32"/>
        </w:rPr>
        <w:t>辆，土地_______平方米，房屋__</w:t>
      </w:r>
      <w:r>
        <w:rPr>
          <w:rFonts w:hint="eastAsia" w:ascii="仿宋_GB2312" w:hAnsi="仿宋_GB2312" w:cs="仿宋_GB2312"/>
          <w:szCs w:val="32"/>
          <w:lang w:val="en-US" w:eastAsia="zh-CN"/>
        </w:rPr>
        <w:t>5481.2</w:t>
      </w:r>
      <w:r>
        <w:rPr>
          <w:rFonts w:hint="eastAsia" w:ascii="仿宋_GB2312" w:hAnsi="仿宋_GB2312" w:eastAsia="仿宋_GB2312" w:cs="仿宋_GB2312"/>
          <w:szCs w:val="32"/>
        </w:rPr>
        <w:t>平方米，单价50万元及以上的通用设备___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____台/套，单价100万元及以上的专用设备实有数___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10.8</w:t>
      </w:r>
      <w:r>
        <w:rPr>
          <w:rFonts w:hint="eastAsia" w:ascii="仿宋_GB2312" w:hAnsi="仿宋_GB2312" w:eastAsia="仿宋_GB2312" w:cs="仿宋_GB2312"/>
          <w:szCs w:val="32"/>
          <w:highlight w:val="none"/>
        </w:rPr>
        <w:t>万元，其中：一级项目____个，二级项目</w:t>
      </w:r>
      <w:r>
        <w:rPr>
          <w:rFonts w:hint="eastAsia" w:ascii="仿宋_GB2312" w:hAnsi="仿宋_GB2312" w:cs="仿宋_GB2312"/>
          <w:szCs w:val="32"/>
          <w:highlight w:val="none"/>
          <w:u w:val="single"/>
          <w:lang w:val="en-US" w:eastAsia="zh-CN"/>
        </w:rPr>
        <w:t>10.8</w:t>
      </w:r>
      <w:r>
        <w:rPr>
          <w:rFonts w:hint="eastAsia" w:ascii="仿宋_GB2312" w:hAnsi="仿宋_GB2312" w:eastAsia="仿宋_GB2312" w:cs="仿宋_GB2312"/>
          <w:szCs w:val="32"/>
          <w:highlight w:val="none"/>
        </w:rPr>
        <w:t>个；使用本年拨款_</w:t>
      </w:r>
      <w:r>
        <w:rPr>
          <w:rFonts w:hint="eastAsia" w:ascii="仿宋_GB2312" w:hAnsi="仿宋_GB2312" w:cs="仿宋_GB2312"/>
          <w:szCs w:val="32"/>
          <w:highlight w:val="none"/>
          <w:lang w:val="en-US" w:eastAsia="zh-CN"/>
        </w:rPr>
        <w:t>10.8</w:t>
      </w:r>
      <w:r>
        <w:rPr>
          <w:rFonts w:hint="eastAsia" w:ascii="仿宋_GB2312" w:hAnsi="仿宋_GB2312" w:eastAsia="仿宋_GB2312" w:cs="仿宋_GB2312"/>
          <w:szCs w:val="32"/>
          <w:highlight w:val="none"/>
        </w:rPr>
        <w:t>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BF3353"/>
    <w:rsid w:val="031D7D4B"/>
    <w:rsid w:val="04022755"/>
    <w:rsid w:val="0486486A"/>
    <w:rsid w:val="04954460"/>
    <w:rsid w:val="04F026C1"/>
    <w:rsid w:val="050D06DA"/>
    <w:rsid w:val="050F3BA7"/>
    <w:rsid w:val="05513E94"/>
    <w:rsid w:val="05686FD9"/>
    <w:rsid w:val="056F5A6D"/>
    <w:rsid w:val="059B3770"/>
    <w:rsid w:val="06127C3D"/>
    <w:rsid w:val="063949A0"/>
    <w:rsid w:val="067960C1"/>
    <w:rsid w:val="06BD5BC7"/>
    <w:rsid w:val="07D21289"/>
    <w:rsid w:val="07F544B0"/>
    <w:rsid w:val="09A0082A"/>
    <w:rsid w:val="0A334D52"/>
    <w:rsid w:val="0ABA06FE"/>
    <w:rsid w:val="0B5F5ADA"/>
    <w:rsid w:val="0B710869"/>
    <w:rsid w:val="0C2A5C84"/>
    <w:rsid w:val="0CE66D94"/>
    <w:rsid w:val="0D0808D0"/>
    <w:rsid w:val="0DA001B0"/>
    <w:rsid w:val="0DB6446C"/>
    <w:rsid w:val="0DEB170B"/>
    <w:rsid w:val="0E4C7841"/>
    <w:rsid w:val="0F3E0406"/>
    <w:rsid w:val="0F8B592F"/>
    <w:rsid w:val="0FD62F63"/>
    <w:rsid w:val="10086E51"/>
    <w:rsid w:val="107728C7"/>
    <w:rsid w:val="10AA3894"/>
    <w:rsid w:val="10AE7F82"/>
    <w:rsid w:val="10C93B35"/>
    <w:rsid w:val="11177619"/>
    <w:rsid w:val="112605C8"/>
    <w:rsid w:val="12E711B7"/>
    <w:rsid w:val="136D62BD"/>
    <w:rsid w:val="13F21722"/>
    <w:rsid w:val="1441443C"/>
    <w:rsid w:val="14C12787"/>
    <w:rsid w:val="15593E10"/>
    <w:rsid w:val="159F7E25"/>
    <w:rsid w:val="15F848D0"/>
    <w:rsid w:val="160E1FA5"/>
    <w:rsid w:val="160F2600"/>
    <w:rsid w:val="176A78D9"/>
    <w:rsid w:val="17765BCA"/>
    <w:rsid w:val="17A027D8"/>
    <w:rsid w:val="185760AF"/>
    <w:rsid w:val="1A817DF8"/>
    <w:rsid w:val="1ADC594E"/>
    <w:rsid w:val="1AEB5252"/>
    <w:rsid w:val="1C852172"/>
    <w:rsid w:val="1CA40C0C"/>
    <w:rsid w:val="1CFF4A32"/>
    <w:rsid w:val="1D833200"/>
    <w:rsid w:val="1E2D59A2"/>
    <w:rsid w:val="1E3A3FD0"/>
    <w:rsid w:val="1EB55C07"/>
    <w:rsid w:val="1F351A10"/>
    <w:rsid w:val="1F5A580B"/>
    <w:rsid w:val="1FED47E9"/>
    <w:rsid w:val="1FF252D2"/>
    <w:rsid w:val="20286583"/>
    <w:rsid w:val="202C6073"/>
    <w:rsid w:val="206816AC"/>
    <w:rsid w:val="22A4003E"/>
    <w:rsid w:val="23984063"/>
    <w:rsid w:val="23CE11F0"/>
    <w:rsid w:val="23EC61F6"/>
    <w:rsid w:val="244C543C"/>
    <w:rsid w:val="24624768"/>
    <w:rsid w:val="2539376C"/>
    <w:rsid w:val="254C6FAD"/>
    <w:rsid w:val="259B5BC5"/>
    <w:rsid w:val="25C7462E"/>
    <w:rsid w:val="25F62C4E"/>
    <w:rsid w:val="26643D6C"/>
    <w:rsid w:val="26D66D39"/>
    <w:rsid w:val="26FE109D"/>
    <w:rsid w:val="27073E1E"/>
    <w:rsid w:val="27B04AB3"/>
    <w:rsid w:val="28A63332"/>
    <w:rsid w:val="298319B8"/>
    <w:rsid w:val="29C45F24"/>
    <w:rsid w:val="29C94933"/>
    <w:rsid w:val="2DF8796C"/>
    <w:rsid w:val="2EB22F18"/>
    <w:rsid w:val="2EBA5CAC"/>
    <w:rsid w:val="2EE12108"/>
    <w:rsid w:val="2EED35E3"/>
    <w:rsid w:val="2F250383"/>
    <w:rsid w:val="2F63610B"/>
    <w:rsid w:val="300965A3"/>
    <w:rsid w:val="30730D6E"/>
    <w:rsid w:val="30B91A70"/>
    <w:rsid w:val="31410ECC"/>
    <w:rsid w:val="32CF2C5D"/>
    <w:rsid w:val="335402B5"/>
    <w:rsid w:val="339466B2"/>
    <w:rsid w:val="34555AF5"/>
    <w:rsid w:val="35616772"/>
    <w:rsid w:val="35EA1663"/>
    <w:rsid w:val="364C598E"/>
    <w:rsid w:val="366A124C"/>
    <w:rsid w:val="36B92AD0"/>
    <w:rsid w:val="36CC2B0F"/>
    <w:rsid w:val="36DB4970"/>
    <w:rsid w:val="371A614D"/>
    <w:rsid w:val="3838492F"/>
    <w:rsid w:val="38713761"/>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857C94"/>
    <w:rsid w:val="47A96F8B"/>
    <w:rsid w:val="47CF49E6"/>
    <w:rsid w:val="4843587B"/>
    <w:rsid w:val="48674ED2"/>
    <w:rsid w:val="487708E6"/>
    <w:rsid w:val="493753AD"/>
    <w:rsid w:val="49645F71"/>
    <w:rsid w:val="499F5C68"/>
    <w:rsid w:val="4AB03CF2"/>
    <w:rsid w:val="4AF16062"/>
    <w:rsid w:val="4B322BDB"/>
    <w:rsid w:val="4B646DDD"/>
    <w:rsid w:val="4B7F44F8"/>
    <w:rsid w:val="4BAC24C5"/>
    <w:rsid w:val="4BFA0656"/>
    <w:rsid w:val="4D730507"/>
    <w:rsid w:val="4D741DD3"/>
    <w:rsid w:val="4DC93207"/>
    <w:rsid w:val="4E2A22FD"/>
    <w:rsid w:val="4E8D5761"/>
    <w:rsid w:val="4EF54A85"/>
    <w:rsid w:val="4F6F75D9"/>
    <w:rsid w:val="4FE439C5"/>
    <w:rsid w:val="501B3C66"/>
    <w:rsid w:val="504B40C5"/>
    <w:rsid w:val="50987DC2"/>
    <w:rsid w:val="50A4703E"/>
    <w:rsid w:val="5136104F"/>
    <w:rsid w:val="51E55C99"/>
    <w:rsid w:val="52071113"/>
    <w:rsid w:val="52447C09"/>
    <w:rsid w:val="525A440D"/>
    <w:rsid w:val="54741940"/>
    <w:rsid w:val="54810E66"/>
    <w:rsid w:val="54C2556E"/>
    <w:rsid w:val="55480EEF"/>
    <w:rsid w:val="55FA743D"/>
    <w:rsid w:val="56424FA2"/>
    <w:rsid w:val="56570E30"/>
    <w:rsid w:val="57AE5C26"/>
    <w:rsid w:val="57DD75A9"/>
    <w:rsid w:val="58256ABD"/>
    <w:rsid w:val="59472AC7"/>
    <w:rsid w:val="59BD150F"/>
    <w:rsid w:val="59DD570D"/>
    <w:rsid w:val="59FF5EDC"/>
    <w:rsid w:val="5A084708"/>
    <w:rsid w:val="5AB343F7"/>
    <w:rsid w:val="5ABF50F2"/>
    <w:rsid w:val="5AED6E06"/>
    <w:rsid w:val="5AF76904"/>
    <w:rsid w:val="5B052E7A"/>
    <w:rsid w:val="5B3D7F7E"/>
    <w:rsid w:val="5B7C7777"/>
    <w:rsid w:val="5B9462A0"/>
    <w:rsid w:val="5BEC6771"/>
    <w:rsid w:val="5CA506B9"/>
    <w:rsid w:val="5CFD5FB2"/>
    <w:rsid w:val="5D2B52D8"/>
    <w:rsid w:val="5D5A7C63"/>
    <w:rsid w:val="5E256F6F"/>
    <w:rsid w:val="5EE52F7A"/>
    <w:rsid w:val="5F6235A9"/>
    <w:rsid w:val="5FAB005C"/>
    <w:rsid w:val="614125C2"/>
    <w:rsid w:val="624C5C52"/>
    <w:rsid w:val="63952BB5"/>
    <w:rsid w:val="63DF08E4"/>
    <w:rsid w:val="64127E15"/>
    <w:rsid w:val="64C04AFD"/>
    <w:rsid w:val="657A7D47"/>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0075F6"/>
    <w:rsid w:val="737664E0"/>
    <w:rsid w:val="73FE7ACC"/>
    <w:rsid w:val="74053F35"/>
    <w:rsid w:val="74556746"/>
    <w:rsid w:val="74AB7A24"/>
    <w:rsid w:val="7631716D"/>
    <w:rsid w:val="76C17E06"/>
    <w:rsid w:val="76CA67BD"/>
    <w:rsid w:val="7730111A"/>
    <w:rsid w:val="774E6400"/>
    <w:rsid w:val="775B0046"/>
    <w:rsid w:val="78796248"/>
    <w:rsid w:val="78CE0BEB"/>
    <w:rsid w:val="78FF4A65"/>
    <w:rsid w:val="79700BEF"/>
    <w:rsid w:val="79F85634"/>
    <w:rsid w:val="7A090695"/>
    <w:rsid w:val="7A2D7B93"/>
    <w:rsid w:val="7AE175F4"/>
    <w:rsid w:val="7B417685"/>
    <w:rsid w:val="7B5220F0"/>
    <w:rsid w:val="7BA169C0"/>
    <w:rsid w:val="7BE95D3C"/>
    <w:rsid w:val="7CAD595B"/>
    <w:rsid w:val="7CF65D07"/>
    <w:rsid w:val="7D2975D1"/>
    <w:rsid w:val="7D6438CC"/>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7204</Words>
  <Characters>8776</Characters>
  <Lines>71</Lines>
  <Paragraphs>20</Paragraphs>
  <TotalTime>31</TotalTime>
  <ScaleCrop>false</ScaleCrop>
  <LinksUpToDate>false</LinksUpToDate>
  <CharactersWithSpaces>9331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2024-01-31T09:15:26Z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5D14478B0CF642A1B84C1AA54677EC4F_13</vt:lpwstr>
  </property>
</Properties>
</file>