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通榆县交通运输局（本级）</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（一）按2009月10月28日发布《通榆县人民政府办公室 关于印发&lt;通榆县交通运输局主要职责 内设机构和人员编制规定&gt;的通知》（通政办发﹝2009﹞40号）中主要职责为以下规定：</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贯彻执行国家和省、市有关交通运输行业法律法规、规划、政策和标准；组织拟定并监督实施全县公路等行业发展的总体规划、专项规划、中长期发展计划；组织起草交通运输工作的规范性文件，参与拟订物流业发展战略和规划并组织实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2、承担涉及全县综合运输体系的规划协调工作。会同有关部门组织编制综合运输体系规划，组织陆路交通运输枢纽规划和管理。</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3、承担全县道路运输市场监管责任。监督道路运输有关政策、准入制度、技术标准和运营规范的实施；协调城乡客运及有关设施规划和管理工作、负责出租车行业管理工作。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4、承担全县水上交通安全监管责任。负责水上交通管制、船舶及有关水上设施检验、登记和防止污染、救助打捞、通信导航、船舶与港口设施保安及危险品运输监督管理工作；负责船员管理有关工作；负责县管水域水上交通安全事故、船舶及相关水上设施污染事故的应急处置，依法组织或参与事故调查处理工作；负责县水上交通安全监管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5、负责提出全县公路固定资产投资规模和方向的意见、建议，按规定权限审批、核准省和市、县规划内和年度计划规模内固定资产投资项目；对涉及财政、土地、价格等方面的问题提出意见和建议。</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6、承担全县公路建设市场监管责任。负责监管公路工程建设相关政策、制度和技术标准的实施；组织协调公路有关重点工程建设和工程质量、安全生产监督管理工作；负责交通运输基础设施管理和维护，承担有关重要设施的管理和维护。</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7、负责全县公路、公共交通（含出租车）行业安全生产和应急管理工作，对全县重点物资运输和紧急客货运输进行调控；承担交通战略有关工作。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8、指导全县交通运输信息化建设，监测分析运行情况；开展相关统计工作，发布有关信息；指导公路行业环境保护、科技教育、工程造价和节能减排工作。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9、组织县管重点项目交通建设资金筹措；监督管理国有资产；组织实施交通运输重点建设项目的内部审计工作。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10、承办县政府交办的其它事项。</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（二）按2019月3月26日发布《中共通榆县县委办公室通榆县人民政府办公室 关于印发&lt;通榆县交通运输局职能配置、内设机构和人员编制调整方案&gt;的通知》（通办发﹝2019﹞35号）中职责调整部分增加以下职能职责：</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1、增加渔船检验和监督管理职责。</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2、增加承担交通运输行业领域的安全生产管理，指导督促企事业单位加强安全管理。依照有关法律、法规的规定履行安全生产监督管理职责，开展监管执法工作等职责。</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3、增加农村公路建设监督权限，负责农村公路任何等级建设的监督工作。</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lang w:val="en-US" w:eastAsia="zh-CN"/>
        </w:rPr>
        <w:t>通榆县交通运输局内设四科室，分别为：综合人秘财务科、业务科、法规科、安全生产科、机关党委办公室</w:t>
      </w:r>
      <w:r>
        <w:rPr>
          <w:rFonts w:hint="eastAsia" w:ascii="仿宋_GB2312" w:hAnsi="仿宋_GB2312" w:eastAsia="仿宋_GB2312" w:cs="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1200" w:type="dxa"/>
            <w:tcBorders>
              <w:top w:val="nil"/>
              <w:left w:val="single" w:color="auto" w:sz="4" w:space="0"/>
              <w:bottom w:val="single" w:color="auto" w:sz="4" w:space="0"/>
              <w:right w:val="nil"/>
            </w:tcBorders>
            <w:noWrap w:val="0"/>
            <w:vAlign w:val="center"/>
          </w:tcPr>
          <w:p>
            <w:pPr>
              <w:keepNext w:val="0"/>
              <w:keepLines w:val="0"/>
              <w:widowControl/>
              <w:suppressLineNumbers w:val="0"/>
              <w:jc w:val="right"/>
              <w:textAlignment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1200" w:type="dxa"/>
            <w:tcBorders>
              <w:top w:val="nil"/>
              <w:left w:val="single" w:color="auto" w:sz="4" w:space="0"/>
              <w:bottom w:val="single" w:color="auto" w:sz="4" w:space="0"/>
              <w:right w:val="nil"/>
            </w:tcBorders>
            <w:noWrap w:val="0"/>
            <w:vAlign w:val="center"/>
          </w:tcPr>
          <w:p>
            <w:pPr>
              <w:keepNext w:val="0"/>
              <w:keepLines w:val="0"/>
              <w:widowControl/>
              <w:suppressLineNumbers w:val="0"/>
              <w:jc w:val="right"/>
              <w:textAlignment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20.29</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20.29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12.27</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12.27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7.13</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w:t>
            </w:r>
            <w:r>
              <w:rPr>
                <w:rFonts w:hint="eastAsia" w:ascii="仿宋_GB2312"/>
                <w:b w:val="0"/>
                <w:bCs/>
                <w:color w:val="000000"/>
                <w:kern w:val="0"/>
                <w:sz w:val="20"/>
                <w:lang w:val="en-US" w:eastAsia="zh-CN"/>
              </w:rPr>
              <w:t>四</w:t>
            </w:r>
            <w:r>
              <w:rPr>
                <w:rFonts w:hint="eastAsia" w:ascii="仿宋_GB2312"/>
                <w:b w:val="0"/>
                <w:bCs/>
                <w:color w:val="000000"/>
                <w:kern w:val="0"/>
                <w:sz w:val="20"/>
              </w:rPr>
              <w:t>、</w:t>
            </w:r>
            <w:r>
              <w:rPr>
                <w:rFonts w:hint="eastAsia" w:ascii="仿宋_GB2312"/>
                <w:b w:val="0"/>
                <w:bCs/>
                <w:color w:val="000000"/>
                <w:kern w:val="0"/>
                <w:sz w:val="20"/>
                <w:lang w:val="en-US" w:eastAsia="zh-CN"/>
              </w:rPr>
              <w:t>交通运输</w:t>
            </w:r>
            <w:r>
              <w:rPr>
                <w:rFonts w:hint="eastAsia" w:ascii="仿宋_GB2312"/>
                <w:b w:val="0"/>
                <w:bCs/>
                <w:color w:val="000000"/>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eastAsia="宋体"/>
                <w:sz w:val="20"/>
              </w:rPr>
            </w:pPr>
            <w:r>
              <w:rPr>
                <w:rFonts w:hint="default" w:ascii="Arial" w:hAnsi="Arial" w:eastAsia="宋体" w:cs="Arial"/>
                <w:i w:val="0"/>
                <w:iCs w:val="0"/>
                <w:color w:val="000000"/>
                <w:kern w:val="0"/>
                <w:sz w:val="20"/>
                <w:szCs w:val="20"/>
                <w:u w:val="none"/>
                <w:lang w:val="en-US" w:eastAsia="zh-CN" w:bidi="ar"/>
              </w:rPr>
              <w:t>219.66</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eastAsia="宋体"/>
                <w:sz w:val="20"/>
              </w:rPr>
            </w:pPr>
            <w:r>
              <w:rPr>
                <w:rFonts w:hint="default" w:ascii="Arial" w:hAnsi="Arial" w:eastAsia="宋体" w:cs="Arial"/>
                <w:i w:val="0"/>
                <w:iCs w:val="0"/>
                <w:color w:val="000000"/>
                <w:kern w:val="0"/>
                <w:sz w:val="20"/>
                <w:szCs w:val="20"/>
                <w:u w:val="none"/>
                <w:lang w:val="en-US" w:eastAsia="zh-CN" w:bidi="ar"/>
              </w:rPr>
              <w:t>219.66</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1200" w:type="dxa"/>
            <w:tcBorders>
              <w:top w:val="nil"/>
              <w:left w:val="single" w:color="auto" w:sz="4" w:space="0"/>
              <w:bottom w:val="single" w:color="auto" w:sz="4" w:space="0"/>
              <w:right w:val="nil"/>
            </w:tcBorders>
            <w:noWrap w:val="0"/>
            <w:vAlign w:val="center"/>
          </w:tcPr>
          <w:p>
            <w:pPr>
              <w:keepNext w:val="0"/>
              <w:keepLines w:val="0"/>
              <w:widowControl/>
              <w:suppressLineNumbers w:val="0"/>
              <w:jc w:val="right"/>
              <w:textAlignment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115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通榆县交通运输局</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259.35</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259.35</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259.35</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keepNext w:val="0"/>
              <w:keepLines w:val="0"/>
              <w:widowControl/>
              <w:suppressLineNumbers w:val="0"/>
              <w:jc w:val="left"/>
              <w:textAlignment w:val="center"/>
              <w:rPr>
                <w:rFonts w:hint="default" w:eastAsia="宋体"/>
                <w:color w:val="000000"/>
                <w:sz w:val="20"/>
                <w:shd w:val="clear" w:color="auto" w:fill="FFFFFF"/>
                <w:lang w:val="en-US"/>
              </w:rPr>
            </w:pPr>
            <w:r>
              <w:rPr>
                <w:rFonts w:hint="default" w:ascii="Arial" w:hAnsi="Arial" w:eastAsia="宋体" w:cs="Arial"/>
                <w:i w:val="0"/>
                <w:iCs w:val="0"/>
                <w:color w:val="000000"/>
                <w:kern w:val="0"/>
                <w:sz w:val="20"/>
                <w:szCs w:val="20"/>
                <w:u w:val="none"/>
                <w:lang w:val="en-US" w:eastAsia="zh-CN" w:bidi="ar"/>
              </w:rPr>
              <w:t>　通榆县交通运输局</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eastAsia="宋体"/>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259.35</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eastAsia="宋体"/>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259.35</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eastAsia="宋体"/>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259.35</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259.35</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259.35</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259.35</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5816"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一、社会保障和就业支出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20.29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20.29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16.36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3.93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二、卫生健康支出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7.13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7.13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7.03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0.10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三、交通运输支出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219.66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137.56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82.10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公路水路运输</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219.66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137.56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82.10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219.66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137.56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82.10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12.27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12.27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12.27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259.35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177.25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82.10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976"/>
              <w:gridCol w:w="879"/>
              <w:gridCol w:w="811"/>
              <w:gridCol w:w="565"/>
              <w:gridCol w:w="1721"/>
              <w:gridCol w:w="864"/>
              <w:gridCol w:w="885"/>
              <w:gridCol w:w="603"/>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976"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7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1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6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976"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7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6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0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5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259.35</w:t>
                  </w:r>
                </w:p>
              </w:tc>
              <w:tc>
                <w:tcPr>
                  <w:tcW w:w="5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20.29</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20.29</w:t>
                  </w: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7.13</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7.13</w:t>
                  </w: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219.66</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219.66</w:t>
                  </w: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12.27</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12.27</w:t>
                  </w: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0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9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259.35</w:t>
                  </w:r>
                </w:p>
              </w:tc>
              <w:tc>
                <w:tcPr>
                  <w:tcW w:w="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259.35</w:t>
                  </w:r>
                </w:p>
              </w:tc>
              <w:tc>
                <w:tcPr>
                  <w:tcW w:w="5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259.35</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259.35</w:t>
                  </w:r>
                </w:p>
              </w:tc>
              <w:tc>
                <w:tcPr>
                  <w:tcW w:w="60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一、社会保障和就业支出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20.29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20.29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16.36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3.93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二、卫生健康支出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7.13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7.13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三、交通运输支出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219.66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116.80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82.10</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公路水路运输</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219.66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116.80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82.10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219.66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116.80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82.10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259.35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177.25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82.10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477"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2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57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147.26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147.26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52.51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52.51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33.22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33.22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20.60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20.60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16.36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16.36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3.93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3.93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7.03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12.27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12.27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1.24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1.24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20.76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20.76</w:t>
            </w: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7.48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7.48</w:t>
            </w: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0.15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0.15</w:t>
            </w: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1.07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1.07</w:t>
            </w: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2.00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2.00</w:t>
            </w: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2.50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2.50</w:t>
            </w: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7.56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7.56</w:t>
            </w: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9.23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9.23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9.23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9.23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eastAsia="宋体"/>
                <w:kern w:val="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r>
      <w:tr>
        <w:tblPrEx>
          <w:tblCellMar>
            <w:top w:w="0" w:type="dxa"/>
            <w:left w:w="108" w:type="dxa"/>
            <w:bottom w:w="0" w:type="dxa"/>
            <w:right w:w="108" w:type="dxa"/>
          </w:tblCellMar>
        </w:tblPrEx>
        <w:trPr>
          <w:trHeight w:val="2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640" w:firstLineChars="200"/>
              <w:jc w:val="left"/>
              <w:textAlignment w:val="cente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40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177.25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156.49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20.76</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11</w:t>
            </w:r>
            <w:r>
              <w:rPr>
                <w:color w:val="000000"/>
                <w:kern w:val="0"/>
                <w:sz w:val="28"/>
                <w:szCs w:val="28"/>
              </w:rPr>
              <w:t>人，其中：在职人员</w:t>
            </w:r>
            <w:r>
              <w:rPr>
                <w:rFonts w:hint="eastAsia" w:eastAsia="宋体"/>
                <w:color w:val="000000"/>
                <w:kern w:val="0"/>
                <w:sz w:val="28"/>
                <w:szCs w:val="28"/>
                <w:u w:val="single"/>
                <w:lang w:val="en-US" w:eastAsia="zh-CN"/>
              </w:rPr>
              <w:t>11</w:t>
            </w:r>
            <w:r>
              <w:rPr>
                <w:color w:val="000000"/>
                <w:kern w:val="0"/>
                <w:sz w:val="28"/>
                <w:szCs w:val="28"/>
              </w:rPr>
              <w:t>人，</w:t>
            </w:r>
            <w:r>
              <w:rPr>
                <w:rFonts w:hint="eastAsia"/>
                <w:color w:val="000000"/>
                <w:kern w:val="0"/>
                <w:sz w:val="28"/>
                <w:szCs w:val="28"/>
                <w:lang w:val="en-US" w:eastAsia="zh-CN"/>
              </w:rPr>
              <w:t>工勤</w:t>
            </w:r>
            <w:r>
              <w:rPr>
                <w:rFonts w:hint="eastAsia"/>
                <w:color w:val="000000"/>
                <w:kern w:val="0"/>
                <w:sz w:val="28"/>
                <w:szCs w:val="28"/>
                <w:u w:val="single"/>
                <w:lang w:val="en-US" w:eastAsia="zh-CN"/>
              </w:rPr>
              <w:t>0</w:t>
            </w:r>
            <w:r>
              <w:rPr>
                <w:rFonts w:hint="eastAsia"/>
                <w:color w:val="000000"/>
                <w:kern w:val="0"/>
                <w:sz w:val="28"/>
                <w:szCs w:val="28"/>
                <w:lang w:val="en-US" w:eastAsia="zh-CN"/>
              </w:rPr>
              <w:t>人，</w:t>
            </w:r>
            <w:r>
              <w:rPr>
                <w:color w:val="000000"/>
                <w:kern w:val="0"/>
                <w:sz w:val="28"/>
                <w:szCs w:val="28"/>
              </w:rPr>
              <w:t>离休人员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r>
              <w:rPr>
                <w:rFonts w:hint="eastAsia"/>
                <w:color w:val="000000"/>
                <w:kern w:val="0"/>
                <w:sz w:val="28"/>
                <w:szCs w:val="28"/>
                <w:lang w:eastAsia="zh-CN"/>
              </w:rPr>
              <w:t>，</w:t>
            </w:r>
            <w:r>
              <w:rPr>
                <w:rFonts w:hint="eastAsia"/>
                <w:color w:val="000000"/>
                <w:kern w:val="0"/>
                <w:sz w:val="28"/>
                <w:szCs w:val="28"/>
                <w:lang w:val="en-US" w:eastAsia="zh-CN"/>
              </w:rPr>
              <w:t>退休人员</w:t>
            </w:r>
            <w:r>
              <w:rPr>
                <w:rFonts w:hint="eastAsia"/>
                <w:color w:val="000000"/>
                <w:kern w:val="0"/>
                <w:sz w:val="28"/>
                <w:szCs w:val="28"/>
                <w:u w:val="single"/>
                <w:lang w:val="en-US" w:eastAsia="zh-CN"/>
              </w:rPr>
              <w:t>14</w:t>
            </w:r>
            <w:r>
              <w:rPr>
                <w:rFonts w:hint="eastAsia"/>
                <w:color w:val="000000"/>
                <w:kern w:val="0"/>
                <w:sz w:val="28"/>
                <w:szCs w:val="28"/>
                <w:lang w:val="en-US" w:eastAsia="zh-CN"/>
              </w:rPr>
              <w:t>人</w:t>
            </w:r>
            <w:r>
              <w:rPr>
                <w:color w:val="000000"/>
                <w:kern w:val="0"/>
                <w:sz w:val="28"/>
                <w:szCs w:val="28"/>
              </w:rPr>
              <w:t>。</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page" w:horzAnchor="page" w:tblpX="1244" w:tblpY="2521"/>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731"/>
        <w:gridCol w:w="365"/>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73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6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 w:val="21"/>
                <w:szCs w:val="21"/>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jc w:val="left"/>
              <w:rPr>
                <w:rFonts w:hint="eastAsia" w:ascii="Calibri" w:hAnsi="Calibri" w:eastAsia="楷体"/>
                <w:kern w:val="0"/>
                <w:sz w:val="13"/>
                <w:szCs w:val="21"/>
                <w:lang w:val="en-US" w:eastAsia="zh-CN"/>
              </w:rPr>
            </w:pPr>
          </w:p>
        </w:tc>
        <w:tc>
          <w:tcPr>
            <w:tcW w:w="1107" w:type="dxa"/>
            <w:noWrap w:val="0"/>
            <w:vAlign w:val="center"/>
          </w:tcPr>
          <w:p>
            <w:pPr>
              <w:jc w:val="left"/>
              <w:rPr>
                <w:rFonts w:ascii="Calibri" w:hAnsi="Calibri" w:eastAsia="楷体"/>
                <w:kern w:val="0"/>
                <w:sz w:val="13"/>
                <w:szCs w:val="21"/>
              </w:rPr>
            </w:pPr>
          </w:p>
        </w:tc>
        <w:tc>
          <w:tcPr>
            <w:tcW w:w="864" w:type="dxa"/>
            <w:noWrap w:val="0"/>
            <w:vAlign w:val="center"/>
          </w:tcPr>
          <w:p>
            <w:pPr>
              <w:jc w:val="left"/>
              <w:rPr>
                <w:rFonts w:ascii="Calibri" w:hAnsi="Calibri" w:eastAsia="楷体"/>
                <w:kern w:val="0"/>
                <w:sz w:val="13"/>
                <w:szCs w:val="21"/>
              </w:rPr>
            </w:pPr>
          </w:p>
        </w:tc>
        <w:tc>
          <w:tcPr>
            <w:tcW w:w="498" w:type="dxa"/>
            <w:noWrap w:val="0"/>
            <w:vAlign w:val="center"/>
          </w:tcPr>
          <w:p>
            <w:pPr>
              <w:keepNext w:val="0"/>
              <w:keepLines w:val="0"/>
              <w:widowControl/>
              <w:suppressLineNumbers w:val="0"/>
              <w:jc w:val="right"/>
              <w:textAlignment w:val="center"/>
              <w:rPr>
                <w:rFonts w:ascii="Calibri" w:hAnsi="Calibri" w:eastAsia="楷体"/>
                <w:kern w:val="0"/>
                <w:sz w:val="24"/>
                <w:szCs w:val="24"/>
              </w:rPr>
            </w:pPr>
            <w:r>
              <w:rPr>
                <w:rFonts w:hint="default" w:ascii="Arial" w:hAnsi="Arial" w:eastAsia="宋体" w:cs="Arial"/>
                <w:i w:val="0"/>
                <w:iCs w:val="0"/>
                <w:color w:val="000000"/>
                <w:kern w:val="0"/>
                <w:sz w:val="20"/>
                <w:szCs w:val="20"/>
                <w:u w:val="none"/>
                <w:lang w:val="en-US" w:eastAsia="zh-CN" w:bidi="ar"/>
              </w:rPr>
              <w:t>82.10</w:t>
            </w:r>
          </w:p>
        </w:tc>
        <w:tc>
          <w:tcPr>
            <w:tcW w:w="553" w:type="dxa"/>
            <w:noWrap w:val="0"/>
            <w:vAlign w:val="center"/>
          </w:tcPr>
          <w:p>
            <w:pPr>
              <w:keepNext w:val="0"/>
              <w:keepLines w:val="0"/>
              <w:widowControl/>
              <w:suppressLineNumbers w:val="0"/>
              <w:jc w:val="right"/>
              <w:textAlignment w:val="center"/>
              <w:rPr>
                <w:rFonts w:ascii="Calibri" w:hAnsi="Calibri" w:eastAsia="楷体"/>
                <w:kern w:val="0"/>
                <w:sz w:val="24"/>
                <w:szCs w:val="24"/>
              </w:rPr>
            </w:pPr>
            <w:r>
              <w:rPr>
                <w:rFonts w:hint="default" w:ascii="Arial" w:hAnsi="Arial" w:eastAsia="宋体" w:cs="Arial"/>
                <w:i w:val="0"/>
                <w:iCs w:val="0"/>
                <w:color w:val="000000"/>
                <w:kern w:val="0"/>
                <w:sz w:val="20"/>
                <w:szCs w:val="20"/>
                <w:u w:val="none"/>
                <w:lang w:val="en-US" w:eastAsia="zh-CN" w:bidi="ar"/>
              </w:rPr>
              <w:t>82.10</w:t>
            </w:r>
          </w:p>
        </w:tc>
        <w:tc>
          <w:tcPr>
            <w:tcW w:w="554"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2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73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365"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exact"/>
          <w:jc w:val="center"/>
        </w:trPr>
        <w:tc>
          <w:tcPr>
            <w:tcW w:w="759" w:type="dxa"/>
            <w:noWrap w:val="0"/>
            <w:vAlign w:val="center"/>
          </w:tcPr>
          <w:p>
            <w:pPr>
              <w:jc w:val="left"/>
              <w:rPr>
                <w:rFonts w:ascii="Calibri" w:hAnsi="Calibri" w:eastAsia="楷体"/>
                <w:kern w:val="0"/>
                <w:sz w:val="13"/>
                <w:szCs w:val="21"/>
              </w:rPr>
            </w:pPr>
          </w:p>
        </w:tc>
        <w:tc>
          <w:tcPr>
            <w:tcW w:w="1063" w:type="dxa"/>
            <w:noWrap w:val="0"/>
            <w:vAlign w:val="center"/>
          </w:tcPr>
          <w:p>
            <w:pPr>
              <w:keepNext w:val="0"/>
              <w:keepLines w:val="0"/>
              <w:widowControl/>
              <w:suppressLineNumbers w:val="0"/>
              <w:jc w:val="left"/>
              <w:textAlignment w:val="center"/>
              <w:rPr>
                <w:rFonts w:hint="eastAsia" w:ascii="Calibri" w:hAnsi="Calibri" w:eastAsia="楷体"/>
                <w:kern w:val="0"/>
                <w:sz w:val="21"/>
                <w:szCs w:val="21"/>
                <w:lang w:val="en-US" w:eastAsia="zh-CN"/>
              </w:rPr>
            </w:pPr>
            <w:r>
              <w:rPr>
                <w:rFonts w:hint="default" w:ascii="Arial" w:hAnsi="Arial" w:eastAsia="宋体" w:cs="Arial"/>
                <w:i w:val="0"/>
                <w:iCs w:val="0"/>
                <w:color w:val="000000"/>
                <w:kern w:val="0"/>
                <w:sz w:val="20"/>
                <w:szCs w:val="20"/>
                <w:u w:val="none"/>
                <w:lang w:val="en-US" w:eastAsia="zh-CN" w:bidi="ar"/>
              </w:rPr>
              <w:t>交通运输局2024年辅助岗人员工资</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13"/>
                <w:szCs w:val="21"/>
              </w:rPr>
            </w:pPr>
            <w:r>
              <w:rPr>
                <w:rFonts w:hint="default" w:ascii="Arial" w:hAnsi="Arial" w:eastAsia="宋体" w:cs="Arial"/>
                <w:i w:val="0"/>
                <w:iCs w:val="0"/>
                <w:color w:val="000000"/>
                <w:kern w:val="0"/>
                <w:sz w:val="20"/>
                <w:szCs w:val="20"/>
                <w:u w:val="none"/>
                <w:lang w:val="en-US" w:eastAsia="zh-CN" w:bidi="ar"/>
              </w:rPr>
              <w:t>交通运输局2024年辅助岗人员工资</w:t>
            </w:r>
          </w:p>
        </w:tc>
        <w:tc>
          <w:tcPr>
            <w:tcW w:w="864" w:type="dxa"/>
            <w:noWrap w:val="0"/>
            <w:vAlign w:val="center"/>
          </w:tcPr>
          <w:p>
            <w:pPr>
              <w:keepNext w:val="0"/>
              <w:keepLines w:val="0"/>
              <w:widowControl/>
              <w:suppressLineNumbers w:val="0"/>
              <w:jc w:val="left"/>
              <w:textAlignment w:val="center"/>
              <w:rPr>
                <w:rFonts w:ascii="Calibri" w:hAnsi="Calibri" w:eastAsia="楷体"/>
                <w:kern w:val="0"/>
                <w:sz w:val="13"/>
                <w:szCs w:val="21"/>
              </w:rPr>
            </w:pPr>
            <w:r>
              <w:rPr>
                <w:rFonts w:hint="default" w:ascii="Arial" w:hAnsi="Arial" w:eastAsia="宋体" w:cs="Arial"/>
                <w:i w:val="0"/>
                <w:iCs w:val="0"/>
                <w:color w:val="000000"/>
                <w:kern w:val="0"/>
                <w:sz w:val="20"/>
                <w:szCs w:val="20"/>
                <w:u w:val="none"/>
                <w:lang w:val="en-US" w:eastAsia="zh-CN" w:bidi="ar"/>
              </w:rPr>
              <w:t>通榆县交通运输局</w:t>
            </w:r>
          </w:p>
        </w:tc>
        <w:tc>
          <w:tcPr>
            <w:tcW w:w="498" w:type="dxa"/>
            <w:noWrap w:val="0"/>
            <w:vAlign w:val="center"/>
          </w:tcPr>
          <w:p>
            <w:pPr>
              <w:keepNext w:val="0"/>
              <w:keepLines w:val="0"/>
              <w:widowControl/>
              <w:suppressLineNumbers w:val="0"/>
              <w:jc w:val="right"/>
              <w:textAlignment w:val="center"/>
              <w:rPr>
                <w:rFonts w:ascii="Calibri" w:hAnsi="Calibri" w:eastAsia="楷体"/>
                <w:kern w:val="0"/>
                <w:sz w:val="24"/>
                <w:szCs w:val="24"/>
              </w:rPr>
            </w:pPr>
            <w:r>
              <w:rPr>
                <w:rFonts w:hint="default" w:ascii="Arial" w:hAnsi="Arial" w:eastAsia="宋体" w:cs="Arial"/>
                <w:i w:val="0"/>
                <w:iCs w:val="0"/>
                <w:color w:val="000000"/>
                <w:kern w:val="0"/>
                <w:sz w:val="20"/>
                <w:szCs w:val="20"/>
                <w:u w:val="none"/>
                <w:lang w:val="en-US" w:eastAsia="zh-CN" w:bidi="ar"/>
              </w:rPr>
              <w:t>53.30</w:t>
            </w:r>
          </w:p>
        </w:tc>
        <w:tc>
          <w:tcPr>
            <w:tcW w:w="553" w:type="dxa"/>
            <w:noWrap w:val="0"/>
            <w:vAlign w:val="center"/>
          </w:tcPr>
          <w:p>
            <w:pPr>
              <w:keepNext w:val="0"/>
              <w:keepLines w:val="0"/>
              <w:widowControl/>
              <w:suppressLineNumbers w:val="0"/>
              <w:jc w:val="right"/>
              <w:textAlignment w:val="center"/>
              <w:rPr>
                <w:rFonts w:ascii="Calibri" w:hAnsi="Calibri" w:eastAsia="楷体"/>
                <w:kern w:val="0"/>
                <w:sz w:val="24"/>
                <w:szCs w:val="24"/>
              </w:rPr>
            </w:pPr>
            <w:r>
              <w:rPr>
                <w:rFonts w:hint="default" w:ascii="Arial" w:hAnsi="Arial" w:eastAsia="宋体" w:cs="Arial"/>
                <w:i w:val="0"/>
                <w:iCs w:val="0"/>
                <w:color w:val="000000"/>
                <w:kern w:val="0"/>
                <w:sz w:val="20"/>
                <w:szCs w:val="20"/>
                <w:u w:val="none"/>
                <w:lang w:val="en-US" w:eastAsia="zh-CN" w:bidi="ar"/>
              </w:rPr>
              <w:t>53.30</w:t>
            </w:r>
          </w:p>
        </w:tc>
        <w:tc>
          <w:tcPr>
            <w:tcW w:w="554"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2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73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365"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exact"/>
          <w:jc w:val="center"/>
        </w:trPr>
        <w:tc>
          <w:tcPr>
            <w:tcW w:w="759" w:type="dxa"/>
            <w:noWrap w:val="0"/>
            <w:vAlign w:val="center"/>
          </w:tcPr>
          <w:p>
            <w:pPr>
              <w:jc w:val="left"/>
              <w:rPr>
                <w:rFonts w:ascii="Calibri" w:hAnsi="Calibri" w:eastAsia="楷体"/>
                <w:kern w:val="0"/>
                <w:sz w:val="13"/>
                <w:szCs w:val="21"/>
              </w:rPr>
            </w:pPr>
          </w:p>
        </w:tc>
        <w:tc>
          <w:tcPr>
            <w:tcW w:w="1063" w:type="dxa"/>
            <w:noWrap w:val="0"/>
            <w:vAlign w:val="center"/>
          </w:tcPr>
          <w:p>
            <w:pPr>
              <w:keepNext w:val="0"/>
              <w:keepLines w:val="0"/>
              <w:widowControl/>
              <w:suppressLineNumbers w:val="0"/>
              <w:jc w:val="left"/>
              <w:textAlignment w:val="center"/>
              <w:rPr>
                <w:rFonts w:hint="eastAsia" w:ascii="Calibri" w:hAnsi="Calibri" w:eastAsia="楷体"/>
                <w:kern w:val="0"/>
                <w:sz w:val="13"/>
                <w:szCs w:val="21"/>
                <w:lang w:val="en-US" w:eastAsia="zh-CN"/>
              </w:rPr>
            </w:pPr>
            <w:r>
              <w:rPr>
                <w:rFonts w:hint="default" w:ascii="Arial" w:hAnsi="Arial" w:eastAsia="宋体" w:cs="Arial"/>
                <w:i w:val="0"/>
                <w:iCs w:val="0"/>
                <w:color w:val="000000"/>
                <w:kern w:val="0"/>
                <w:sz w:val="20"/>
                <w:szCs w:val="20"/>
                <w:u w:val="none"/>
                <w:lang w:val="en-US" w:eastAsia="zh-CN" w:bidi="ar"/>
              </w:rPr>
              <w:t>交通运输局2024年驻村工作队生活补贴</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1"/>
                <w:szCs w:val="21"/>
              </w:rPr>
            </w:pPr>
            <w:r>
              <w:rPr>
                <w:rFonts w:hint="default" w:ascii="Arial" w:hAnsi="Arial" w:eastAsia="宋体" w:cs="Arial"/>
                <w:i w:val="0"/>
                <w:iCs w:val="0"/>
                <w:color w:val="000000"/>
                <w:kern w:val="0"/>
                <w:sz w:val="20"/>
                <w:szCs w:val="20"/>
                <w:u w:val="none"/>
                <w:lang w:val="en-US" w:eastAsia="zh-CN" w:bidi="ar"/>
              </w:rPr>
              <w:t>交通运输局2024年驻村工作队生活补贴</w:t>
            </w:r>
          </w:p>
        </w:tc>
        <w:tc>
          <w:tcPr>
            <w:tcW w:w="864" w:type="dxa"/>
            <w:noWrap w:val="0"/>
            <w:vAlign w:val="center"/>
          </w:tcPr>
          <w:p>
            <w:pPr>
              <w:keepNext w:val="0"/>
              <w:keepLines w:val="0"/>
              <w:widowControl/>
              <w:suppressLineNumbers w:val="0"/>
              <w:jc w:val="left"/>
              <w:textAlignment w:val="center"/>
              <w:rPr>
                <w:rFonts w:ascii="Calibri" w:hAnsi="Calibri" w:eastAsia="楷体"/>
                <w:kern w:val="0"/>
                <w:sz w:val="21"/>
                <w:szCs w:val="21"/>
              </w:rPr>
            </w:pPr>
            <w:r>
              <w:rPr>
                <w:rFonts w:hint="default" w:ascii="Arial" w:hAnsi="Arial" w:eastAsia="宋体" w:cs="Arial"/>
                <w:i w:val="0"/>
                <w:iCs w:val="0"/>
                <w:color w:val="000000"/>
                <w:kern w:val="0"/>
                <w:sz w:val="20"/>
                <w:szCs w:val="20"/>
                <w:u w:val="none"/>
                <w:lang w:val="en-US" w:eastAsia="zh-CN" w:bidi="ar"/>
              </w:rPr>
              <w:t>通榆县交通运输局</w:t>
            </w:r>
          </w:p>
        </w:tc>
        <w:tc>
          <w:tcPr>
            <w:tcW w:w="498" w:type="dxa"/>
            <w:noWrap w:val="0"/>
            <w:vAlign w:val="center"/>
          </w:tcPr>
          <w:p>
            <w:pPr>
              <w:keepNext w:val="0"/>
              <w:keepLines w:val="0"/>
              <w:widowControl/>
              <w:suppressLineNumbers w:val="0"/>
              <w:jc w:val="right"/>
              <w:textAlignment w:val="center"/>
              <w:rPr>
                <w:rFonts w:ascii="Calibri" w:hAnsi="Calibri" w:eastAsia="楷体"/>
                <w:kern w:val="0"/>
                <w:sz w:val="24"/>
                <w:szCs w:val="24"/>
              </w:rPr>
            </w:pPr>
            <w:r>
              <w:rPr>
                <w:rFonts w:hint="default" w:ascii="Arial" w:hAnsi="Arial" w:eastAsia="宋体" w:cs="Arial"/>
                <w:i w:val="0"/>
                <w:iCs w:val="0"/>
                <w:color w:val="000000"/>
                <w:kern w:val="0"/>
                <w:sz w:val="20"/>
                <w:szCs w:val="20"/>
                <w:u w:val="none"/>
                <w:lang w:val="en-US" w:eastAsia="zh-CN" w:bidi="ar"/>
              </w:rPr>
              <w:t>28.80</w:t>
            </w:r>
          </w:p>
        </w:tc>
        <w:tc>
          <w:tcPr>
            <w:tcW w:w="553" w:type="dxa"/>
            <w:noWrap w:val="0"/>
            <w:vAlign w:val="center"/>
          </w:tcPr>
          <w:p>
            <w:pPr>
              <w:keepNext w:val="0"/>
              <w:keepLines w:val="0"/>
              <w:widowControl/>
              <w:suppressLineNumbers w:val="0"/>
              <w:jc w:val="right"/>
              <w:textAlignment w:val="center"/>
              <w:rPr>
                <w:rFonts w:ascii="Calibri" w:hAnsi="Calibri" w:eastAsia="楷体"/>
                <w:kern w:val="0"/>
                <w:sz w:val="24"/>
                <w:szCs w:val="24"/>
              </w:rPr>
            </w:pPr>
            <w:r>
              <w:rPr>
                <w:rFonts w:hint="default" w:ascii="Arial" w:hAnsi="Arial" w:eastAsia="宋体" w:cs="Arial"/>
                <w:i w:val="0"/>
                <w:iCs w:val="0"/>
                <w:color w:val="000000"/>
                <w:kern w:val="0"/>
                <w:sz w:val="20"/>
                <w:szCs w:val="20"/>
                <w:u w:val="none"/>
                <w:lang w:val="en-US" w:eastAsia="zh-CN" w:bidi="ar"/>
              </w:rPr>
              <w:t>28.80</w:t>
            </w:r>
          </w:p>
        </w:tc>
        <w:tc>
          <w:tcPr>
            <w:tcW w:w="554"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2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73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365"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exact"/>
          <w:jc w:val="center"/>
        </w:trPr>
        <w:tc>
          <w:tcPr>
            <w:tcW w:w="759" w:type="dxa"/>
            <w:noWrap w:val="0"/>
            <w:vAlign w:val="center"/>
          </w:tcPr>
          <w:p>
            <w:pPr>
              <w:jc w:val="left"/>
              <w:rPr>
                <w:rFonts w:ascii="Calibri" w:hAnsi="Calibri" w:eastAsia="楷体"/>
                <w:kern w:val="0"/>
                <w:sz w:val="13"/>
                <w:szCs w:val="21"/>
              </w:rPr>
            </w:pPr>
          </w:p>
        </w:tc>
        <w:tc>
          <w:tcPr>
            <w:tcW w:w="1063" w:type="dxa"/>
            <w:noWrap w:val="0"/>
            <w:vAlign w:val="center"/>
          </w:tcPr>
          <w:p>
            <w:pPr>
              <w:keepNext w:val="0"/>
              <w:keepLines w:val="0"/>
              <w:widowControl/>
              <w:suppressLineNumbers w:val="0"/>
              <w:jc w:val="left"/>
              <w:textAlignment w:val="center"/>
              <w:rPr>
                <w:rFonts w:hint="eastAsia" w:ascii="Calibri" w:hAnsi="Calibri" w:eastAsia="楷体"/>
                <w:kern w:val="0"/>
                <w:sz w:val="21"/>
                <w:szCs w:val="21"/>
                <w:lang w:val="en-US" w:eastAsia="zh-CN"/>
              </w:rPr>
            </w:pPr>
          </w:p>
        </w:tc>
        <w:tc>
          <w:tcPr>
            <w:tcW w:w="1107" w:type="dxa"/>
            <w:noWrap w:val="0"/>
            <w:vAlign w:val="center"/>
          </w:tcPr>
          <w:p>
            <w:pPr>
              <w:jc w:val="left"/>
              <w:rPr>
                <w:rFonts w:ascii="Calibri" w:hAnsi="Calibri" w:eastAsia="楷体"/>
                <w:kern w:val="0"/>
                <w:sz w:val="13"/>
                <w:szCs w:val="21"/>
              </w:rPr>
            </w:pPr>
          </w:p>
        </w:tc>
        <w:tc>
          <w:tcPr>
            <w:tcW w:w="864" w:type="dxa"/>
            <w:noWrap w:val="0"/>
            <w:vAlign w:val="center"/>
          </w:tcPr>
          <w:p>
            <w:pPr>
              <w:jc w:val="left"/>
              <w:rPr>
                <w:rFonts w:ascii="Calibri" w:hAnsi="Calibri" w:eastAsia="楷体"/>
                <w:kern w:val="0"/>
                <w:sz w:val="13"/>
                <w:szCs w:val="21"/>
              </w:rPr>
            </w:pPr>
          </w:p>
        </w:tc>
        <w:tc>
          <w:tcPr>
            <w:tcW w:w="498"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53"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54"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2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73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365"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759" w:type="dxa"/>
            <w:noWrap w:val="0"/>
            <w:vAlign w:val="center"/>
          </w:tcPr>
          <w:p>
            <w:pPr>
              <w:jc w:val="left"/>
              <w:rPr>
                <w:rFonts w:hint="eastAsia" w:ascii="Calibri" w:hAnsi="Calibri" w:eastAsia="华文细黑"/>
                <w:color w:val="000000"/>
                <w:sz w:val="13"/>
                <w:szCs w:val="16"/>
              </w:rPr>
            </w:pPr>
          </w:p>
        </w:tc>
        <w:tc>
          <w:tcPr>
            <w:tcW w:w="1063" w:type="dxa"/>
            <w:noWrap w:val="0"/>
            <w:vAlign w:val="center"/>
          </w:tcPr>
          <w:p>
            <w:pPr>
              <w:jc w:val="left"/>
              <w:rPr>
                <w:rFonts w:hint="eastAsia" w:ascii="Calibri" w:hAnsi="Calibri" w:eastAsia="华文细黑"/>
                <w:color w:val="000000"/>
                <w:sz w:val="13"/>
                <w:szCs w:val="16"/>
                <w:lang w:val="en-US" w:eastAsia="zh-CN"/>
              </w:rPr>
            </w:pPr>
          </w:p>
        </w:tc>
        <w:tc>
          <w:tcPr>
            <w:tcW w:w="1107" w:type="dxa"/>
            <w:noWrap w:val="0"/>
            <w:vAlign w:val="center"/>
          </w:tcPr>
          <w:p>
            <w:pPr>
              <w:keepNext w:val="0"/>
              <w:keepLines w:val="0"/>
              <w:widowControl/>
              <w:suppressLineNumbers w:val="0"/>
              <w:jc w:val="left"/>
              <w:textAlignment w:val="center"/>
              <w:rPr>
                <w:rFonts w:hint="eastAsia" w:ascii="Calibri" w:hAnsi="Calibri" w:eastAsia="楷体"/>
                <w:kern w:val="0"/>
                <w:sz w:val="21"/>
                <w:szCs w:val="21"/>
                <w:lang w:val="en-US" w:eastAsia="zh-CN"/>
              </w:rPr>
            </w:pPr>
          </w:p>
        </w:tc>
        <w:tc>
          <w:tcPr>
            <w:tcW w:w="864" w:type="dxa"/>
            <w:noWrap w:val="0"/>
            <w:vAlign w:val="center"/>
          </w:tcPr>
          <w:p>
            <w:pPr>
              <w:keepNext w:val="0"/>
              <w:keepLines w:val="0"/>
              <w:widowControl/>
              <w:suppressLineNumbers w:val="0"/>
              <w:jc w:val="left"/>
              <w:textAlignment w:val="center"/>
              <w:rPr>
                <w:rFonts w:ascii="Calibri" w:hAnsi="Calibri" w:eastAsia="楷体"/>
                <w:kern w:val="0"/>
                <w:sz w:val="21"/>
                <w:szCs w:val="21"/>
              </w:rPr>
            </w:pPr>
          </w:p>
        </w:tc>
        <w:tc>
          <w:tcPr>
            <w:tcW w:w="498"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53"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54"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2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73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365"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jc w:val="center"/>
        </w:trPr>
        <w:tc>
          <w:tcPr>
            <w:tcW w:w="759" w:type="dxa"/>
            <w:noWrap w:val="0"/>
            <w:vAlign w:val="center"/>
          </w:tcPr>
          <w:p>
            <w:pPr>
              <w:jc w:val="left"/>
              <w:rPr>
                <w:rFonts w:hint="eastAsia" w:ascii="Calibri" w:hAnsi="Calibri" w:eastAsia="华文细黑"/>
                <w:color w:val="000000"/>
                <w:sz w:val="13"/>
                <w:szCs w:val="16"/>
              </w:rPr>
            </w:pPr>
          </w:p>
        </w:tc>
        <w:tc>
          <w:tcPr>
            <w:tcW w:w="1063" w:type="dxa"/>
            <w:noWrap w:val="0"/>
            <w:vAlign w:val="center"/>
          </w:tcPr>
          <w:p>
            <w:pPr>
              <w:jc w:val="left"/>
              <w:rPr>
                <w:rFonts w:hint="eastAsia" w:ascii="Calibri" w:hAnsi="Calibri" w:eastAsia="华文细黑"/>
                <w:color w:val="000000"/>
                <w:sz w:val="13"/>
                <w:szCs w:val="16"/>
                <w:lang w:val="en-US" w:eastAsia="zh-CN"/>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 w:val="21"/>
                <w:szCs w:val="21"/>
              </w:rPr>
            </w:pPr>
          </w:p>
        </w:tc>
        <w:tc>
          <w:tcPr>
            <w:tcW w:w="864" w:type="dxa"/>
            <w:noWrap w:val="0"/>
            <w:vAlign w:val="center"/>
          </w:tcPr>
          <w:p>
            <w:pPr>
              <w:keepNext w:val="0"/>
              <w:keepLines w:val="0"/>
              <w:widowControl/>
              <w:suppressLineNumbers w:val="0"/>
              <w:jc w:val="left"/>
              <w:textAlignment w:val="center"/>
              <w:rPr>
                <w:rFonts w:ascii="Calibri" w:hAnsi="Calibri" w:eastAsia="楷体"/>
                <w:kern w:val="0"/>
                <w:sz w:val="21"/>
                <w:szCs w:val="21"/>
              </w:rPr>
            </w:pPr>
          </w:p>
        </w:tc>
        <w:tc>
          <w:tcPr>
            <w:tcW w:w="498"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53"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54"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2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73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365"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keepNext w:val="0"/>
              <w:keepLines w:val="0"/>
              <w:widowControl/>
              <w:suppressLineNumbers w:val="0"/>
              <w:jc w:val="right"/>
              <w:textAlignment w:val="center"/>
              <w:rPr>
                <w:rFonts w:ascii="Calibri" w:hAnsi="Calibri" w:eastAsia="楷体"/>
                <w:kern w:val="0"/>
                <w:sz w:val="24"/>
                <w:szCs w:val="24"/>
              </w:rPr>
            </w:pPr>
            <w:r>
              <w:rPr>
                <w:rFonts w:hint="default" w:ascii="Arial" w:hAnsi="Arial" w:eastAsia="宋体" w:cs="Arial"/>
                <w:i w:val="0"/>
                <w:iCs w:val="0"/>
                <w:color w:val="000000"/>
                <w:kern w:val="0"/>
                <w:sz w:val="20"/>
                <w:szCs w:val="20"/>
                <w:u w:val="none"/>
                <w:lang w:val="en-US" w:eastAsia="zh-CN" w:bidi="ar"/>
              </w:rPr>
              <w:t>82.10</w:t>
            </w:r>
          </w:p>
        </w:tc>
        <w:tc>
          <w:tcPr>
            <w:tcW w:w="553" w:type="dxa"/>
            <w:noWrap w:val="0"/>
            <w:vAlign w:val="center"/>
          </w:tcPr>
          <w:p>
            <w:pPr>
              <w:keepNext w:val="0"/>
              <w:keepLines w:val="0"/>
              <w:widowControl/>
              <w:suppressLineNumbers w:val="0"/>
              <w:jc w:val="right"/>
              <w:textAlignment w:val="center"/>
              <w:rPr>
                <w:rFonts w:ascii="Calibri" w:hAnsi="Calibri" w:eastAsia="楷体"/>
                <w:kern w:val="0"/>
                <w:sz w:val="24"/>
                <w:szCs w:val="24"/>
              </w:rPr>
            </w:pPr>
            <w:r>
              <w:rPr>
                <w:rFonts w:hint="default" w:ascii="Arial" w:hAnsi="Arial" w:eastAsia="宋体" w:cs="Arial"/>
                <w:i w:val="0"/>
                <w:iCs w:val="0"/>
                <w:color w:val="000000"/>
                <w:kern w:val="0"/>
                <w:sz w:val="20"/>
                <w:szCs w:val="20"/>
                <w:u w:val="none"/>
                <w:lang w:val="en-US" w:eastAsia="zh-CN" w:bidi="ar"/>
              </w:rPr>
              <w:t>82.10</w:t>
            </w:r>
          </w:p>
        </w:tc>
        <w:tc>
          <w:tcPr>
            <w:tcW w:w="554"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52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731" w:type="dxa"/>
            <w:noWrap w:val="0"/>
            <w:vAlign w:val="center"/>
          </w:tcPr>
          <w:p>
            <w:pPr>
              <w:keepNext w:val="0"/>
              <w:keepLines w:val="0"/>
              <w:widowControl/>
              <w:suppressLineNumbers w:val="0"/>
              <w:jc w:val="right"/>
              <w:textAlignment w:val="center"/>
              <w:rPr>
                <w:rFonts w:ascii="Calibri" w:hAnsi="Calibri" w:eastAsia="楷体"/>
                <w:kern w:val="0"/>
                <w:sz w:val="24"/>
                <w:szCs w:val="24"/>
              </w:rPr>
            </w:pPr>
          </w:p>
        </w:tc>
        <w:tc>
          <w:tcPr>
            <w:tcW w:w="365"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交通运输局2024年辅助岗人员工资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53.3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53.3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rPr>
              <w:t>交通运输局2024年辅助岗人员工资</w:t>
            </w:r>
            <w:r>
              <w:rPr>
                <w:rFonts w:hint="eastAsia" w:ascii="宋体" w:hAnsi="宋体" w:eastAsia="宋体" w:cs="宋体"/>
                <w:color w:val="000000"/>
                <w:sz w:val="20"/>
                <w:lang w:eastAsia="zh-CN"/>
              </w:rPr>
              <w:t>。</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14人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辅助岗位人员服务乡道管理质量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辅助岗人员工资金额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b/>
                <w:bCs/>
                <w:color w:val="000000"/>
                <w:sz w:val="20"/>
              </w:rPr>
            </w:pPr>
            <w:r>
              <w:rPr>
                <w:rFonts w:hint="eastAsia" w:ascii="宋体" w:hAnsi="宋体" w:eastAsia="宋体" w:cs="宋体"/>
                <w:b w:val="0"/>
                <w:bCs w:val="0"/>
                <w:color w:val="000000"/>
                <w:sz w:val="20"/>
              </w:rPr>
              <w:t>3172</w:t>
            </w:r>
            <w:r>
              <w:rPr>
                <w:rFonts w:hint="eastAsia" w:ascii="宋体" w:hAnsi="宋体" w:eastAsia="宋体" w:cs="宋体"/>
                <w:b w:val="0"/>
                <w:bCs w:val="0"/>
                <w:color w:val="000000"/>
                <w:sz w:val="20"/>
                <w:lang w:eastAsia="zh-CN"/>
              </w:rPr>
              <w:t>元</w:t>
            </w:r>
            <w:r>
              <w:rPr>
                <w:rFonts w:hint="eastAsia" w:ascii="宋体" w:hAnsi="宋体" w:eastAsia="宋体" w:cs="宋体"/>
                <w:b w:val="0"/>
                <w:bCs w:val="0"/>
                <w:color w:val="000000"/>
                <w:sz w:val="20"/>
              </w:rPr>
              <w:t>/人/月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辅助岗人员工资发放及时率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rPr>
              <w:t>100</w:t>
            </w:r>
            <w:r>
              <w:rPr>
                <w:rFonts w:hint="eastAsia" w:ascii="宋体" w:hAnsi="宋体" w:eastAsia="宋体" w:cs="宋体"/>
                <w:color w:val="000000"/>
                <w:sz w:val="20"/>
                <w:lang w:val="en-US" w:eastAsia="zh-CN"/>
              </w:rPr>
              <w:t>%</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辅助岗人员工作开展，提高出行质量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辅助人员对发放工资满意度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交通运输局2024年驻村工作队生活补贴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28.8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28.8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89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2024年驻村工作队生活补助。</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派出驻村干部人数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8人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驻村干部天数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2880天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b/>
                <w:bCs/>
                <w:color w:val="000000"/>
                <w:sz w:val="20"/>
              </w:rPr>
            </w:pPr>
            <w:r>
              <w:rPr>
                <w:rFonts w:hint="eastAsia" w:ascii="宋体" w:hAnsi="宋体" w:eastAsia="宋体" w:cs="宋体"/>
                <w:b w:val="0"/>
                <w:bCs w:val="0"/>
                <w:color w:val="000000"/>
                <w:sz w:val="20"/>
              </w:rPr>
              <w:t>驻村干部生活补助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r>
              <w:rPr>
                <w:rFonts w:hint="eastAsia" w:ascii="宋体" w:hAnsi="宋体" w:eastAsia="宋体" w:cs="宋体"/>
                <w:color w:val="000000"/>
                <w:sz w:val="20"/>
              </w:rPr>
              <w:t>元/人/日</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驻村工作开展提高村民生活质量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驻村干部对发放驻村补助满意度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spacing w:line="700" w:lineRule="exact"/>
        <w:rPr>
          <w:rFonts w:eastAsia="楷体"/>
          <w:kern w:val="0"/>
          <w:szCs w:val="32"/>
        </w:rPr>
      </w:pPr>
    </w:p>
    <w:p>
      <w:pPr>
        <w:spacing w:line="700" w:lineRule="exact"/>
        <w:rPr>
          <w:rFonts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w:t>
      </w:r>
      <w:r>
        <w:rPr>
          <w:rFonts w:hint="eastAsia" w:ascii="仿宋_GB2312" w:hAnsi="仿宋_GB2312" w:cs="仿宋_GB2312"/>
          <w:szCs w:val="32"/>
          <w:lang w:eastAsia="zh-CN"/>
        </w:rPr>
        <w:t>本单位</w:t>
      </w:r>
      <w:r>
        <w:rPr>
          <w:rFonts w:hint="eastAsia" w:ascii="仿宋_GB2312" w:hAnsi="仿宋_GB2312" w:eastAsia="仿宋_GB2312" w:cs="仿宋_GB2312"/>
          <w:szCs w:val="32"/>
        </w:rPr>
        <w:t>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年收支总预算_259.35__万元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259.35</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15.48</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工资上涨导致</w:t>
      </w:r>
      <w:r>
        <w:rPr>
          <w:rFonts w:hint="eastAsia" w:ascii="仿宋_GB2312" w:hAnsi="仿宋_GB2312" w:eastAsia="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年收入预算259.35万元，其中：本年收入259.35万元，占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259.35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年支出预算_</w:t>
      </w:r>
      <w:r>
        <w:rPr>
          <w:rFonts w:hint="eastAsia" w:ascii="仿宋_GB2312" w:hAnsi="仿宋_GB2312" w:cs="仿宋_GB2312"/>
          <w:szCs w:val="32"/>
          <w:lang w:val="en-US" w:eastAsia="zh-CN"/>
        </w:rPr>
        <w:t>259.35</w:t>
      </w:r>
      <w:r>
        <w:rPr>
          <w:rFonts w:hint="eastAsia" w:ascii="仿宋_GB2312" w:hAnsi="仿宋_GB2312" w:eastAsia="仿宋_GB2312" w:cs="仿宋_GB2312"/>
          <w:szCs w:val="32"/>
        </w:rPr>
        <w:t>_万元，其中：基本支出__177.25_万元，占__</w:t>
      </w:r>
      <w:r>
        <w:rPr>
          <w:rFonts w:hint="eastAsia" w:ascii="仿宋_GB2312" w:hAnsi="仿宋_GB2312" w:cs="仿宋_GB2312"/>
          <w:szCs w:val="32"/>
          <w:lang w:val="en-US" w:eastAsia="zh-CN"/>
        </w:rPr>
        <w:t>68</w:t>
      </w:r>
      <w:r>
        <w:rPr>
          <w:rFonts w:hint="eastAsia" w:ascii="仿宋_GB2312" w:hAnsi="仿宋_GB2312" w:eastAsia="仿宋_GB2312" w:cs="仿宋_GB2312"/>
          <w:szCs w:val="32"/>
        </w:rPr>
        <w:t>_%；项目支出__82.1__万元，占__</w:t>
      </w:r>
      <w:r>
        <w:rPr>
          <w:rFonts w:hint="eastAsia" w:ascii="仿宋_GB2312" w:hAnsi="仿宋_GB2312" w:cs="仿宋_GB2312"/>
          <w:szCs w:val="32"/>
          <w:lang w:val="en-US" w:eastAsia="zh-CN"/>
        </w:rPr>
        <w:t>32</w:t>
      </w:r>
      <w:r>
        <w:rPr>
          <w:rFonts w:hint="eastAsia" w:ascii="仿宋_GB2312" w:hAnsi="仿宋_GB2312" w:eastAsia="仿宋_GB2312" w:cs="仿宋_GB2312"/>
          <w:szCs w:val="32"/>
        </w:rPr>
        <w:t>__%。</w:t>
      </w:r>
    </w:p>
    <w:p>
      <w:pPr>
        <w:ind w:firstLine="640" w:firstLineChars="2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年财政拨款收支总预算__</w:t>
      </w:r>
      <w:r>
        <w:rPr>
          <w:rFonts w:hint="eastAsia" w:ascii="仿宋_GB2312" w:hAnsi="仿宋_GB2312" w:cs="仿宋_GB2312"/>
          <w:szCs w:val="32"/>
          <w:lang w:val="en-US" w:eastAsia="zh-CN"/>
        </w:rPr>
        <w:t>259.35</w:t>
      </w:r>
      <w:r>
        <w:rPr>
          <w:rFonts w:hint="eastAsia" w:ascii="仿宋_GB2312" w:hAnsi="仿宋_GB2312" w:eastAsia="仿宋_GB2312" w:cs="仿宋_GB2312"/>
          <w:szCs w:val="32"/>
        </w:rPr>
        <w:t>_万元，其中：本年收入__</w:t>
      </w:r>
      <w:r>
        <w:rPr>
          <w:rFonts w:hint="eastAsia" w:ascii="仿宋_GB2312" w:hAnsi="仿宋_GB2312" w:cs="仿宋_GB2312"/>
          <w:szCs w:val="32"/>
          <w:lang w:val="en-US" w:eastAsia="zh-CN"/>
        </w:rPr>
        <w:t>259.35</w:t>
      </w:r>
      <w:r>
        <w:rPr>
          <w:rFonts w:hint="eastAsia" w:ascii="仿宋_GB2312" w:hAnsi="仿宋_GB2312" w:eastAsia="仿宋_GB2312" w:cs="仿宋_GB2312"/>
          <w:szCs w:val="32"/>
        </w:rPr>
        <w:t>_万元，上年结转_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__万元。支出包括：</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__20.29_万元，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__7.13_万元，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__219.66_万元，，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rPr>
        <w:t>__12.27__万元。</w:t>
      </w:r>
    </w:p>
    <w:p>
      <w:pPr>
        <w:ind w:firstLine="640" w:firstLineChars="2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年一般公共预算拨款_</w:t>
      </w:r>
      <w:r>
        <w:rPr>
          <w:rFonts w:hint="eastAsia" w:ascii="仿宋_GB2312" w:hAnsi="仿宋_GB2312" w:cs="仿宋_GB2312"/>
          <w:szCs w:val="32"/>
          <w:lang w:val="en-US" w:eastAsia="zh-CN"/>
        </w:rPr>
        <w:t>259.35</w:t>
      </w:r>
      <w:r>
        <w:rPr>
          <w:rFonts w:hint="eastAsia" w:ascii="仿宋_GB2312" w:hAnsi="仿宋_GB2312" w:eastAsia="仿宋_GB2312" w:cs="仿宋_GB2312"/>
          <w:szCs w:val="32"/>
        </w:rPr>
        <w:t>_万元，其中：基本支出__177.25_万元，占__</w:t>
      </w:r>
      <w:r>
        <w:rPr>
          <w:rFonts w:hint="eastAsia" w:ascii="仿宋_GB2312" w:hAnsi="仿宋_GB2312" w:cs="仿宋_GB2312"/>
          <w:szCs w:val="32"/>
          <w:lang w:val="en-US" w:eastAsia="zh-CN"/>
        </w:rPr>
        <w:t>68</w:t>
      </w:r>
      <w:r>
        <w:rPr>
          <w:rFonts w:hint="eastAsia" w:ascii="仿宋_GB2312" w:hAnsi="仿宋_GB2312" w:eastAsia="仿宋_GB2312" w:cs="仿宋_GB2312"/>
          <w:szCs w:val="32"/>
        </w:rPr>
        <w:t>_%；项目支出__82.1__万元，占__</w:t>
      </w:r>
      <w:r>
        <w:rPr>
          <w:rFonts w:hint="eastAsia" w:ascii="仿宋_GB2312" w:hAnsi="仿宋_GB2312" w:cs="仿宋_GB2312"/>
          <w:szCs w:val="32"/>
          <w:lang w:val="en-US" w:eastAsia="zh-CN"/>
        </w:rPr>
        <w:t>32</w:t>
      </w:r>
      <w:r>
        <w:rPr>
          <w:rFonts w:hint="eastAsia" w:ascii="仿宋_GB2312" w:hAnsi="仿宋_GB2312" w:eastAsia="仿宋_GB2312" w:cs="仿宋_GB2312"/>
          <w:szCs w:val="32"/>
        </w:rPr>
        <w:t>__%。基本支出中，人员经费_156.49_万元，占_</w:t>
      </w:r>
      <w:r>
        <w:rPr>
          <w:rFonts w:hint="eastAsia" w:ascii="仿宋_GB2312" w:hAnsi="仿宋_GB2312" w:cs="仿宋_GB2312"/>
          <w:szCs w:val="32"/>
          <w:lang w:val="en-US" w:eastAsia="zh-CN"/>
        </w:rPr>
        <w:t>88</w:t>
      </w:r>
      <w:r>
        <w:rPr>
          <w:rFonts w:hint="eastAsia" w:ascii="仿宋_GB2312" w:hAnsi="仿宋_GB2312" w:eastAsia="仿宋_GB2312" w:cs="仿宋_GB2312"/>
          <w:szCs w:val="32"/>
        </w:rPr>
        <w:t>_%；公用经费_20.76_万元，占_</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社会保障和就业（类）支出_20.29_万元，占_</w:t>
      </w:r>
      <w:r>
        <w:rPr>
          <w:rFonts w:hint="eastAsia" w:ascii="仿宋_GB2312" w:hAnsi="仿宋_GB2312" w:cs="仿宋_GB2312"/>
          <w:szCs w:val="32"/>
          <w:lang w:val="en-US" w:eastAsia="zh-CN"/>
        </w:rPr>
        <w:t>7.8</w:t>
      </w:r>
      <w:r>
        <w:rPr>
          <w:rFonts w:hint="eastAsia" w:ascii="仿宋_GB2312" w:hAnsi="仿宋_GB2312" w:eastAsia="仿宋_GB2312" w:cs="仿宋_GB2312"/>
          <w:szCs w:val="32"/>
        </w:rPr>
        <w:t>_%，主要用于___</w:t>
      </w:r>
      <w:r>
        <w:rPr>
          <w:rFonts w:hint="eastAsia" w:ascii="仿宋_GB2312" w:hAnsi="仿宋_GB2312" w:cs="仿宋_GB2312"/>
          <w:szCs w:val="32"/>
          <w:lang w:val="en-US" w:eastAsia="zh-CN"/>
        </w:rPr>
        <w:t>缴纳养老保险费和职业年金</w:t>
      </w:r>
      <w:r>
        <w:rPr>
          <w:rFonts w:hint="eastAsia" w:ascii="仿宋_GB2312" w:hAnsi="仿宋_GB2312" w:eastAsia="仿宋_GB2312" w:cs="仿宋_GB2312"/>
          <w:szCs w:val="32"/>
        </w:rPr>
        <w:t>__。</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val="en-US" w:eastAsia="zh-CN"/>
        </w:rPr>
        <w:t>卫生健康</w:t>
      </w:r>
      <w:r>
        <w:rPr>
          <w:rFonts w:hint="eastAsia" w:ascii="仿宋_GB2312" w:hAnsi="仿宋_GB2312" w:eastAsia="仿宋_GB2312" w:cs="仿宋_GB2312"/>
          <w:szCs w:val="32"/>
        </w:rPr>
        <w:t>（类）支出_7.13_万元，占__</w:t>
      </w:r>
      <w:r>
        <w:rPr>
          <w:rFonts w:hint="eastAsia" w:ascii="仿宋_GB2312" w:hAnsi="仿宋_GB2312" w:cs="仿宋_GB2312"/>
          <w:szCs w:val="32"/>
          <w:lang w:val="en-US" w:eastAsia="zh-CN"/>
        </w:rPr>
        <w:t>2.7</w:t>
      </w:r>
      <w:r>
        <w:rPr>
          <w:rFonts w:hint="eastAsia" w:ascii="仿宋_GB2312" w:hAnsi="仿宋_GB2312" w:eastAsia="仿宋_GB2312" w:cs="仿宋_GB2312"/>
          <w:szCs w:val="32"/>
        </w:rPr>
        <w:t>_%，主要用于___</w:t>
      </w:r>
      <w:r>
        <w:rPr>
          <w:rFonts w:hint="eastAsia" w:ascii="仿宋_GB2312" w:hAnsi="仿宋_GB2312" w:cs="仿宋_GB2312"/>
          <w:szCs w:val="32"/>
          <w:lang w:val="en-US" w:eastAsia="zh-CN"/>
        </w:rPr>
        <w:t>缴纳医保费和工伤保险费</w:t>
      </w:r>
      <w:r>
        <w:rPr>
          <w:rFonts w:hint="eastAsia" w:ascii="仿宋_GB2312" w:hAnsi="仿宋_GB2312" w:eastAsia="仿宋_GB2312" w:cs="仿宋_GB2312"/>
          <w:szCs w:val="32"/>
        </w:rPr>
        <w:t>__。</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val="en-US" w:eastAsia="zh-CN"/>
        </w:rPr>
        <w:t>交通运输</w:t>
      </w:r>
      <w:r>
        <w:rPr>
          <w:rFonts w:hint="eastAsia" w:ascii="仿宋_GB2312" w:hAnsi="仿宋_GB2312" w:eastAsia="仿宋_GB2312" w:cs="仿宋_GB2312"/>
          <w:szCs w:val="32"/>
        </w:rPr>
        <w:t>（类）支出_219.66_万元，占__</w:t>
      </w:r>
      <w:r>
        <w:rPr>
          <w:rFonts w:hint="eastAsia" w:ascii="仿宋_GB2312" w:hAnsi="仿宋_GB2312" w:cs="仿宋_GB2312"/>
          <w:szCs w:val="32"/>
          <w:lang w:val="en-US" w:eastAsia="zh-CN"/>
        </w:rPr>
        <w:t>84.7</w:t>
      </w:r>
      <w:r>
        <w:rPr>
          <w:rFonts w:hint="eastAsia" w:ascii="仿宋_GB2312" w:hAnsi="仿宋_GB2312" w:eastAsia="仿宋_GB2312" w:cs="仿宋_GB2312"/>
          <w:szCs w:val="32"/>
        </w:rPr>
        <w:t>_%，主要用于___</w:t>
      </w:r>
      <w:r>
        <w:rPr>
          <w:rFonts w:hint="eastAsia" w:ascii="仿宋_GB2312" w:hAnsi="仿宋_GB2312" w:cs="仿宋_GB2312"/>
          <w:szCs w:val="32"/>
          <w:lang w:val="en-US" w:eastAsia="zh-CN"/>
        </w:rPr>
        <w:t>人员工资和日常公用经费</w:t>
      </w:r>
      <w:r>
        <w:rPr>
          <w:rFonts w:hint="eastAsia" w:ascii="仿宋_GB2312" w:hAnsi="仿宋_GB2312" w:eastAsia="仿宋_GB2312" w:cs="仿宋_GB2312"/>
          <w:szCs w:val="32"/>
        </w:rPr>
        <w:t>__。</w:t>
      </w:r>
    </w:p>
    <w:p>
      <w:pPr>
        <w:spacing w:line="520" w:lineRule="exact"/>
        <w:ind w:firstLine="200"/>
        <w:rPr>
          <w:rFonts w:hint="eastAsia"/>
          <w:szCs w:val="32"/>
        </w:rPr>
      </w:pPr>
      <w:r>
        <w:rPr>
          <w:rFonts w:hint="eastAsia" w:ascii="仿宋_GB2312" w:hAnsi="仿宋_GB2312" w:eastAsia="仿宋_GB2312" w:cs="仿宋_GB2312"/>
          <w:szCs w:val="32"/>
        </w:rPr>
        <w:t>住房保障（类）支出_12.27_万元，占_</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_%，主要用于___</w:t>
      </w:r>
      <w:r>
        <w:rPr>
          <w:rFonts w:hint="eastAsia" w:ascii="仿宋_GB2312" w:hAnsi="仿宋_GB2312" w:cs="仿宋_GB2312"/>
          <w:szCs w:val="32"/>
          <w:lang w:val="en-US" w:eastAsia="zh-CN"/>
        </w:rPr>
        <w:t>缴纳住房公积金</w:t>
      </w:r>
      <w:r>
        <w:rPr>
          <w:rFonts w:hint="eastAsia" w:ascii="仿宋_GB2312" w:hAnsi="仿宋_GB2312" w:eastAsia="仿宋_GB2312" w:cs="仿宋_GB2312"/>
          <w:szCs w:val="32"/>
        </w:rPr>
        <w:t>__。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bookmarkStart w:id="0" w:name="_GoBack"/>
      <w:bookmarkEnd w:id="0"/>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年一般公共预算基本支出177.25_万元，其中：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人员经费_156.49__万元，主要包括：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_20.76__万元，主要包括：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default" w:ascii="仿宋_GB2312" w:hAnsi="仿宋_GB2312" w:eastAsia="仿宋_GB2312" w:cs="仿宋_GB2312"/>
          <w:szCs w:val="32"/>
          <w:lang w:val="en-US"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eastAsia="zh-CN"/>
        </w:rPr>
        <w:t>本部门无一般公共预算拨款</w:t>
      </w:r>
      <w:r>
        <w:rPr>
          <w:rFonts w:hint="eastAsia" w:ascii="仿宋_GB2312" w:hAnsi="仿宋_GB2312" w:cs="仿宋_GB2312"/>
          <w:szCs w:val="32"/>
          <w:lang w:eastAsia="zh-CN"/>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lang w:val="en-US" w:eastAsia="zh-CN"/>
        </w:rPr>
        <w:t>2024年</w:t>
      </w:r>
      <w:r>
        <w:rPr>
          <w:rFonts w:hint="eastAsia" w:ascii="仿宋_GB2312" w:hAnsi="仿宋_GB2312" w:cs="仿宋_GB2312"/>
          <w:szCs w:val="32"/>
          <w:lang w:eastAsia="zh-CN"/>
        </w:rPr>
        <w:t>本部门无政府性基金预算拨款。</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年本部门无国有资本经营预算拨款</w:t>
      </w:r>
    </w:p>
    <w:p>
      <w:pPr>
        <w:ind w:firstLine="640" w:firstLineChars="20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年部门本级等_</w:t>
      </w:r>
      <w:r>
        <w:rPr>
          <w:rFonts w:hint="eastAsia" w:ascii="仿宋_GB2312" w:hAnsi="仿宋_GB2312" w:cs="仿宋_GB2312"/>
          <w:szCs w:val="32"/>
          <w:lang w:val="en-US" w:eastAsia="zh-CN"/>
        </w:rPr>
        <w:t>1</w:t>
      </w:r>
      <w:r>
        <w:rPr>
          <w:rFonts w:hint="eastAsia" w:ascii="仿宋_GB2312" w:hAnsi="仿宋_GB2312" w:eastAsia="仿宋_GB2312" w:cs="仿宋_GB2312"/>
          <w:szCs w:val="32"/>
        </w:rPr>
        <w:t>_家行政单位的机关运行经费财政拨款预算20.76万元，比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7.56</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57</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增加交通补贴</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82.1万元，其中：一级项目</w:t>
      </w:r>
      <w:r>
        <w:rPr>
          <w:rFonts w:hint="eastAsia" w:ascii="仿宋_GB2312" w:hAnsi="仿宋_GB2312" w:cs="仿宋_GB2312"/>
          <w:szCs w:val="32"/>
          <w:highlight w:val="none"/>
          <w:lang w:val="en-US" w:eastAsia="zh-CN"/>
        </w:rPr>
        <w:t>2</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82.1</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2</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82.1</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1A6A75"/>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B11195"/>
    <w:rsid w:val="10C93B35"/>
    <w:rsid w:val="11177619"/>
    <w:rsid w:val="112605C8"/>
    <w:rsid w:val="12E711B7"/>
    <w:rsid w:val="136D62BD"/>
    <w:rsid w:val="13F21722"/>
    <w:rsid w:val="1441443C"/>
    <w:rsid w:val="14C12787"/>
    <w:rsid w:val="150D4A37"/>
    <w:rsid w:val="15593E10"/>
    <w:rsid w:val="159F7E25"/>
    <w:rsid w:val="15F848D0"/>
    <w:rsid w:val="160E1FA5"/>
    <w:rsid w:val="160F2600"/>
    <w:rsid w:val="17765BCA"/>
    <w:rsid w:val="17A027D8"/>
    <w:rsid w:val="180D1687"/>
    <w:rsid w:val="1A817DF8"/>
    <w:rsid w:val="1ADC594E"/>
    <w:rsid w:val="1AEB5252"/>
    <w:rsid w:val="1C852172"/>
    <w:rsid w:val="1CA40C0C"/>
    <w:rsid w:val="1CFF4A32"/>
    <w:rsid w:val="1D833200"/>
    <w:rsid w:val="1E2D59A2"/>
    <w:rsid w:val="1E3A3FD0"/>
    <w:rsid w:val="1EB55C07"/>
    <w:rsid w:val="1F351A10"/>
    <w:rsid w:val="1FED47E9"/>
    <w:rsid w:val="206816AC"/>
    <w:rsid w:val="227A01F3"/>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2F7B31B7"/>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262FD"/>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73367B"/>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B92C37"/>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67F3A8B"/>
    <w:rsid w:val="57AE5C26"/>
    <w:rsid w:val="57DD75A9"/>
    <w:rsid w:val="58256ABD"/>
    <w:rsid w:val="592339F0"/>
    <w:rsid w:val="59472AC7"/>
    <w:rsid w:val="5950776A"/>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1D31D03"/>
    <w:rsid w:val="61F8540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27</Pages>
  <Words>7262</Words>
  <Characters>8534</Characters>
  <Lines>71</Lines>
  <Paragraphs>20</Paragraphs>
  <TotalTime>16</TotalTime>
  <ScaleCrop>false</ScaleCrop>
  <LinksUpToDate>false</LinksUpToDate>
  <CharactersWithSpaces>9085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2024-01-31T08:38:40Z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