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none"/>
          <w:lang w:eastAsia="zh-CN"/>
        </w:rPr>
        <w:t>通榆县工业和信息化局</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spacing w:line="540" w:lineRule="exact"/>
        <w:ind w:firstLine="645"/>
        <w:rPr>
          <w:rFonts w:ascii="Times New Roman" w:hAnsi="Times New Roman" w:eastAsia="仿宋"/>
          <w:sz w:val="32"/>
          <w:szCs w:val="32"/>
        </w:rPr>
      </w:pPr>
      <w:r>
        <w:rPr>
          <w:rFonts w:hint="eastAsia" w:ascii="Times New Roman" w:hAnsi="Times New Roman" w:eastAsia="仿宋"/>
          <w:sz w:val="32"/>
          <w:szCs w:val="32"/>
        </w:rPr>
        <w:t>县工信局的主要职责是：</w:t>
      </w:r>
    </w:p>
    <w:p>
      <w:pPr>
        <w:spacing w:line="540" w:lineRule="exact"/>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（一）监测、分析全县工业经济运行态势，调节工业经济日常运行；编制并组织实施近期工业经济运行调控目标和措施，协调解决工业经济运行中的重大问题，并向县政府提出意见和建议。</w:t>
      </w:r>
    </w:p>
    <w:p>
      <w:pPr>
        <w:spacing w:line="540" w:lineRule="exact"/>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二）组织实施国家有关工业发展政策，监督检查执行情况；研究拟定全县工业发展规划并组织实施，指导全县工业结构调整，提出重点行业、重点产品的调整方案；联系工业领域社会中介组织并指导其改革与调整；协调指导全县城区集体经济发展。</w:t>
      </w:r>
    </w:p>
    <w:p>
      <w:pPr>
        <w:spacing w:line="540" w:lineRule="exact"/>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三）指导全县工业企业的改革、改组、兼并破产等工作，推进现代企业制度的建立；负责全县企业集团设立，企业改制为股份公司的初审工作；指导企业的管理、扭亏和减轻企业负担工作；指导企业管理人员培训和企业内部的法律顾问工作。</w:t>
      </w:r>
    </w:p>
    <w:p>
      <w:pPr>
        <w:spacing w:line="540" w:lineRule="exact"/>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（四）负责工业能源节约和资源综合利用工作，协调工业环境保护及清洁生产、节能、节水工作。协调全县铁路、公路等联合运输工作。</w:t>
      </w:r>
    </w:p>
    <w:p>
      <w:pPr>
        <w:spacing w:line="540" w:lineRule="exact"/>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五）研究和规划全县工业行业投资布局，负责工业技术改造项目的申报。研究推进全县企业技术进步的政策措施。负责编制并组织实施企业技术改造新产品开发规划。负责提出国家、省、市对口部门和全县用于工业和信息化财政性建设资金安排建议。</w:t>
      </w:r>
    </w:p>
    <w:p>
      <w:pPr>
        <w:spacing w:line="540" w:lineRule="exact"/>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（六）负责全县中小企业、非国有经济的宏观指导、综合协调和服务；贯彻落实《中小企业促进法》，研究制定配套措施并组织实施，监督检查实施情况，督促中小企业依法经营，维护合法权益。</w:t>
      </w:r>
    </w:p>
    <w:p>
      <w:pPr>
        <w:spacing w:line="540" w:lineRule="exact"/>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（七）研究制订全县中小企业、非国有经济的发展战略和中长期规划，检测分析中小企业、非国有经济发展动态，协调解决发展中的重大问题。</w:t>
      </w:r>
    </w:p>
    <w:p>
      <w:pPr>
        <w:spacing w:line="540" w:lineRule="exact"/>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（八）建立和完善创业辅导体系，改善创业环境，鼓励创办中小企业，发展非国有经济，推动全民创业，促进和扩大就业。</w:t>
      </w:r>
    </w:p>
    <w:p>
      <w:pPr>
        <w:spacing w:line="540" w:lineRule="exact"/>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（九）研究提出中小企业专项基金年度预算建议；拟定中小企业专项资金年度计划并组织实施；推动建立中小企业发展基金，确定基金使用方向。</w:t>
      </w:r>
    </w:p>
    <w:p>
      <w:pPr>
        <w:spacing w:line="540" w:lineRule="exact"/>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（十）研究提出促进中小企业服务体系发展的措施，加强中小企业咨询、培训、市场开拓、人才引进等服务体系建设，规范中小企业服务市场；推动中小企业对外经济技术合作。</w:t>
      </w:r>
    </w:p>
    <w:p>
      <w:pPr>
        <w:spacing w:line="540" w:lineRule="exact"/>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十一）贯彻执行国家、省、市有关科学技术发展和科技促进经济与社会发展的方针、政策和法规；组织起草地方性政策规定；研究全县科技发展的宏观战略和科技促进经济与社会发展的重大问题；研究确定全县科技发展的重大布局和优先领域；推动全县科技创新体系建设，提高科技创新能力。</w:t>
      </w:r>
    </w:p>
    <w:p>
      <w:pPr>
        <w:spacing w:line="540" w:lineRule="exact"/>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（十二）组织编制全县民用科学技术发展的中长期规划和年度计划。</w:t>
      </w:r>
    </w:p>
    <w:p>
      <w:pPr>
        <w:spacing w:line="540" w:lineRule="exact"/>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（十三）研究提出全县科技体制改革的政策措施；推动建立适应社会主义市场经济和科技自身发展规律的科技创新体制和科技创新机制。</w:t>
      </w:r>
    </w:p>
    <w:p>
      <w:pPr>
        <w:spacing w:line="540" w:lineRule="exact"/>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（十四）研究多渠道增加科技投入的措施；优化全县科技资源的配置；负责科技“三项经费”、科技专项资金和科技发展资金等有关费用的预算、决算。</w:t>
      </w:r>
    </w:p>
    <w:p>
      <w:pPr>
        <w:spacing w:line="540" w:lineRule="exact"/>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（十五）研究制定加快高新技术发展的政策措施，负责全县科技攻关计划、杰出青年计划、科技创新工程和中小企业创新计划项目的制定和组织实施。</w:t>
      </w:r>
    </w:p>
    <w:p>
      <w:pPr>
        <w:spacing w:line="540" w:lineRule="exact"/>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（十六）管理高新技术产业化及应用技术的开发与推广工作；指导科技成果转化；负责全县火炬计划、星火计划、科技兴边富民计划、科技扶贫计划、重点科技成果推广计划等科技开发计划的制定并指导实施。</w:t>
      </w:r>
    </w:p>
    <w:p>
      <w:pPr>
        <w:spacing w:line="540" w:lineRule="exact"/>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（十七）研究科技人才资源的合理配置，提出充分发挥科技人员积极性、创造科技人才成长良好环境的相关政策。</w:t>
      </w:r>
    </w:p>
    <w:p>
      <w:pPr>
        <w:spacing w:line="540" w:lineRule="exact"/>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（十八）归口管理科技外事工作；研究制定和组织实施全县对外科技合作与交流计划；</w:t>
      </w:r>
    </w:p>
    <w:p>
      <w:pPr>
        <w:spacing w:line="540" w:lineRule="exact"/>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十九）负责全县科技成果管理、科技奖励、科技保密、技术市场等工作；制定科学技术普及工作规划，实行政策引导，推动科普工作发展；促进科技咨询、招标、评估等社会中介组织的发展，推动科技服务体系的建立。</w:t>
      </w:r>
    </w:p>
    <w:p>
      <w:pPr>
        <w:spacing w:line="540" w:lineRule="exact"/>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（二十）负责科技信息、科技统计和科技宣传管理工作。</w:t>
      </w:r>
    </w:p>
    <w:p>
      <w:pPr>
        <w:spacing w:line="540" w:lineRule="exact"/>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（二十一）负责全县工业信息化管理工作，统筹推进工业信息化建设，促进信息化与工业化融合。</w:t>
      </w:r>
    </w:p>
    <w:p>
      <w:pPr>
        <w:spacing w:line="540" w:lineRule="exact"/>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（二十二）负责全县防震减灾执法监督工作。</w:t>
      </w:r>
    </w:p>
    <w:p>
      <w:pPr>
        <w:spacing w:line="540" w:lineRule="exact"/>
        <w:ind w:firstLine="640" w:firstLineChars="200"/>
        <w:rPr>
          <w:rFonts w:ascii="Times New Roman" w:hAnsi="Times New Roman" w:eastAsia="仿宋"/>
          <w:sz w:val="32"/>
          <w:szCs w:val="32"/>
        </w:rPr>
      </w:pPr>
      <w:r>
        <w:rPr>
          <w:rFonts w:hint="eastAsia" w:ascii="仿宋" w:hAnsi="仿宋" w:eastAsia="仿宋"/>
          <w:sz w:val="32"/>
          <w:szCs w:val="32"/>
        </w:rPr>
        <w:t>（二十三）承担主管</w:t>
      </w:r>
      <w:r>
        <w:rPr>
          <w:rFonts w:hint="eastAsia" w:ascii="Times New Roman" w:hAnsi="Times New Roman" w:eastAsia="仿宋"/>
          <w:sz w:val="32"/>
          <w:szCs w:val="32"/>
        </w:rPr>
        <w:t>行业领域的安全生产管理，指导督促企事业单位加强安全管理。依照有关法律、法规的规定履行安全生产监督管理职责，开展监管执法工作等职责。</w:t>
      </w:r>
    </w:p>
    <w:p>
      <w:pPr>
        <w:spacing w:line="540" w:lineRule="exact"/>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（二十四）负责引进国内外智力工作。</w:t>
      </w:r>
    </w:p>
    <w:p>
      <w:pPr>
        <w:ind w:firstLine="640" w:firstLineChars="200"/>
        <w:rPr>
          <w:rFonts w:hint="eastAsia" w:ascii="Times New Roman" w:hAnsi="Times New Roman" w:eastAsia="仿宋"/>
          <w:sz w:val="32"/>
          <w:szCs w:val="32"/>
        </w:rPr>
      </w:pPr>
      <w:r>
        <w:rPr>
          <w:rFonts w:hint="eastAsia" w:ascii="Times New Roman" w:hAnsi="Times New Roman" w:eastAsia="仿宋"/>
          <w:sz w:val="32"/>
          <w:szCs w:val="32"/>
        </w:rPr>
        <w:t>（二十五）承办县委、县政府交办的其它事项。</w:t>
      </w:r>
    </w:p>
    <w:p>
      <w:pPr>
        <w:ind w:firstLine="640" w:firstLineChars="200"/>
      </w:pPr>
      <w:r>
        <w:rPr>
          <w:rFonts w:eastAsia="楷体_GB2312"/>
        </w:rPr>
        <w:t>二、机构设置</w:t>
      </w:r>
    </w:p>
    <w:p>
      <w:pPr>
        <w:spacing w:line="540" w:lineRule="exact"/>
        <w:ind w:firstLine="640" w:firstLineChars="200"/>
        <w:rPr>
          <w:rFonts w:hint="eastAsia" w:eastAsia="仿宋_GB2312"/>
          <w:lang w:eastAsia="zh-CN"/>
        </w:rPr>
      </w:pPr>
      <w:r>
        <w:rPr>
          <w:rFonts w:eastAsia="仿宋_GB2312"/>
        </w:rPr>
        <w:t>根据上述职责，</w:t>
      </w:r>
      <w:r>
        <w:rPr>
          <w:rFonts w:hint="eastAsia" w:eastAsia="仿宋_GB2312"/>
          <w:u w:val="none"/>
          <w:lang w:eastAsia="zh-CN"/>
        </w:rPr>
        <w:t>通榆县工业和信息化局</w:t>
      </w:r>
      <w:r>
        <w:rPr>
          <w:rFonts w:eastAsia="仿宋_GB2312"/>
        </w:rPr>
        <w:t>内设</w:t>
      </w:r>
      <w:r>
        <w:rPr>
          <w:rFonts w:hint="eastAsia" w:eastAsia="仿宋_GB2312"/>
          <w:lang w:val="en-US" w:eastAsia="zh-CN"/>
        </w:rPr>
        <w:t>5</w:t>
      </w:r>
      <w:r>
        <w:rPr>
          <w:rFonts w:eastAsia="仿宋_GB2312"/>
        </w:rPr>
        <w:t>个机构，分别为</w:t>
      </w:r>
      <w:r>
        <w:rPr>
          <w:rFonts w:hint="eastAsia"/>
          <w:lang w:eastAsia="zh-CN"/>
        </w:rPr>
        <w:t>：</w:t>
      </w:r>
    </w:p>
    <w:p>
      <w:pPr>
        <w:spacing w:line="540" w:lineRule="exact"/>
        <w:ind w:firstLine="640" w:firstLineChars="200"/>
        <w:rPr>
          <w:rFonts w:hint="eastAsia" w:ascii="仿宋" w:hAnsi="仿宋" w:eastAsia="仿宋"/>
          <w:sz w:val="32"/>
          <w:szCs w:val="32"/>
        </w:rPr>
      </w:pPr>
      <w:r>
        <w:rPr>
          <w:rFonts w:hint="eastAsia" w:ascii="仿宋" w:hAnsi="仿宋" w:eastAsia="仿宋" w:cs="方正楷体简体"/>
          <w:sz w:val="32"/>
          <w:szCs w:val="32"/>
        </w:rPr>
        <w:t>（一）综合科。</w:t>
      </w:r>
      <w:r>
        <w:rPr>
          <w:rFonts w:hint="eastAsia" w:ascii="仿宋" w:hAnsi="仿宋" w:eastAsia="仿宋"/>
          <w:sz w:val="32"/>
          <w:szCs w:val="32"/>
        </w:rPr>
        <w:t>综合协调局机关日常工作；组织制定局机关内部管理的有关规章制度和工作计划并监督执行；负责会议组织、人事、文秘、信息、档案、机要、财务、资产、外国专家管理、离退休人员管理服务等工作。</w:t>
      </w:r>
    </w:p>
    <w:p>
      <w:pPr>
        <w:numPr>
          <w:ilvl w:val="0"/>
          <w:numId w:val="1"/>
        </w:numPr>
        <w:spacing w:line="540" w:lineRule="exact"/>
        <w:ind w:firstLine="640" w:firstLineChars="200"/>
        <w:rPr>
          <w:rFonts w:hint="eastAsia" w:ascii="仿宋" w:hAnsi="仿宋" w:eastAsia="仿宋"/>
          <w:sz w:val="32"/>
          <w:szCs w:val="32"/>
        </w:rPr>
      </w:pPr>
      <w:r>
        <w:rPr>
          <w:rFonts w:hint="eastAsia" w:ascii="仿宋" w:hAnsi="仿宋" w:eastAsia="仿宋" w:cs="方正楷体简体"/>
          <w:sz w:val="32"/>
          <w:szCs w:val="32"/>
        </w:rPr>
        <w:t>中小企业发展服务科。</w:t>
      </w:r>
      <w:r>
        <w:rPr>
          <w:rFonts w:hint="eastAsia" w:ascii="仿宋" w:hAnsi="仿宋" w:eastAsia="仿宋"/>
          <w:sz w:val="32"/>
          <w:szCs w:val="32"/>
        </w:rPr>
        <w:t>检测分析工业经济和中小企业发展的运行态势，组织解决运行中的重大问题；研究提出近期工业经济运行调控目标和中小企业发展战略，拟定中长期规划和年度计划并组织实施；制定应急协调预案，负责紧急情况下重要物质生产、供应和调运的组织协调；指导工业企业的扭亏增盈工作，监督扭亏资金、经济运行调度基金的使用；负责列入省重点工业企业生产监控、协调及扶持政策措施的落实；指导企业筹措、活化生产流动资金和市场营销工作；负责申请省中小企业发展专项资金，推动建立中小企业发展基金，研究确定资金使用方向，并负责监督检查；指导中小企业调整产业结构、重点项目建设、企业布局；负责工业化与信息化融合和工业企业信息化管理工作；推动非国有企业参与老工业基地改造；负责中小企业的统计工作负责工业企业技术改造审核、项目调度、统计等管理工作；贯彻执行国家和省、市国有企业改革的有关方针、政策，拟定和实施企业改革方案、推进现代企业制度的建立；研究提出企业股份制改造意见；负责企业集团设立初审和规范工作；编制并组织实施企业兼并破产计划；协调有关部门和债权金融机构对破产企业立项的申报审核；监督和规范企业兼并破产工作，配合有关部门做好再就业工作。负责经济局项目申报工作，负责解答公民、法人和其它组织关于办理项目申报的有关程序及规定的咨询沟通协调工作。</w:t>
      </w:r>
    </w:p>
    <w:p>
      <w:pPr>
        <w:spacing w:line="540" w:lineRule="exact"/>
        <w:ind w:firstLine="640" w:firstLineChars="200"/>
        <w:rPr>
          <w:rFonts w:hint="eastAsia" w:ascii="仿宋" w:hAnsi="仿宋" w:eastAsia="仿宋"/>
          <w:sz w:val="36"/>
          <w:szCs w:val="36"/>
        </w:rPr>
      </w:pPr>
      <w:r>
        <w:rPr>
          <w:rFonts w:hint="eastAsia" w:ascii="仿宋" w:hAnsi="仿宋" w:eastAsia="仿宋" w:cs="方正楷体简体"/>
          <w:sz w:val="32"/>
          <w:szCs w:val="32"/>
        </w:rPr>
        <w:t>（三）资源与交通科（县道口办公室、安全生产监督管理科）。</w:t>
      </w:r>
      <w:r>
        <w:rPr>
          <w:rFonts w:hint="eastAsia" w:ascii="仿宋" w:hAnsi="仿宋" w:eastAsia="仿宋"/>
          <w:sz w:val="32"/>
          <w:szCs w:val="32"/>
        </w:rPr>
        <w:t>承担主管行业领域的安全生产管理，指导督促企事业单位加强安全管理。依照有关法律、法规的规定履行安全生产监督管理职责，开展监管执法工作等职责。负责全县防震减灾执法监督工作。指导中小企业对外经济交流合作和招商引资活动。组织实施国家有关工业企业资源节约、综合利用和发展新能源的有关政策法规、推进以节能降耗、综合利用、环境保护、工业节水为主要内容的新产品、新技术开发和设备改造；组织协调工业环境保护工作；负责多种运输方式运行中的组织协调；负责全县铁路专用线和铁路道口管理；协调处理全县运输工作中的重大问题；负责联运代理服务市场的管理，规范联运代理服务经营行业，实施联运行业管理；</w:t>
      </w:r>
    </w:p>
    <w:p>
      <w:pPr>
        <w:spacing w:line="540" w:lineRule="exact"/>
        <w:ind w:firstLine="592" w:firstLineChars="185"/>
        <w:rPr>
          <w:rFonts w:hint="eastAsia" w:ascii="仿宋" w:hAnsi="仿宋" w:eastAsia="仿宋"/>
          <w:sz w:val="32"/>
          <w:szCs w:val="32"/>
        </w:rPr>
      </w:pPr>
      <w:r>
        <w:rPr>
          <w:rFonts w:hint="eastAsia" w:ascii="仿宋" w:hAnsi="仿宋" w:eastAsia="仿宋" w:cs="方正楷体简体"/>
          <w:sz w:val="32"/>
          <w:szCs w:val="32"/>
        </w:rPr>
        <w:t>（四）科技科。</w:t>
      </w:r>
      <w:r>
        <w:rPr>
          <w:rFonts w:hint="eastAsia" w:ascii="仿宋" w:hAnsi="仿宋" w:eastAsia="仿宋"/>
          <w:sz w:val="32"/>
          <w:szCs w:val="32"/>
        </w:rPr>
        <w:t>贯彻执行国家、省、市有关科学技术发展和科技促进经济与社会发展的方针、政策和法规；研究全县科技发展的宏观战略和科技促进经济与社会发展的重大问题；研究确定全县科技发展的重大布局和优先领域；推动全县科技创新体系建设，提高科技创新能力；研究拟订加强基础性研究、高新技术研究发展的建议和措施；负责拟订全县科技支撑计划、科技条件与平台建设计划和科技成果转化计划并组织实施；负责统筹协调基础研究、前沿技术研究、重大社会公益性技术研究及关键技术、共性技术研究；研究多渠道增加科技投入的措施；优化全县科技资源的配置；负责归口管理科学事业费、应用技术研究与开发资金、科技专项资金和科技发展资金等有关费用的预算及其使用监督检查，会同有关部门提出科技资源合理配置的建议和措施，优化科技资源配置；研究制定加快高新技术发展的措施，负责全县科技攻关计划、杰出青年计划、科技创新工程、中药现代化项目和中小企业创新计划项目的制定和组织实施；管理高新技术产业化及应用技术的开发与推广工作；指导科技成果转化；负责全县火炬计划、星火计划、重点科技成果推广计划等科技开发计划的制定并指导实施。</w:t>
      </w:r>
    </w:p>
    <w:p>
      <w:pPr>
        <w:spacing w:line="540" w:lineRule="exact"/>
        <w:ind w:firstLine="645"/>
        <w:rPr>
          <w:rFonts w:ascii="仿宋" w:hAnsi="仿宋" w:eastAsia="仿宋"/>
          <w:sz w:val="32"/>
          <w:szCs w:val="32"/>
        </w:rPr>
      </w:pPr>
      <w:r>
        <w:rPr>
          <w:rFonts w:hint="eastAsia" w:ascii="仿宋" w:hAnsi="仿宋" w:eastAsia="仿宋" w:cs="方正楷体简体"/>
          <w:sz w:val="32"/>
          <w:szCs w:val="32"/>
          <w:lang w:eastAsia="zh-CN"/>
        </w:rPr>
        <w:t>（五）</w:t>
      </w:r>
      <w:r>
        <w:rPr>
          <w:rFonts w:hint="eastAsia" w:ascii="仿宋" w:hAnsi="仿宋" w:eastAsia="仿宋" w:cs="方正楷体简体"/>
          <w:sz w:val="32"/>
          <w:szCs w:val="32"/>
        </w:rPr>
        <w:t>机关党委。</w:t>
      </w:r>
      <w:r>
        <w:rPr>
          <w:rFonts w:hint="eastAsia" w:ascii="仿宋" w:hAnsi="仿宋" w:eastAsia="仿宋"/>
          <w:sz w:val="32"/>
          <w:szCs w:val="32"/>
        </w:rPr>
        <w:t>负责机关和直属单位的党群工作。</w:t>
      </w:r>
    </w:p>
    <w:p>
      <w:pPr>
        <w:pStyle w:val="51"/>
        <w:ind w:firstLine="640" w:firstLineChars="200"/>
        <w:rPr>
          <w:rFonts w:eastAsia="黑体"/>
          <w:sz w:val="36"/>
          <w:szCs w:val="36"/>
        </w:rPr>
      </w:pPr>
      <w:r>
        <w:rPr>
          <w:rFonts w:eastAsia="仿宋_GB2312"/>
        </w:rPr>
        <w:t>下设</w:t>
      </w:r>
      <w:r>
        <w:rPr>
          <w:rFonts w:hint="eastAsia" w:eastAsia="仿宋_GB2312"/>
          <w:lang w:val="en-US" w:eastAsia="zh-CN"/>
        </w:rPr>
        <w:t>1</w:t>
      </w:r>
      <w:r>
        <w:rPr>
          <w:rFonts w:eastAsia="仿宋_GB2312"/>
        </w:rPr>
        <w:t>家预算单位，为</w:t>
      </w:r>
      <w:r>
        <w:rPr>
          <w:rFonts w:hint="eastAsia" w:eastAsia="仿宋_GB2312"/>
          <w:lang w:eastAsia="zh-CN"/>
        </w:rPr>
        <w:t>通榆县工业和信息化局。</w:t>
      </w: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195.20</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119.81</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195.20</w:t>
            </w: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50.00</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12.97</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7.84</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4.58</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195.20</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hint="eastAsia" w:eastAsia="宋体"/>
                <w:kern w:val="0"/>
                <w:sz w:val="20"/>
                <w:lang w:val="en-US" w:eastAsia="zh-CN"/>
              </w:rPr>
              <w:t>195.20</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195.20</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195.20</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8928" w:type="dxa"/>
        <w:jc w:val="center"/>
        <w:tblLayout w:type="fixed"/>
        <w:tblCellMar>
          <w:top w:w="0" w:type="dxa"/>
          <w:left w:w="108" w:type="dxa"/>
          <w:bottom w:w="0" w:type="dxa"/>
          <w:right w:w="108" w:type="dxa"/>
        </w:tblCellMar>
      </w:tblPr>
      <w:tblGrid>
        <w:gridCol w:w="428"/>
        <w:gridCol w:w="252"/>
        <w:gridCol w:w="811"/>
        <w:gridCol w:w="769"/>
        <w:gridCol w:w="782"/>
        <w:gridCol w:w="276"/>
        <w:gridCol w:w="276"/>
        <w:gridCol w:w="330"/>
        <w:gridCol w:w="416"/>
        <w:gridCol w:w="218"/>
        <w:gridCol w:w="198"/>
        <w:gridCol w:w="416"/>
        <w:gridCol w:w="447"/>
        <w:gridCol w:w="78"/>
        <w:gridCol w:w="453"/>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3"/>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68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811"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659"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778" w:type="dxa"/>
            <w:gridSpan w:val="9"/>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6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811"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76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78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27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27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52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5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2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2401" w:hRule="atLeast"/>
          <w:jc w:val="center"/>
        </w:trPr>
        <w:tc>
          <w:tcPr>
            <w:tcW w:w="680" w:type="dxa"/>
            <w:gridSpan w:val="2"/>
            <w:tcBorders>
              <w:left w:val="single" w:color="000000" w:sz="4" w:space="0"/>
              <w:right w:val="single" w:color="000000" w:sz="4" w:space="0"/>
            </w:tcBorders>
            <w:noWrap w:val="0"/>
            <w:vAlign w:val="center"/>
          </w:tcPr>
          <w:p>
            <w:pPr>
              <w:widowControl/>
              <w:jc w:val="left"/>
              <w:rPr>
                <w:rFonts w:eastAsia="宋体"/>
                <w:color w:val="000000"/>
                <w:sz w:val="20"/>
              </w:rPr>
            </w:pPr>
            <w:r>
              <w:rPr>
                <w:rFonts w:hint="eastAsia" w:ascii="宋体" w:hAnsi="宋体" w:eastAsia="宋体" w:cs="宋体"/>
                <w:i w:val="0"/>
                <w:iCs w:val="0"/>
                <w:color w:val="000000"/>
                <w:kern w:val="0"/>
                <w:sz w:val="16"/>
                <w:szCs w:val="16"/>
                <w:u w:val="none"/>
                <w:lang w:val="en-US" w:eastAsia="zh-CN" w:bidi="ar"/>
              </w:rPr>
              <w:t>通榆县工业和信息化局</w:t>
            </w:r>
          </w:p>
        </w:tc>
        <w:tc>
          <w:tcPr>
            <w:tcW w:w="811"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195.20</w:t>
            </w:r>
          </w:p>
        </w:tc>
        <w:tc>
          <w:tcPr>
            <w:tcW w:w="769"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195.20</w:t>
            </w:r>
          </w:p>
        </w:tc>
        <w:tc>
          <w:tcPr>
            <w:tcW w:w="782"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195.20</w:t>
            </w:r>
          </w:p>
        </w:tc>
        <w:tc>
          <w:tcPr>
            <w:tcW w:w="27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27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30"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525"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5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27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680"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81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6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8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7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7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2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5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680"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81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6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8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7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7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2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5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680"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81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6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8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7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7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2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5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680"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81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6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8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7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7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2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5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680"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81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6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8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7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7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2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5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680"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81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6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8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7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7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2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5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680"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81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76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78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7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7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3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52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5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680"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811"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195.20</w:t>
            </w:r>
          </w:p>
        </w:tc>
        <w:tc>
          <w:tcPr>
            <w:tcW w:w="769"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195.20</w:t>
            </w:r>
          </w:p>
        </w:tc>
        <w:tc>
          <w:tcPr>
            <w:tcW w:w="78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195.20</w:t>
            </w:r>
          </w:p>
        </w:tc>
        <w:tc>
          <w:tcPr>
            <w:tcW w:w="27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7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3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525"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5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10405" w:type="dxa"/>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195.20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134.40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60.80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一般公共服务支出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109.01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109.01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10.80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商贸事务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109.01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109.01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10.80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109.01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109.01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10.80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eastAsia"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科学技术支出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50.00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科学技术普及</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50.00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其他科学技术普及支出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50.00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FF"/>
                      <w:kern w:val="0"/>
                      <w:sz w:val="20"/>
                      <w:lang w:val="en-US" w:eastAsia="zh-CN" w:bidi="ar-SA"/>
                    </w:rPr>
                  </w:pPr>
                  <w:r>
                    <w:rPr>
                      <w:rFonts w:hint="eastAsia" w:eastAsia="宋体" w:cs="Times New Roman"/>
                      <w:color w:val="0000FF"/>
                      <w:kern w:val="0"/>
                      <w:sz w:val="20"/>
                      <w:lang w:val="en-US" w:eastAsia="zh-CN" w:bidi="ar-SA"/>
                    </w:rPr>
                    <w:t>12.97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FF"/>
                      <w:kern w:val="0"/>
                      <w:sz w:val="20"/>
                      <w:lang w:val="en-US" w:eastAsia="zh-CN" w:bidi="ar-SA"/>
                    </w:rPr>
                  </w:pPr>
                  <w:r>
                    <w:rPr>
                      <w:rFonts w:hint="eastAsia" w:eastAsia="宋体" w:cs="Times New Roman"/>
                      <w:color w:val="0000FF"/>
                      <w:kern w:val="0"/>
                      <w:sz w:val="20"/>
                      <w:lang w:val="en-US" w:eastAsia="zh-CN" w:bidi="ar-SA"/>
                    </w:rPr>
                    <w:t>12.97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12.97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12.97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10.45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10.45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2.52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2.52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4.58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4.58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4.58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4.58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4.52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4.52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0.06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0.06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7.84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7.84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7.84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7.84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7.84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7.84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bl>
          <w:p>
            <w:pPr>
              <w:widowControl/>
              <w:jc w:val="center"/>
              <w:rPr>
                <w:rFonts w:eastAsia="方正小标宋简体"/>
                <w:kern w:val="0"/>
                <w:sz w:val="44"/>
                <w:szCs w:val="44"/>
              </w:rPr>
            </w:pPr>
          </w:p>
        </w:tc>
      </w:tr>
    </w:tbl>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10123" w:type="dxa"/>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9880" w:type="dxa"/>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195.20</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119.81</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195.20</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50.00</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12.97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4.58</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7.84</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195.20</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195.20</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宋体"/>
                      <w:kern w:val="0"/>
                      <w:sz w:val="20"/>
                      <w:lang w:val="en-US" w:eastAsia="zh-CN"/>
                    </w:rPr>
                    <w:t>195.20</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195.20</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10405" w:type="dxa"/>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8789" w:type="dxa"/>
              <w:tblInd w:w="871" w:type="dxa"/>
              <w:tblLayout w:type="fixed"/>
              <w:tblCellMar>
                <w:top w:w="15" w:type="dxa"/>
                <w:left w:w="15" w:type="dxa"/>
                <w:bottom w:w="15" w:type="dxa"/>
                <w:right w:w="15" w:type="dxa"/>
              </w:tblCellMar>
            </w:tblPr>
            <w:tblGrid>
              <w:gridCol w:w="2552"/>
              <w:gridCol w:w="1134"/>
              <w:gridCol w:w="1134"/>
              <w:gridCol w:w="1134"/>
              <w:gridCol w:w="1134"/>
              <w:gridCol w:w="1701"/>
            </w:tblGrid>
            <w:tr>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800" w:firstLineChars="40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195.20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134.40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120.72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13.68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60.80</w:t>
                  </w: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一般公共服务支出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119.81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109.01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95.33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13.68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10.80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商贸事务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119.81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109.01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95.33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13.68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10.80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119.81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109.01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95.33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13.68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10.80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科学技术支出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50.00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50.00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科学技术普及</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50.00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50.00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其他科学技术普及支出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50.00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50.00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12.97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12.97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12.97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12.97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12.97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12.97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10.45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10.45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10.45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2.52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2.52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2.52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4.58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4.58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4.58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FF"/>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4.58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4.58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4.58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4.52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4.52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4.52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0.06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0.06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0.06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7.84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7.84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lang w:val="en-US" w:eastAsia="zh-CN" w:bidi="ar-SA"/>
                    </w:rPr>
                  </w:pPr>
                  <w:r>
                    <w:rPr>
                      <w:rFonts w:hint="eastAsia" w:eastAsia="宋体" w:cs="Times New Roman"/>
                      <w:color w:val="auto"/>
                      <w:kern w:val="0"/>
                      <w:sz w:val="20"/>
                      <w:lang w:val="en-US" w:eastAsia="zh-CN" w:bidi="ar-SA"/>
                    </w:rPr>
                    <w:t>7.84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7.84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7.84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7.84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7.84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7.84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7.84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p>
    <w:p>
      <w:pPr>
        <w:ind w:firstLine="640" w:firstLineChars="200"/>
        <w:rPr>
          <w:rFonts w:eastAsia="楷体"/>
        </w:rPr>
      </w:pPr>
      <w:r>
        <w:rPr>
          <w:rFonts w:hAnsi="楷体" w:eastAsia="楷体"/>
        </w:rPr>
        <w:br w:type="page"/>
      </w:r>
    </w:p>
    <w:tbl>
      <w:tblPr>
        <w:tblStyle w:val="9"/>
        <w:tblW w:w="8931" w:type="dxa"/>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合计</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134.40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ind w:firstLine="400" w:firstLineChars="200"/>
              <w:jc w:val="both"/>
              <w:rPr>
                <w:rFonts w:hint="default" w:eastAsia="仿宋_GB2312"/>
                <w:sz w:val="20"/>
                <w:szCs w:val="20"/>
                <w:lang w:val="en-US" w:eastAsia="zh-CN"/>
              </w:rPr>
            </w:pPr>
            <w:r>
              <w:rPr>
                <w:rFonts w:hint="eastAsia"/>
                <w:sz w:val="20"/>
                <w:szCs w:val="20"/>
                <w:lang w:val="en-US" w:eastAsia="zh-CN"/>
              </w:rPr>
              <w:t>120.72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13.68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r>
              <w:rPr>
                <w:rFonts w:hint="eastAsia" w:cs="Times New Roman"/>
                <w:color w:val="auto"/>
                <w:kern w:val="2"/>
                <w:sz w:val="20"/>
                <w:szCs w:val="20"/>
                <w:lang w:val="en-US" w:eastAsia="zh-CN" w:bidi="ar-SA"/>
              </w:rPr>
              <w:t>93.80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r>
              <w:rPr>
                <w:rFonts w:hint="eastAsia" w:cs="Times New Roman"/>
                <w:color w:val="auto"/>
                <w:kern w:val="2"/>
                <w:sz w:val="20"/>
                <w:szCs w:val="20"/>
                <w:lang w:val="en-US" w:eastAsia="zh-CN" w:bidi="ar-SA"/>
              </w:rPr>
              <w:t>93.80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r>
              <w:rPr>
                <w:rFonts w:hint="eastAsia" w:cs="Times New Roman"/>
                <w:color w:val="auto"/>
                <w:kern w:val="2"/>
                <w:sz w:val="20"/>
                <w:szCs w:val="20"/>
                <w:lang w:val="en-US" w:eastAsia="zh-CN" w:bidi="ar-SA"/>
              </w:rPr>
              <w:t>32.01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r>
              <w:rPr>
                <w:rFonts w:hint="eastAsia" w:cs="Times New Roman"/>
                <w:color w:val="auto"/>
                <w:kern w:val="2"/>
                <w:sz w:val="20"/>
                <w:szCs w:val="20"/>
                <w:lang w:val="en-US" w:eastAsia="zh-CN" w:bidi="ar-SA"/>
              </w:rPr>
              <w:t>32.01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r>
              <w:rPr>
                <w:rFonts w:hint="eastAsia" w:cs="Times New Roman"/>
                <w:color w:val="auto"/>
                <w:kern w:val="2"/>
                <w:sz w:val="20"/>
                <w:szCs w:val="20"/>
                <w:lang w:val="en-US" w:eastAsia="zh-CN" w:bidi="ar-SA"/>
              </w:rPr>
              <w:t>23.23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r>
              <w:rPr>
                <w:rFonts w:hint="eastAsia" w:cs="Times New Roman"/>
                <w:color w:val="auto"/>
                <w:kern w:val="2"/>
                <w:sz w:val="20"/>
                <w:szCs w:val="20"/>
                <w:lang w:val="en-US" w:eastAsia="zh-CN" w:bidi="ar-SA"/>
              </w:rPr>
              <w:t>23.23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r>
              <w:rPr>
                <w:rFonts w:hint="eastAsia" w:cs="Times New Roman"/>
                <w:color w:val="auto"/>
                <w:kern w:val="2"/>
                <w:sz w:val="20"/>
                <w:szCs w:val="20"/>
                <w:lang w:val="en-US" w:eastAsia="zh-CN" w:bidi="ar-SA"/>
              </w:rPr>
              <w:t>12.29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r>
              <w:rPr>
                <w:rFonts w:hint="eastAsia" w:cs="Times New Roman"/>
                <w:color w:val="auto"/>
                <w:kern w:val="2"/>
                <w:sz w:val="20"/>
                <w:szCs w:val="20"/>
                <w:lang w:val="en-US" w:eastAsia="zh-CN" w:bidi="ar-SA"/>
              </w:rPr>
              <w:t>12.29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szCs w:val="20"/>
                <w:lang w:val="en-US" w:eastAsia="zh-CN" w:bidi="ar-SA"/>
              </w:rPr>
            </w:pPr>
            <w:r>
              <w:rPr>
                <w:rFonts w:hint="eastAsia" w:eastAsia="宋体" w:cs="Times New Roman"/>
                <w:color w:val="auto"/>
                <w:kern w:val="0"/>
                <w:sz w:val="20"/>
                <w:szCs w:val="20"/>
                <w:lang w:val="en-US" w:eastAsia="zh-CN" w:bidi="ar-SA"/>
              </w:rPr>
              <w:t>10.45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r>
              <w:rPr>
                <w:rFonts w:hint="eastAsia" w:cs="Times New Roman"/>
                <w:color w:val="auto"/>
                <w:kern w:val="2"/>
                <w:sz w:val="20"/>
                <w:szCs w:val="20"/>
                <w:lang w:val="en-US" w:eastAsia="zh-CN" w:bidi="ar-SA"/>
              </w:rPr>
              <w:t>10.45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szCs w:val="20"/>
                <w:lang w:val="en-US" w:eastAsia="zh-CN" w:bidi="ar-SA"/>
              </w:rPr>
            </w:pPr>
            <w:r>
              <w:rPr>
                <w:rFonts w:hint="eastAsia" w:eastAsia="宋体" w:cs="Times New Roman"/>
                <w:color w:val="auto"/>
                <w:kern w:val="0"/>
                <w:sz w:val="20"/>
                <w:szCs w:val="20"/>
                <w:lang w:val="en-US" w:eastAsia="zh-CN" w:bidi="ar-SA"/>
              </w:rPr>
              <w:t>2.52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r>
              <w:rPr>
                <w:rFonts w:hint="eastAsia" w:cs="Times New Roman"/>
                <w:color w:val="auto"/>
                <w:kern w:val="2"/>
                <w:sz w:val="20"/>
                <w:szCs w:val="20"/>
                <w:lang w:val="en-US" w:eastAsia="zh-CN" w:bidi="ar-SA"/>
              </w:rPr>
              <w:t>2.52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color w:val="auto"/>
                <w:kern w:val="0"/>
                <w:sz w:val="20"/>
                <w:szCs w:val="20"/>
                <w:lang w:val="en-US" w:eastAsia="zh-CN" w:bidi="ar-SA"/>
              </w:rPr>
            </w:pPr>
            <w:r>
              <w:rPr>
                <w:rFonts w:hint="eastAsia" w:eastAsia="宋体" w:cs="Times New Roman"/>
                <w:color w:val="auto"/>
                <w:kern w:val="0"/>
                <w:sz w:val="20"/>
                <w:szCs w:val="20"/>
                <w:lang w:val="en-US" w:eastAsia="zh-CN" w:bidi="ar-SA"/>
              </w:rPr>
              <w:t>4.52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ascii="Times New Roman" w:hAnsi="Times New Roman" w:eastAsia="仿宋_GB2312" w:cs="Times New Roman"/>
                <w:color w:val="auto"/>
                <w:kern w:val="2"/>
                <w:sz w:val="20"/>
                <w:szCs w:val="20"/>
                <w:lang w:val="en-US" w:eastAsia="zh-CN" w:bidi="ar-SA"/>
              </w:rPr>
            </w:pPr>
            <w:r>
              <w:rPr>
                <w:rFonts w:hint="eastAsia" w:eastAsia="宋体" w:cs="Times New Roman"/>
                <w:color w:val="auto"/>
                <w:kern w:val="0"/>
                <w:sz w:val="20"/>
                <w:szCs w:val="20"/>
                <w:lang w:val="en-US" w:eastAsia="zh-CN" w:bidi="ar-SA"/>
              </w:rPr>
              <w:t>4.52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其他社会保障缴费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auto"/>
                <w:kern w:val="0"/>
                <w:sz w:val="20"/>
                <w:szCs w:val="20"/>
                <w:lang w:val="en-US" w:eastAsia="zh-CN" w:bidi="ar-SA"/>
              </w:rPr>
            </w:pPr>
            <w:r>
              <w:rPr>
                <w:rFonts w:hint="eastAsia" w:eastAsia="宋体" w:cs="Times New Roman"/>
                <w:color w:val="auto"/>
                <w:kern w:val="0"/>
                <w:sz w:val="20"/>
                <w:szCs w:val="20"/>
                <w:lang w:val="en-US" w:eastAsia="zh-CN" w:bidi="ar-SA"/>
              </w:rPr>
              <w:t>0.07</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r>
              <w:rPr>
                <w:rFonts w:hint="eastAsia" w:eastAsia="宋体" w:cs="Times New Roman"/>
                <w:color w:val="auto"/>
                <w:kern w:val="0"/>
                <w:sz w:val="20"/>
                <w:szCs w:val="20"/>
                <w:lang w:val="en-US" w:eastAsia="zh-CN" w:bidi="ar-SA"/>
              </w:rPr>
              <w:t>0.07</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住房公积金</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auto"/>
                <w:kern w:val="0"/>
                <w:sz w:val="20"/>
                <w:szCs w:val="20"/>
                <w:lang w:val="en-US" w:eastAsia="zh-CN" w:bidi="ar-SA"/>
              </w:rPr>
            </w:pPr>
            <w:r>
              <w:rPr>
                <w:rFonts w:hint="eastAsia" w:eastAsia="宋体" w:cs="Times New Roman"/>
                <w:color w:val="auto"/>
                <w:kern w:val="0"/>
                <w:sz w:val="20"/>
                <w:szCs w:val="20"/>
                <w:lang w:val="en-US" w:eastAsia="zh-CN" w:bidi="ar-SA"/>
              </w:rPr>
              <w:t>7.84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auto"/>
                <w:kern w:val="2"/>
                <w:sz w:val="20"/>
                <w:szCs w:val="20"/>
                <w:lang w:val="en-US" w:eastAsia="zh-CN" w:bidi="ar-SA"/>
              </w:rPr>
            </w:pPr>
            <w:r>
              <w:rPr>
                <w:rFonts w:hint="eastAsia" w:eastAsia="宋体" w:cs="Times New Roman"/>
                <w:color w:val="auto"/>
                <w:kern w:val="0"/>
                <w:sz w:val="20"/>
                <w:szCs w:val="20"/>
                <w:lang w:val="en-US" w:eastAsia="zh-CN" w:bidi="ar-SA"/>
              </w:rPr>
              <w:t>7.84</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auto"/>
                <w:kern w:val="0"/>
                <w:sz w:val="20"/>
                <w:szCs w:val="20"/>
                <w:lang w:val="en-US" w:eastAsia="zh-CN" w:bidi="ar-SA"/>
              </w:rPr>
            </w:pPr>
            <w:r>
              <w:rPr>
                <w:rFonts w:hint="eastAsia" w:eastAsia="宋体" w:cs="Times New Roman"/>
                <w:color w:val="auto"/>
                <w:kern w:val="0"/>
                <w:sz w:val="20"/>
                <w:szCs w:val="20"/>
                <w:lang w:val="en-US" w:eastAsia="zh-CN" w:bidi="ar-SA"/>
              </w:rPr>
              <w:t>0.87</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auto"/>
                <w:kern w:val="2"/>
                <w:sz w:val="20"/>
                <w:szCs w:val="20"/>
                <w:lang w:val="en-US" w:eastAsia="zh-CN" w:bidi="ar-SA"/>
              </w:rPr>
            </w:pPr>
            <w:r>
              <w:rPr>
                <w:rFonts w:hint="eastAsia" w:eastAsia="宋体" w:cs="Times New Roman"/>
                <w:color w:val="auto"/>
                <w:kern w:val="0"/>
                <w:sz w:val="20"/>
                <w:szCs w:val="20"/>
                <w:lang w:val="en-US" w:eastAsia="zh-CN" w:bidi="ar-SA"/>
              </w:rPr>
              <w:t>0.87</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商品和服务支出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r>
              <w:rPr>
                <w:rFonts w:hint="eastAsia" w:cs="Times New Roman"/>
                <w:color w:val="auto"/>
                <w:kern w:val="2"/>
                <w:sz w:val="20"/>
                <w:szCs w:val="20"/>
                <w:lang w:val="en-US" w:eastAsia="zh-CN" w:bidi="ar-SA"/>
              </w:rPr>
              <w:t>13.68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color w:val="auto"/>
                <w:kern w:val="2"/>
                <w:sz w:val="20"/>
                <w:szCs w:val="20"/>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r>
              <w:rPr>
                <w:rFonts w:hint="eastAsia" w:cs="Times New Roman"/>
                <w:color w:val="auto"/>
                <w:kern w:val="2"/>
                <w:sz w:val="20"/>
                <w:szCs w:val="20"/>
                <w:lang w:val="en-US" w:eastAsia="zh-CN" w:bidi="ar-SA"/>
              </w:rPr>
              <w:t>13.68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办公费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cs="Times New Roman"/>
                <w:kern w:val="2"/>
                <w:sz w:val="20"/>
                <w:szCs w:val="20"/>
                <w:lang w:val="en-US" w:eastAsia="zh-CN" w:bidi="ar-SA"/>
              </w:rPr>
              <w:t>1.50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kern w:val="2"/>
                <w:sz w:val="20"/>
                <w:szCs w:val="20"/>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cs="Times New Roman"/>
                <w:kern w:val="2"/>
                <w:sz w:val="20"/>
                <w:szCs w:val="20"/>
                <w:lang w:val="en-US" w:eastAsia="zh-CN" w:bidi="ar-SA"/>
              </w:rPr>
              <w:t>1.50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印刷费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cs="Times New Roman"/>
                <w:kern w:val="2"/>
                <w:sz w:val="20"/>
                <w:szCs w:val="20"/>
                <w:lang w:val="en-US" w:eastAsia="zh-CN" w:bidi="ar-SA"/>
              </w:rPr>
              <w:t>0.10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kern w:val="2"/>
                <w:sz w:val="20"/>
                <w:szCs w:val="20"/>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cs="Times New Roman"/>
                <w:kern w:val="2"/>
                <w:sz w:val="20"/>
                <w:szCs w:val="20"/>
                <w:lang w:val="en-US" w:eastAsia="zh-CN" w:bidi="ar-SA"/>
              </w:rPr>
              <w:t>0.10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邮电费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cs="Times New Roman"/>
                <w:kern w:val="2"/>
                <w:sz w:val="20"/>
                <w:szCs w:val="20"/>
                <w:lang w:val="en-US" w:eastAsia="zh-CN" w:bidi="ar-SA"/>
              </w:rPr>
              <w:t>0.30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kern w:val="2"/>
                <w:sz w:val="20"/>
                <w:szCs w:val="20"/>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cs="Times New Roman"/>
                <w:kern w:val="2"/>
                <w:sz w:val="20"/>
                <w:szCs w:val="20"/>
                <w:lang w:val="en-US" w:eastAsia="zh-CN" w:bidi="ar-SA"/>
              </w:rPr>
              <w:t>0.30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差旅费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cs="Times New Roman"/>
                <w:kern w:val="2"/>
                <w:sz w:val="20"/>
                <w:szCs w:val="20"/>
                <w:lang w:val="en-US" w:eastAsia="zh-CN" w:bidi="ar-SA"/>
              </w:rPr>
              <w:t>0.50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kern w:val="2"/>
                <w:sz w:val="20"/>
                <w:szCs w:val="20"/>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cs="Times New Roman"/>
                <w:kern w:val="2"/>
                <w:sz w:val="20"/>
                <w:szCs w:val="20"/>
                <w:lang w:val="en-US" w:eastAsia="zh-CN" w:bidi="ar-SA"/>
              </w:rPr>
              <w:t>0.50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会议费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cs="Times New Roman"/>
                <w:kern w:val="2"/>
                <w:sz w:val="20"/>
                <w:szCs w:val="20"/>
                <w:lang w:val="en-US" w:eastAsia="zh-CN" w:bidi="ar-SA"/>
              </w:rPr>
              <w:t>0.20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kern w:val="2"/>
                <w:sz w:val="20"/>
                <w:szCs w:val="20"/>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cs="Times New Roman"/>
                <w:kern w:val="2"/>
                <w:sz w:val="20"/>
                <w:szCs w:val="20"/>
                <w:lang w:val="en-US" w:eastAsia="zh-CN" w:bidi="ar-SA"/>
              </w:rPr>
              <w:t>0.20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公务接待费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cs="Times New Roman"/>
                <w:kern w:val="2"/>
                <w:sz w:val="20"/>
                <w:szCs w:val="20"/>
                <w:lang w:val="en-US" w:eastAsia="zh-CN" w:bidi="ar-SA"/>
              </w:rPr>
              <w:t>0.50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kern w:val="2"/>
                <w:sz w:val="20"/>
                <w:szCs w:val="20"/>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cs="Times New Roman"/>
                <w:kern w:val="2"/>
                <w:sz w:val="20"/>
                <w:szCs w:val="20"/>
                <w:lang w:val="en-US" w:eastAsia="zh-CN" w:bidi="ar-SA"/>
              </w:rPr>
              <w:t>0.50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劳务费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cs="Times New Roman"/>
                <w:kern w:val="2"/>
                <w:sz w:val="20"/>
                <w:szCs w:val="20"/>
                <w:lang w:val="en-US" w:eastAsia="zh-CN" w:bidi="ar-SA"/>
              </w:rPr>
              <w:t>4.00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kern w:val="2"/>
                <w:sz w:val="20"/>
                <w:szCs w:val="20"/>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cs="Times New Roman"/>
                <w:kern w:val="2"/>
                <w:sz w:val="20"/>
                <w:szCs w:val="20"/>
                <w:lang w:val="en-US" w:eastAsia="zh-CN" w:bidi="ar-SA"/>
              </w:rPr>
              <w:t>4.00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工会经费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cs="Times New Roman"/>
                <w:kern w:val="2"/>
                <w:sz w:val="20"/>
                <w:szCs w:val="20"/>
                <w:lang w:val="en-US" w:eastAsia="zh-CN" w:bidi="ar-SA"/>
              </w:rPr>
              <w:t>1.20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kern w:val="2"/>
                <w:sz w:val="20"/>
                <w:szCs w:val="20"/>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cs="Times New Roman"/>
                <w:kern w:val="2"/>
                <w:sz w:val="20"/>
                <w:szCs w:val="20"/>
                <w:lang w:val="en-US" w:eastAsia="zh-CN" w:bidi="ar-SA"/>
              </w:rPr>
              <w:t>1.20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其他交通费用</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cs="Times New Roman"/>
                <w:kern w:val="2"/>
                <w:sz w:val="20"/>
                <w:szCs w:val="20"/>
                <w:lang w:val="en-US" w:eastAsia="zh-CN" w:bidi="ar-SA"/>
              </w:rPr>
              <w:t>5.28</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kern w:val="2"/>
                <w:sz w:val="20"/>
                <w:szCs w:val="20"/>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cs="Times New Roman"/>
                <w:kern w:val="2"/>
                <w:sz w:val="20"/>
                <w:szCs w:val="20"/>
                <w:lang w:val="en-US" w:eastAsia="zh-CN" w:bidi="ar-SA"/>
              </w:rPr>
              <w:t>5.28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其他商品和服务支出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cs="Times New Roman"/>
                <w:kern w:val="2"/>
                <w:sz w:val="20"/>
                <w:szCs w:val="20"/>
                <w:lang w:val="en-US" w:eastAsia="zh-CN" w:bidi="ar-SA"/>
              </w:rPr>
              <w:t>0.10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kern w:val="2"/>
                <w:sz w:val="20"/>
                <w:szCs w:val="20"/>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cs="Times New Roman"/>
                <w:kern w:val="2"/>
                <w:sz w:val="20"/>
                <w:szCs w:val="20"/>
                <w:lang w:val="en-US" w:eastAsia="zh-CN" w:bidi="ar-SA"/>
              </w:rPr>
              <w:t>0.10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auto"/>
                <w:kern w:val="0"/>
                <w:sz w:val="20"/>
                <w:szCs w:val="20"/>
                <w:lang w:val="en-US" w:eastAsia="zh-CN" w:bidi="ar-SA"/>
              </w:rPr>
            </w:pPr>
            <w:r>
              <w:rPr>
                <w:rFonts w:hint="eastAsia" w:eastAsia="宋体" w:cs="Times New Roman"/>
                <w:color w:val="auto"/>
                <w:kern w:val="0"/>
                <w:sz w:val="20"/>
                <w:szCs w:val="20"/>
                <w:lang w:val="en-US" w:eastAsia="zh-CN" w:bidi="ar-SA"/>
              </w:rPr>
              <w:t>26.92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auto"/>
                <w:kern w:val="2"/>
                <w:sz w:val="20"/>
                <w:szCs w:val="20"/>
                <w:lang w:val="en-US" w:eastAsia="zh-CN" w:bidi="ar-SA"/>
              </w:rPr>
            </w:pPr>
            <w:r>
              <w:rPr>
                <w:rFonts w:hint="eastAsia" w:eastAsia="宋体" w:cs="Times New Roman"/>
                <w:color w:val="auto"/>
                <w:kern w:val="0"/>
                <w:sz w:val="20"/>
                <w:szCs w:val="20"/>
                <w:lang w:val="en-US" w:eastAsia="zh-CN" w:bidi="ar-SA"/>
              </w:rPr>
              <w:t>26.92</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退休费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cs="Times New Roman"/>
                <w:kern w:val="0"/>
                <w:sz w:val="20"/>
                <w:szCs w:val="20"/>
                <w:lang w:val="en-US" w:eastAsia="zh-CN" w:bidi="ar-SA"/>
              </w:rPr>
              <w:t>26.09</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kern w:val="2"/>
                <w:sz w:val="20"/>
                <w:szCs w:val="20"/>
                <w:lang w:val="en-US" w:eastAsia="zh-CN" w:bidi="ar-SA"/>
              </w:rPr>
            </w:pPr>
            <w:r>
              <w:rPr>
                <w:rFonts w:hint="eastAsia" w:eastAsia="宋体" w:cs="Times New Roman"/>
                <w:kern w:val="0"/>
                <w:sz w:val="20"/>
                <w:szCs w:val="20"/>
                <w:lang w:val="en-US" w:eastAsia="zh-CN" w:bidi="ar-SA"/>
              </w:rPr>
              <w:t>26.09</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生活补助</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szCs w:val="20"/>
                <w:lang w:val="en-US" w:eastAsia="zh-CN" w:bidi="ar-SA"/>
              </w:rPr>
            </w:pPr>
            <w:r>
              <w:rPr>
                <w:rFonts w:hint="eastAsia" w:eastAsia="宋体" w:cs="Times New Roman"/>
                <w:kern w:val="0"/>
                <w:sz w:val="20"/>
                <w:szCs w:val="20"/>
                <w:lang w:val="en-US" w:eastAsia="zh-CN" w:bidi="ar-SA"/>
              </w:rPr>
              <w:t>0.84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仿宋_GB2312" w:cs="Times New Roman"/>
                <w:kern w:val="2"/>
                <w:sz w:val="20"/>
                <w:szCs w:val="20"/>
                <w:lang w:val="en-US" w:eastAsia="zh-CN" w:bidi="ar-SA"/>
              </w:rPr>
            </w:pPr>
            <w:r>
              <w:rPr>
                <w:rFonts w:hint="eastAsia" w:eastAsia="宋体" w:cs="Times New Roman"/>
                <w:kern w:val="0"/>
                <w:sz w:val="20"/>
                <w:szCs w:val="20"/>
                <w:lang w:val="en-US" w:eastAsia="zh-CN" w:bidi="ar-SA"/>
              </w:rPr>
              <w:t>0.84</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kern w:val="2"/>
                <w:sz w:val="20"/>
                <w:szCs w:val="20"/>
                <w:lang w:val="en-US" w:eastAsia="zh-CN" w:bidi="ar-SA"/>
              </w:rPr>
            </w:pPr>
          </w:p>
        </w:tc>
      </w:tr>
    </w:tbl>
    <w:p>
      <w:pPr>
        <w:ind w:firstLine="636"/>
        <w:rPr>
          <w:rFonts w:eastAsia="楷体"/>
        </w:rPr>
      </w:pPr>
      <w:r>
        <w:rPr>
          <w:rFonts w:hAnsi="楷体" w:eastAsia="楷体"/>
        </w:rPr>
        <w:br w:type="page"/>
      </w:r>
    </w:p>
    <w:tbl>
      <w:tblPr>
        <w:tblStyle w:val="9"/>
        <w:tblW w:w="9114" w:type="dxa"/>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0.50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0.50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8</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8</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44</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8789" w:type="dxa"/>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84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318"/>
        <w:gridCol w:w="852"/>
        <w:gridCol w:w="864"/>
        <w:gridCol w:w="732"/>
        <w:gridCol w:w="690"/>
        <w:gridCol w:w="396"/>
        <w:gridCol w:w="308"/>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31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52"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732"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394"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732"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3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318"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852"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732" w:type="dxa"/>
            <w:vMerge w:val="continue"/>
            <w:noWrap w:val="0"/>
            <w:vAlign w:val="center"/>
          </w:tcPr>
          <w:p>
            <w:pPr>
              <w:autoSpaceDN w:val="0"/>
              <w:jc w:val="center"/>
              <w:textAlignment w:val="center"/>
              <w:rPr>
                <w:rFonts w:ascii="Calibri" w:hAnsi="Calibri" w:eastAsia="华文细黑"/>
                <w:color w:val="000000"/>
                <w:sz w:val="20"/>
                <w:szCs w:val="22"/>
              </w:rPr>
            </w:pPr>
          </w:p>
        </w:tc>
        <w:tc>
          <w:tcPr>
            <w:tcW w:w="690"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396"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30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6" w:hRule="exact"/>
          <w:jc w:val="center"/>
        </w:trPr>
        <w:tc>
          <w:tcPr>
            <w:tcW w:w="759" w:type="dxa"/>
            <w:noWrap w:val="0"/>
            <w:vAlign w:val="center"/>
          </w:tcPr>
          <w:p>
            <w:pPr>
              <w:spacing w:line="700" w:lineRule="exact"/>
              <w:jc w:val="center"/>
              <w:rPr>
                <w:rFonts w:ascii="Calibri" w:hAnsi="Calibri" w:eastAsia="楷体"/>
                <w:kern w:val="0"/>
                <w:sz w:val="20"/>
                <w:szCs w:val="20"/>
              </w:rPr>
            </w:pPr>
            <w:r>
              <w:rPr>
                <w:rFonts w:hint="eastAsia" w:ascii="Calibri" w:hAnsi="Calibri" w:eastAsia="楷体"/>
                <w:kern w:val="0"/>
                <w:sz w:val="20"/>
                <w:szCs w:val="20"/>
              </w:rPr>
              <w:t>专项业务支出</w:t>
            </w:r>
          </w:p>
        </w:tc>
        <w:tc>
          <w:tcPr>
            <w:tcW w:w="1318"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工信局2024年科技费</w:t>
            </w:r>
          </w:p>
        </w:tc>
        <w:tc>
          <w:tcPr>
            <w:tcW w:w="852"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工信局2024年科技费</w:t>
            </w:r>
          </w:p>
        </w:tc>
        <w:tc>
          <w:tcPr>
            <w:tcW w:w="864" w:type="dxa"/>
            <w:noWrap w:val="0"/>
            <w:vAlign w:val="center"/>
          </w:tcPr>
          <w:p>
            <w:pPr>
              <w:spacing w:line="700" w:lineRule="exact"/>
              <w:jc w:val="center"/>
              <w:rPr>
                <w:rFonts w:ascii="Calibri" w:hAnsi="Calibri" w:eastAsia="楷体" w:cs="Times New Roman"/>
                <w:kern w:val="0"/>
                <w:sz w:val="20"/>
                <w:szCs w:val="20"/>
                <w:lang w:val="en-US" w:eastAsia="zh-CN" w:bidi="ar-SA"/>
              </w:rPr>
            </w:pPr>
            <w:r>
              <w:rPr>
                <w:rFonts w:hint="eastAsia" w:ascii="Calibri" w:hAnsi="Calibri" w:eastAsia="楷体"/>
                <w:kern w:val="0"/>
                <w:sz w:val="20"/>
                <w:szCs w:val="20"/>
              </w:rPr>
              <w:t>通榆县工业和信息化局</w:t>
            </w:r>
          </w:p>
        </w:tc>
        <w:tc>
          <w:tcPr>
            <w:tcW w:w="732" w:type="dxa"/>
            <w:noWrap w:val="0"/>
            <w:vAlign w:val="center"/>
          </w:tcPr>
          <w:p>
            <w:pPr>
              <w:spacing w:line="700" w:lineRule="exact"/>
              <w:jc w:val="center"/>
              <w:rPr>
                <w:rFonts w:hint="default" w:ascii="Calibri" w:hAnsi="Calibri" w:eastAsia="楷体"/>
                <w:kern w:val="0"/>
                <w:sz w:val="20"/>
                <w:szCs w:val="20"/>
                <w:lang w:val="en-US" w:eastAsia="zh-CN"/>
              </w:rPr>
            </w:pPr>
            <w:r>
              <w:rPr>
                <w:rFonts w:hint="eastAsia" w:ascii="Calibri" w:hAnsi="Calibri" w:eastAsia="楷体"/>
                <w:kern w:val="0"/>
                <w:sz w:val="20"/>
                <w:szCs w:val="20"/>
                <w:lang w:val="en-US" w:eastAsia="zh-CN"/>
              </w:rPr>
              <w:t>50.00</w:t>
            </w:r>
          </w:p>
        </w:tc>
        <w:tc>
          <w:tcPr>
            <w:tcW w:w="690" w:type="dxa"/>
            <w:noWrap w:val="0"/>
            <w:vAlign w:val="center"/>
          </w:tcPr>
          <w:p>
            <w:pPr>
              <w:spacing w:line="700" w:lineRule="exact"/>
              <w:jc w:val="center"/>
              <w:rPr>
                <w:rFonts w:hint="default" w:ascii="Calibri" w:hAnsi="Calibri" w:eastAsia="楷体" w:cs="Times New Roman"/>
                <w:kern w:val="0"/>
                <w:sz w:val="20"/>
                <w:szCs w:val="20"/>
                <w:lang w:val="en-US" w:eastAsia="zh-CN" w:bidi="ar-SA"/>
              </w:rPr>
            </w:pPr>
            <w:r>
              <w:rPr>
                <w:rFonts w:hint="eastAsia" w:ascii="Calibri" w:hAnsi="Calibri" w:eastAsia="楷体"/>
                <w:kern w:val="0"/>
                <w:sz w:val="20"/>
                <w:szCs w:val="20"/>
                <w:lang w:val="en-US" w:eastAsia="zh-CN"/>
              </w:rPr>
              <w:t>50.00</w:t>
            </w:r>
          </w:p>
        </w:tc>
        <w:tc>
          <w:tcPr>
            <w:tcW w:w="396" w:type="dxa"/>
            <w:noWrap w:val="0"/>
            <w:vAlign w:val="center"/>
          </w:tcPr>
          <w:p>
            <w:pPr>
              <w:spacing w:line="700" w:lineRule="exact"/>
              <w:jc w:val="center"/>
              <w:rPr>
                <w:rFonts w:ascii="Calibri" w:hAnsi="Calibri" w:eastAsia="楷体"/>
                <w:kern w:val="0"/>
                <w:sz w:val="20"/>
                <w:szCs w:val="20"/>
              </w:rPr>
            </w:pPr>
          </w:p>
        </w:tc>
        <w:tc>
          <w:tcPr>
            <w:tcW w:w="308" w:type="dxa"/>
            <w:noWrap w:val="0"/>
            <w:vAlign w:val="center"/>
          </w:tcPr>
          <w:p>
            <w:pPr>
              <w:spacing w:line="700" w:lineRule="exact"/>
              <w:jc w:val="center"/>
              <w:rPr>
                <w:rFonts w:ascii="Calibri" w:hAnsi="Calibri" w:eastAsia="楷体"/>
                <w:kern w:val="0"/>
                <w:sz w:val="20"/>
                <w:szCs w:val="20"/>
              </w:rPr>
            </w:pPr>
          </w:p>
        </w:tc>
        <w:tc>
          <w:tcPr>
            <w:tcW w:w="564" w:type="dxa"/>
            <w:noWrap w:val="0"/>
            <w:vAlign w:val="center"/>
          </w:tcPr>
          <w:p>
            <w:pPr>
              <w:spacing w:line="700" w:lineRule="exact"/>
              <w:jc w:val="center"/>
              <w:rPr>
                <w:rFonts w:ascii="Calibri" w:hAnsi="Calibri" w:eastAsia="楷体"/>
                <w:kern w:val="0"/>
                <w:sz w:val="20"/>
                <w:szCs w:val="20"/>
              </w:rPr>
            </w:pPr>
          </w:p>
        </w:tc>
        <w:tc>
          <w:tcPr>
            <w:tcW w:w="532" w:type="dxa"/>
            <w:noWrap w:val="0"/>
            <w:vAlign w:val="center"/>
          </w:tcPr>
          <w:p>
            <w:pPr>
              <w:spacing w:line="700" w:lineRule="exact"/>
              <w:jc w:val="center"/>
              <w:rPr>
                <w:rFonts w:ascii="Calibri" w:hAnsi="Calibri" w:eastAsia="楷体"/>
                <w:kern w:val="0"/>
                <w:sz w:val="20"/>
                <w:szCs w:val="20"/>
              </w:rPr>
            </w:pPr>
          </w:p>
        </w:tc>
        <w:tc>
          <w:tcPr>
            <w:tcW w:w="598" w:type="dxa"/>
            <w:noWrap w:val="0"/>
            <w:vAlign w:val="center"/>
          </w:tcPr>
          <w:p>
            <w:pPr>
              <w:spacing w:line="700" w:lineRule="exact"/>
              <w:jc w:val="center"/>
              <w:rPr>
                <w:rFonts w:ascii="Calibri" w:hAnsi="Calibri" w:eastAsia="楷体"/>
                <w:kern w:val="0"/>
                <w:sz w:val="20"/>
                <w:szCs w:val="20"/>
              </w:rPr>
            </w:pPr>
          </w:p>
        </w:tc>
        <w:tc>
          <w:tcPr>
            <w:tcW w:w="443" w:type="dxa"/>
            <w:noWrap w:val="0"/>
            <w:vAlign w:val="center"/>
          </w:tcPr>
          <w:p>
            <w:pPr>
              <w:spacing w:line="700" w:lineRule="exact"/>
              <w:jc w:val="center"/>
              <w:rPr>
                <w:rFonts w:ascii="Calibri" w:hAnsi="Calibri" w:eastAsia="楷体"/>
                <w:kern w:val="0"/>
                <w:sz w:val="20"/>
                <w:szCs w:val="20"/>
              </w:rPr>
            </w:pPr>
          </w:p>
        </w:tc>
        <w:tc>
          <w:tcPr>
            <w:tcW w:w="425" w:type="dxa"/>
            <w:noWrap w:val="0"/>
            <w:vAlign w:val="center"/>
          </w:tcPr>
          <w:p>
            <w:pPr>
              <w:spacing w:line="700" w:lineRule="exact"/>
              <w:jc w:val="center"/>
              <w:rPr>
                <w:rFonts w:ascii="Calibri" w:hAnsi="Calibri" w:eastAsia="楷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6" w:hRule="exact"/>
          <w:jc w:val="center"/>
        </w:trPr>
        <w:tc>
          <w:tcPr>
            <w:tcW w:w="759" w:type="dxa"/>
            <w:noWrap w:val="0"/>
            <w:vAlign w:val="center"/>
          </w:tcPr>
          <w:p>
            <w:pPr>
              <w:spacing w:line="700" w:lineRule="exact"/>
              <w:jc w:val="center"/>
              <w:rPr>
                <w:rFonts w:ascii="Calibri" w:hAnsi="Calibri" w:eastAsia="楷体"/>
                <w:kern w:val="0"/>
                <w:sz w:val="20"/>
                <w:szCs w:val="20"/>
              </w:rPr>
            </w:pPr>
            <w:r>
              <w:rPr>
                <w:rFonts w:hint="eastAsia" w:ascii="Calibri" w:hAnsi="Calibri" w:eastAsia="楷体"/>
                <w:kern w:val="0"/>
                <w:sz w:val="20"/>
                <w:szCs w:val="20"/>
              </w:rPr>
              <w:t>专项业务支出</w:t>
            </w:r>
          </w:p>
        </w:tc>
        <w:tc>
          <w:tcPr>
            <w:tcW w:w="1318" w:type="dxa"/>
            <w:noWrap w:val="0"/>
            <w:vAlign w:val="center"/>
          </w:tcPr>
          <w:p>
            <w:pPr>
              <w:keepNext w:val="0"/>
              <w:keepLines w:val="0"/>
              <w:widowControl/>
              <w:suppressLineNumbers w:val="0"/>
              <w:jc w:val="left"/>
              <w:textAlignment w:val="center"/>
              <w:rPr>
                <w:rFonts w:ascii="Calibri" w:hAnsi="Calibri" w:eastAsia="楷体" w:cs="Times New Roman"/>
                <w:kern w:val="0"/>
                <w:sz w:val="20"/>
                <w:szCs w:val="20"/>
                <w:lang w:val="en-US" w:eastAsia="zh-CN" w:bidi="ar-SA"/>
              </w:rPr>
            </w:pPr>
            <w:r>
              <w:rPr>
                <w:rFonts w:hint="default" w:ascii="Arial" w:hAnsi="Arial" w:eastAsia="宋体" w:cs="Arial"/>
                <w:i w:val="0"/>
                <w:iCs w:val="0"/>
                <w:color w:val="000000"/>
                <w:kern w:val="0"/>
                <w:sz w:val="20"/>
                <w:szCs w:val="20"/>
                <w:u w:val="none"/>
                <w:lang w:val="en-US" w:eastAsia="zh-CN" w:bidi="ar"/>
              </w:rPr>
              <w:t>工信局2024年驻村工作队生活补贴</w:t>
            </w:r>
          </w:p>
        </w:tc>
        <w:tc>
          <w:tcPr>
            <w:tcW w:w="852"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工信局2024年驻村工作队生活补贴</w:t>
            </w:r>
          </w:p>
        </w:tc>
        <w:tc>
          <w:tcPr>
            <w:tcW w:w="864" w:type="dxa"/>
            <w:noWrap w:val="0"/>
            <w:vAlign w:val="center"/>
          </w:tcPr>
          <w:p>
            <w:pPr>
              <w:spacing w:line="700" w:lineRule="exact"/>
              <w:jc w:val="center"/>
              <w:rPr>
                <w:rFonts w:ascii="Calibri" w:hAnsi="Calibri" w:eastAsia="楷体" w:cs="Times New Roman"/>
                <w:kern w:val="0"/>
                <w:sz w:val="20"/>
                <w:szCs w:val="20"/>
                <w:lang w:val="en-US" w:eastAsia="zh-CN" w:bidi="ar-SA"/>
              </w:rPr>
            </w:pPr>
            <w:r>
              <w:rPr>
                <w:rFonts w:hint="eastAsia" w:ascii="Calibri" w:hAnsi="Calibri" w:eastAsia="楷体"/>
                <w:kern w:val="0"/>
                <w:sz w:val="20"/>
                <w:szCs w:val="20"/>
              </w:rPr>
              <w:t>通榆县工业和信息化局</w:t>
            </w:r>
          </w:p>
        </w:tc>
        <w:tc>
          <w:tcPr>
            <w:tcW w:w="732" w:type="dxa"/>
            <w:noWrap w:val="0"/>
            <w:vAlign w:val="center"/>
          </w:tcPr>
          <w:p>
            <w:pPr>
              <w:spacing w:line="700" w:lineRule="exact"/>
              <w:jc w:val="center"/>
              <w:rPr>
                <w:rFonts w:hint="default" w:ascii="Calibri" w:hAnsi="Calibri" w:eastAsia="楷体"/>
                <w:kern w:val="0"/>
                <w:sz w:val="20"/>
                <w:szCs w:val="20"/>
                <w:lang w:val="en-US" w:eastAsia="zh-CN"/>
              </w:rPr>
            </w:pPr>
            <w:r>
              <w:rPr>
                <w:rFonts w:hint="eastAsia" w:ascii="Calibri" w:hAnsi="Calibri" w:eastAsia="楷体"/>
                <w:kern w:val="0"/>
                <w:sz w:val="20"/>
                <w:szCs w:val="20"/>
                <w:lang w:val="en-US" w:eastAsia="zh-CN"/>
              </w:rPr>
              <w:t>10.80</w:t>
            </w:r>
          </w:p>
        </w:tc>
        <w:tc>
          <w:tcPr>
            <w:tcW w:w="690" w:type="dxa"/>
            <w:noWrap w:val="0"/>
            <w:vAlign w:val="center"/>
          </w:tcPr>
          <w:p>
            <w:pPr>
              <w:spacing w:line="700" w:lineRule="exact"/>
              <w:jc w:val="center"/>
              <w:rPr>
                <w:rFonts w:hint="default" w:ascii="Calibri" w:hAnsi="Calibri" w:eastAsia="楷体" w:cs="Times New Roman"/>
                <w:kern w:val="0"/>
                <w:sz w:val="20"/>
                <w:szCs w:val="20"/>
                <w:lang w:val="en-US" w:eastAsia="zh-CN" w:bidi="ar-SA"/>
              </w:rPr>
            </w:pPr>
            <w:r>
              <w:rPr>
                <w:rFonts w:hint="eastAsia" w:ascii="Calibri" w:hAnsi="Calibri" w:eastAsia="楷体"/>
                <w:kern w:val="0"/>
                <w:sz w:val="20"/>
                <w:szCs w:val="20"/>
                <w:lang w:val="en-US" w:eastAsia="zh-CN"/>
              </w:rPr>
              <w:t>10.80</w:t>
            </w:r>
          </w:p>
        </w:tc>
        <w:tc>
          <w:tcPr>
            <w:tcW w:w="396" w:type="dxa"/>
            <w:noWrap w:val="0"/>
            <w:vAlign w:val="center"/>
          </w:tcPr>
          <w:p>
            <w:pPr>
              <w:spacing w:line="700" w:lineRule="exact"/>
              <w:jc w:val="center"/>
              <w:rPr>
                <w:rFonts w:ascii="Calibri" w:hAnsi="Calibri" w:eastAsia="楷体"/>
                <w:kern w:val="0"/>
                <w:sz w:val="20"/>
                <w:szCs w:val="20"/>
              </w:rPr>
            </w:pPr>
          </w:p>
        </w:tc>
        <w:tc>
          <w:tcPr>
            <w:tcW w:w="308" w:type="dxa"/>
            <w:noWrap w:val="0"/>
            <w:vAlign w:val="center"/>
          </w:tcPr>
          <w:p>
            <w:pPr>
              <w:spacing w:line="700" w:lineRule="exact"/>
              <w:jc w:val="center"/>
              <w:rPr>
                <w:rFonts w:ascii="Calibri" w:hAnsi="Calibri" w:eastAsia="楷体"/>
                <w:kern w:val="0"/>
                <w:sz w:val="20"/>
                <w:szCs w:val="20"/>
              </w:rPr>
            </w:pPr>
          </w:p>
        </w:tc>
        <w:tc>
          <w:tcPr>
            <w:tcW w:w="564" w:type="dxa"/>
            <w:noWrap w:val="0"/>
            <w:vAlign w:val="center"/>
          </w:tcPr>
          <w:p>
            <w:pPr>
              <w:spacing w:line="700" w:lineRule="exact"/>
              <w:jc w:val="center"/>
              <w:rPr>
                <w:rFonts w:ascii="Calibri" w:hAnsi="Calibri" w:eastAsia="楷体"/>
                <w:kern w:val="0"/>
                <w:sz w:val="20"/>
                <w:szCs w:val="20"/>
              </w:rPr>
            </w:pPr>
          </w:p>
        </w:tc>
        <w:tc>
          <w:tcPr>
            <w:tcW w:w="532" w:type="dxa"/>
            <w:noWrap w:val="0"/>
            <w:vAlign w:val="center"/>
          </w:tcPr>
          <w:p>
            <w:pPr>
              <w:spacing w:line="700" w:lineRule="exact"/>
              <w:jc w:val="center"/>
              <w:rPr>
                <w:rFonts w:ascii="Calibri" w:hAnsi="Calibri" w:eastAsia="楷体"/>
                <w:kern w:val="0"/>
                <w:sz w:val="20"/>
                <w:szCs w:val="20"/>
              </w:rPr>
            </w:pPr>
          </w:p>
        </w:tc>
        <w:tc>
          <w:tcPr>
            <w:tcW w:w="598" w:type="dxa"/>
            <w:noWrap w:val="0"/>
            <w:vAlign w:val="center"/>
          </w:tcPr>
          <w:p>
            <w:pPr>
              <w:spacing w:line="700" w:lineRule="exact"/>
              <w:jc w:val="center"/>
              <w:rPr>
                <w:rFonts w:ascii="Calibri" w:hAnsi="Calibri" w:eastAsia="楷体"/>
                <w:kern w:val="0"/>
                <w:sz w:val="20"/>
                <w:szCs w:val="20"/>
              </w:rPr>
            </w:pPr>
          </w:p>
        </w:tc>
        <w:tc>
          <w:tcPr>
            <w:tcW w:w="443" w:type="dxa"/>
            <w:noWrap w:val="0"/>
            <w:vAlign w:val="center"/>
          </w:tcPr>
          <w:p>
            <w:pPr>
              <w:spacing w:line="700" w:lineRule="exact"/>
              <w:jc w:val="center"/>
              <w:rPr>
                <w:rFonts w:ascii="Calibri" w:hAnsi="Calibri" w:eastAsia="楷体"/>
                <w:kern w:val="0"/>
                <w:sz w:val="20"/>
                <w:szCs w:val="20"/>
              </w:rPr>
            </w:pPr>
          </w:p>
        </w:tc>
        <w:tc>
          <w:tcPr>
            <w:tcW w:w="425" w:type="dxa"/>
            <w:noWrap w:val="0"/>
            <w:vAlign w:val="center"/>
          </w:tcPr>
          <w:p>
            <w:pPr>
              <w:spacing w:line="700" w:lineRule="exact"/>
              <w:jc w:val="center"/>
              <w:rPr>
                <w:rFonts w:ascii="Calibri" w:hAnsi="Calibri" w:eastAsia="楷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0"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0"/>
              </w:rPr>
            </w:pPr>
            <w:r>
              <w:rPr>
                <w:rFonts w:hint="eastAsia" w:ascii="Calibri" w:hAnsi="Calibri" w:eastAsia="华文细黑"/>
                <w:color w:val="000000"/>
                <w:sz w:val="20"/>
                <w:szCs w:val="20"/>
              </w:rPr>
              <w:t>合计</w:t>
            </w:r>
          </w:p>
        </w:tc>
        <w:tc>
          <w:tcPr>
            <w:tcW w:w="1318" w:type="dxa"/>
            <w:noWrap w:val="0"/>
            <w:vAlign w:val="center"/>
          </w:tcPr>
          <w:p>
            <w:pPr>
              <w:autoSpaceDN w:val="0"/>
              <w:jc w:val="center"/>
              <w:textAlignment w:val="center"/>
              <w:rPr>
                <w:rFonts w:ascii="Calibri" w:hAnsi="Calibri" w:eastAsia="华文细黑"/>
                <w:color w:val="000000"/>
                <w:sz w:val="20"/>
                <w:szCs w:val="20"/>
              </w:rPr>
            </w:pPr>
          </w:p>
        </w:tc>
        <w:tc>
          <w:tcPr>
            <w:tcW w:w="852" w:type="dxa"/>
            <w:noWrap w:val="0"/>
            <w:vAlign w:val="center"/>
          </w:tcPr>
          <w:p>
            <w:pPr>
              <w:spacing w:line="700" w:lineRule="exact"/>
              <w:jc w:val="center"/>
              <w:rPr>
                <w:rFonts w:ascii="Calibri" w:hAnsi="Calibri" w:eastAsia="楷体"/>
                <w:kern w:val="0"/>
                <w:sz w:val="20"/>
                <w:szCs w:val="20"/>
              </w:rPr>
            </w:pPr>
          </w:p>
        </w:tc>
        <w:tc>
          <w:tcPr>
            <w:tcW w:w="864" w:type="dxa"/>
            <w:noWrap w:val="0"/>
            <w:vAlign w:val="center"/>
          </w:tcPr>
          <w:p>
            <w:pPr>
              <w:spacing w:line="700" w:lineRule="exact"/>
              <w:jc w:val="center"/>
              <w:rPr>
                <w:rFonts w:ascii="Calibri" w:hAnsi="Calibri" w:eastAsia="楷体"/>
                <w:kern w:val="0"/>
                <w:sz w:val="20"/>
                <w:szCs w:val="20"/>
              </w:rPr>
            </w:pPr>
          </w:p>
        </w:tc>
        <w:tc>
          <w:tcPr>
            <w:tcW w:w="732" w:type="dxa"/>
            <w:noWrap w:val="0"/>
            <w:vAlign w:val="center"/>
          </w:tcPr>
          <w:p>
            <w:pPr>
              <w:spacing w:line="700" w:lineRule="exact"/>
              <w:jc w:val="center"/>
              <w:rPr>
                <w:rFonts w:hint="default" w:ascii="Calibri" w:hAnsi="Calibri" w:eastAsia="楷体"/>
                <w:kern w:val="0"/>
                <w:sz w:val="20"/>
                <w:szCs w:val="20"/>
                <w:lang w:val="en-US" w:eastAsia="zh-CN"/>
              </w:rPr>
            </w:pPr>
            <w:r>
              <w:rPr>
                <w:rFonts w:hint="eastAsia" w:ascii="Calibri" w:hAnsi="Calibri" w:eastAsia="楷体"/>
                <w:kern w:val="0"/>
                <w:sz w:val="20"/>
                <w:szCs w:val="20"/>
                <w:lang w:val="en-US" w:eastAsia="zh-CN"/>
              </w:rPr>
              <w:t>60.80</w:t>
            </w:r>
          </w:p>
        </w:tc>
        <w:tc>
          <w:tcPr>
            <w:tcW w:w="690" w:type="dxa"/>
            <w:noWrap w:val="0"/>
            <w:vAlign w:val="center"/>
          </w:tcPr>
          <w:p>
            <w:pPr>
              <w:spacing w:line="700" w:lineRule="exact"/>
              <w:jc w:val="center"/>
              <w:rPr>
                <w:rFonts w:hint="default" w:ascii="Calibri" w:hAnsi="Calibri" w:eastAsia="楷体" w:cs="Times New Roman"/>
                <w:kern w:val="0"/>
                <w:sz w:val="20"/>
                <w:szCs w:val="20"/>
                <w:lang w:val="en-US" w:eastAsia="zh-CN" w:bidi="ar-SA"/>
              </w:rPr>
            </w:pPr>
            <w:r>
              <w:rPr>
                <w:rFonts w:hint="eastAsia" w:ascii="Calibri" w:hAnsi="Calibri" w:eastAsia="楷体"/>
                <w:kern w:val="0"/>
                <w:sz w:val="20"/>
                <w:szCs w:val="20"/>
                <w:lang w:val="en-US" w:eastAsia="zh-CN"/>
              </w:rPr>
              <w:t>60.80</w:t>
            </w:r>
          </w:p>
        </w:tc>
        <w:tc>
          <w:tcPr>
            <w:tcW w:w="396" w:type="dxa"/>
            <w:noWrap w:val="0"/>
            <w:vAlign w:val="center"/>
          </w:tcPr>
          <w:p>
            <w:pPr>
              <w:spacing w:line="700" w:lineRule="exact"/>
              <w:jc w:val="center"/>
              <w:rPr>
                <w:rFonts w:ascii="Calibri" w:hAnsi="Calibri" w:eastAsia="楷体"/>
                <w:kern w:val="0"/>
                <w:sz w:val="20"/>
                <w:szCs w:val="20"/>
              </w:rPr>
            </w:pPr>
          </w:p>
        </w:tc>
        <w:tc>
          <w:tcPr>
            <w:tcW w:w="308" w:type="dxa"/>
            <w:noWrap w:val="0"/>
            <w:vAlign w:val="center"/>
          </w:tcPr>
          <w:p>
            <w:pPr>
              <w:spacing w:line="700" w:lineRule="exact"/>
              <w:jc w:val="center"/>
              <w:rPr>
                <w:rFonts w:ascii="Calibri" w:hAnsi="Calibri" w:eastAsia="楷体"/>
                <w:kern w:val="0"/>
                <w:sz w:val="20"/>
                <w:szCs w:val="20"/>
              </w:rPr>
            </w:pPr>
          </w:p>
        </w:tc>
        <w:tc>
          <w:tcPr>
            <w:tcW w:w="564" w:type="dxa"/>
            <w:noWrap w:val="0"/>
            <w:vAlign w:val="center"/>
          </w:tcPr>
          <w:p>
            <w:pPr>
              <w:spacing w:line="700" w:lineRule="exact"/>
              <w:jc w:val="center"/>
              <w:rPr>
                <w:rFonts w:ascii="Calibri" w:hAnsi="Calibri" w:eastAsia="楷体"/>
                <w:kern w:val="0"/>
                <w:sz w:val="20"/>
                <w:szCs w:val="20"/>
              </w:rPr>
            </w:pPr>
          </w:p>
        </w:tc>
        <w:tc>
          <w:tcPr>
            <w:tcW w:w="532" w:type="dxa"/>
            <w:noWrap w:val="0"/>
            <w:vAlign w:val="center"/>
          </w:tcPr>
          <w:p>
            <w:pPr>
              <w:spacing w:line="700" w:lineRule="exact"/>
              <w:jc w:val="center"/>
              <w:rPr>
                <w:rFonts w:ascii="Calibri" w:hAnsi="Calibri" w:eastAsia="楷体"/>
                <w:kern w:val="0"/>
                <w:sz w:val="20"/>
                <w:szCs w:val="20"/>
              </w:rPr>
            </w:pPr>
          </w:p>
        </w:tc>
        <w:tc>
          <w:tcPr>
            <w:tcW w:w="598" w:type="dxa"/>
            <w:noWrap w:val="0"/>
            <w:vAlign w:val="center"/>
          </w:tcPr>
          <w:p>
            <w:pPr>
              <w:spacing w:line="700" w:lineRule="exact"/>
              <w:jc w:val="center"/>
              <w:rPr>
                <w:rFonts w:ascii="Calibri" w:hAnsi="Calibri" w:eastAsia="楷体"/>
                <w:kern w:val="0"/>
                <w:sz w:val="20"/>
                <w:szCs w:val="20"/>
              </w:rPr>
            </w:pPr>
          </w:p>
        </w:tc>
        <w:tc>
          <w:tcPr>
            <w:tcW w:w="443" w:type="dxa"/>
            <w:noWrap w:val="0"/>
            <w:vAlign w:val="center"/>
          </w:tcPr>
          <w:p>
            <w:pPr>
              <w:spacing w:line="700" w:lineRule="exact"/>
              <w:jc w:val="center"/>
              <w:rPr>
                <w:rFonts w:ascii="Calibri" w:hAnsi="Calibri" w:eastAsia="楷体"/>
                <w:kern w:val="0"/>
                <w:sz w:val="20"/>
                <w:szCs w:val="20"/>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rPr>
          <w:rFonts w:eastAsia="楷体"/>
          <w:kern w:val="0"/>
          <w:szCs w:val="32"/>
        </w:rPr>
      </w:pPr>
    </w:p>
    <w:p>
      <w:pPr>
        <w:spacing w:line="700" w:lineRule="exact"/>
        <w:rPr>
          <w:rFonts w:eastAsia="楷体"/>
          <w:kern w:val="0"/>
          <w:szCs w:val="32"/>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ind w:firstLine="800" w:firstLineChars="400"/>
              <w:jc w:val="left"/>
              <w:textAlignment w:val="center"/>
              <w:rPr>
                <w:rFonts w:hint="eastAsia"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工信局2024年科技费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50.00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50.00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18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r>
              <w:rPr>
                <w:rFonts w:hint="default" w:ascii="Arial" w:hAnsi="Arial" w:eastAsia="宋体" w:cs="Arial"/>
                <w:i w:val="0"/>
                <w:iCs w:val="0"/>
                <w:color w:val="000000"/>
                <w:kern w:val="0"/>
                <w:sz w:val="20"/>
                <w:szCs w:val="20"/>
                <w:u w:val="none"/>
                <w:lang w:val="en-US" w:eastAsia="zh-CN" w:bidi="ar"/>
              </w:rPr>
              <w:t>工信局2024年科技费</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科技服务人员</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35/人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保障科学技术发挥效益稳定率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科技服务费用</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元</w:t>
            </w:r>
            <w:r>
              <w:rPr>
                <w:rFonts w:hint="eastAsia" w:ascii="宋体" w:hAnsi="宋体" w:eastAsia="宋体" w:cs="宋体"/>
                <w:color w:val="000000"/>
                <w:sz w:val="20"/>
                <w:lang w:val="en-US" w:eastAsia="zh-CN"/>
              </w:rPr>
              <w:t>/人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拨付科技费及时率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提升科技服务人员经济水平</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提升社会科技服务效率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科技人员满意度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eastAsia="zh-CN"/>
              </w:rPr>
              <w:t>科技人员满意度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val="en-US" w:eastAsia="zh-CN"/>
              </w:rPr>
              <w:t>99%</w:t>
            </w:r>
          </w:p>
        </w:tc>
      </w:tr>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工信局2024年驻村工作队生活补贴</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10.80万元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10.80万元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lang w:val="en-US" w:eastAsia="zh-CN"/>
              </w:rPr>
            </w:pPr>
          </w:p>
          <w:p>
            <w:pPr>
              <w:autoSpaceDN w:val="0"/>
              <w:jc w:val="center"/>
              <w:textAlignment w:val="center"/>
              <w:rPr>
                <w:rFonts w:hint="eastAsia" w:ascii="宋体" w:hAnsi="宋体" w:eastAsia="宋体" w:cs="宋体"/>
                <w:color w:val="000000"/>
                <w:sz w:val="20"/>
                <w:lang w:val="en-US" w:eastAsia="zh-CN"/>
              </w:rPr>
            </w:pPr>
          </w:p>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根据通组联通{2021}2号文件要求，驻村工作队2024年生活补贴10.80万元。</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驻村干部人数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驻村补贴发放准确率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驻村干部补助人均标准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100元/人/天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驻村补助发放及时率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驻村干部生活保障率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驻村干部满意度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color w:val="auto"/>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195.20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195.20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color w:val="auto"/>
          <w:szCs w:val="32"/>
          <w:lang w:val="en-US" w:eastAsia="zh-CN"/>
        </w:rPr>
        <w:t>2024</w:t>
      </w:r>
      <w:r>
        <w:rPr>
          <w:rFonts w:hint="eastAsia" w:ascii="仿宋_GB2312" w:hAnsi="仿宋_GB2312" w:eastAsia="仿宋_GB2312" w:cs="仿宋_GB2312"/>
          <w:color w:val="auto"/>
          <w:szCs w:val="32"/>
          <w:lang w:val="en-US" w:eastAsia="zh-CN"/>
        </w:rPr>
        <w:t>年当年预算</w:t>
      </w:r>
      <w:r>
        <w:rPr>
          <w:rFonts w:hint="eastAsia" w:ascii="仿宋_GB2312" w:hAnsi="仿宋_GB2312" w:eastAsia="仿宋_GB2312" w:cs="仿宋_GB2312"/>
          <w:color w:val="auto"/>
          <w:szCs w:val="32"/>
        </w:rPr>
        <w:t>比</w:t>
      </w:r>
      <w:r>
        <w:rPr>
          <w:rFonts w:hint="eastAsia" w:ascii="仿宋_GB2312" w:hAnsi="仿宋_GB2312" w:cs="仿宋_GB2312"/>
          <w:color w:val="auto"/>
          <w:szCs w:val="32"/>
          <w:lang w:eastAsia="zh-CN"/>
        </w:rPr>
        <w:t>202</w:t>
      </w:r>
      <w:r>
        <w:rPr>
          <w:rFonts w:hint="eastAsia" w:ascii="仿宋_GB2312" w:hAnsi="仿宋_GB2312" w:cs="仿宋_GB2312"/>
          <w:color w:val="auto"/>
          <w:szCs w:val="32"/>
          <w:lang w:val="en-US" w:eastAsia="zh-CN"/>
        </w:rPr>
        <w:t>3</w:t>
      </w:r>
      <w:r>
        <w:rPr>
          <w:rFonts w:hint="eastAsia" w:ascii="仿宋_GB2312" w:hAnsi="仿宋_GB2312" w:eastAsia="仿宋_GB2312" w:cs="仿宋_GB2312"/>
          <w:color w:val="auto"/>
          <w:szCs w:val="32"/>
        </w:rPr>
        <w:t>年预算减少</w:t>
      </w:r>
      <w:r>
        <w:rPr>
          <w:rFonts w:hint="eastAsia" w:ascii="仿宋_GB2312" w:hAnsi="仿宋_GB2312" w:cs="仿宋_GB2312"/>
          <w:color w:val="auto"/>
          <w:szCs w:val="32"/>
          <w:lang w:val="en-US" w:eastAsia="zh-CN"/>
        </w:rPr>
        <w:t>3.63</w:t>
      </w:r>
      <w:r>
        <w:rPr>
          <w:rFonts w:hint="eastAsia" w:ascii="仿宋_GB2312" w:hAnsi="仿宋_GB2312" w:eastAsia="仿宋_GB2312" w:cs="仿宋_GB2312"/>
          <w:color w:val="auto"/>
          <w:szCs w:val="32"/>
        </w:rPr>
        <w:t>万元，主要原因</w:t>
      </w:r>
      <w:r>
        <w:rPr>
          <w:rFonts w:hint="eastAsia" w:ascii="仿宋_GB2312" w:hAnsi="仿宋_GB2312" w:cs="仿宋_GB2312"/>
          <w:color w:val="auto"/>
          <w:szCs w:val="32"/>
          <w:lang w:eastAsia="zh-CN"/>
        </w:rPr>
        <w:t>新增退休人员</w:t>
      </w:r>
      <w:r>
        <w:rPr>
          <w:rFonts w:hint="eastAsia" w:ascii="仿宋_GB2312" w:hAnsi="仿宋_GB2312" w:cs="仿宋_GB2312"/>
          <w:color w:val="auto"/>
          <w:szCs w:val="32"/>
          <w:lang w:val="en-US" w:eastAsia="zh-CN"/>
        </w:rPr>
        <w:t>，费用减少</w:t>
      </w:r>
      <w:r>
        <w:rPr>
          <w:rFonts w:hint="eastAsia" w:ascii="仿宋_GB2312" w:hAnsi="仿宋_GB2312" w:eastAsia="仿宋_GB2312" w:cs="仿宋_GB2312"/>
          <w:color w:val="auto"/>
          <w:szCs w:val="32"/>
        </w:rPr>
        <w:t>。</w:t>
      </w:r>
    </w:p>
    <w:p>
      <w:pPr>
        <w:ind w:firstLine="640" w:firstLineChars="200"/>
        <w:rPr>
          <w:rFonts w:eastAsia="黑体"/>
          <w:szCs w:val="32"/>
        </w:rPr>
      </w:pP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195.20</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195.20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195.20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%；其他收入_</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hint="eastAsia" w:ascii="黑体" w:hAnsi="黑体" w:eastAsia="黑体" w:cs="黑体"/>
          <w:szCs w:val="32"/>
        </w:rPr>
      </w:pP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195.20</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134.40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68.85</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60.80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31.15</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hint="eastAsia" w:ascii="黑体" w:hAnsi="黑体" w:eastAsia="黑体" w:cs="黑体"/>
          <w:szCs w:val="32"/>
        </w:rPr>
      </w:pP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195.20</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195.20</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119.81</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50.00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12.97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4.58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7.84</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00"/>
        <w:rPr>
          <w:rFonts w:eastAsia="黑体"/>
          <w:szCs w:val="30"/>
        </w:rPr>
      </w:pP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195.20</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134.40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68.85</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60.80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31.15</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120.72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89.82</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13.68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10.18</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119.81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61.38</w:t>
      </w:r>
      <w:r>
        <w:rPr>
          <w:rFonts w:hint="eastAsia" w:ascii="仿宋_GB2312" w:hAnsi="仿宋_GB2312" w:eastAsia="仿宋_GB2312" w:cs="仿宋_GB2312"/>
          <w:szCs w:val="32"/>
        </w:rPr>
        <w:t>%，主要用于</w:t>
      </w:r>
      <w:r>
        <w:rPr>
          <w:rFonts w:hint="eastAsia"/>
          <w:szCs w:val="32"/>
          <w:lang w:eastAsia="zh-CN"/>
        </w:rPr>
        <w:t>支付人员经费和公用经费</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无</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无</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lang w:val="en-US" w:eastAsia="zh-CN"/>
        </w:rPr>
        <w:t>50.00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25.61</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无</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无</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12.97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6.64</w:t>
      </w:r>
      <w:r>
        <w:rPr>
          <w:rFonts w:hint="eastAsia" w:ascii="仿宋_GB2312" w:hAnsi="仿宋_GB2312" w:eastAsia="仿宋_GB2312" w:cs="仿宋_GB2312"/>
          <w:szCs w:val="32"/>
        </w:rPr>
        <w:t>%，主要用于机关事业单位基本养老保险缴费支出</w:t>
      </w:r>
      <w:r>
        <w:rPr>
          <w:rFonts w:hint="eastAsia" w:ascii="仿宋_GB2312" w:hAnsi="仿宋_GB2312" w:cs="仿宋_GB2312"/>
          <w:szCs w:val="32"/>
          <w:lang w:eastAsia="zh-CN"/>
        </w:rPr>
        <w:t>、职业年金缴费支出</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无</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7.84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4.02</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无</w:t>
      </w:r>
      <w:r>
        <w:rPr>
          <w:rFonts w:hint="eastAsia" w:ascii="仿宋_GB2312" w:hAnsi="仿宋_GB2312" w:eastAsia="仿宋_GB2312" w:cs="仿宋_GB2312"/>
          <w:szCs w:val="32"/>
        </w:rPr>
        <w:t>。</w:t>
      </w:r>
    </w:p>
    <w:p>
      <w:pPr>
        <w:spacing w:line="520" w:lineRule="exact"/>
        <w:ind w:firstLine="640" w:firstLineChars="200"/>
        <w:rPr>
          <w:rFonts w:hint="eastAsia" w:ascii="黑体" w:hAnsi="黑体" w:eastAsia="黑体" w:cs="黑体"/>
          <w:szCs w:val="32"/>
        </w:rPr>
      </w:pPr>
      <w:r>
        <w:rPr>
          <w:rFonts w:hint="eastAsia" w:ascii="仿宋_GB2312" w:hAnsi="仿宋_GB2312" w:eastAsia="仿宋_GB2312" w:cs="仿宋_GB2312"/>
          <w:szCs w:val="32"/>
        </w:rPr>
        <w:t>卫生健康支出</w:t>
      </w:r>
      <w:r>
        <w:rPr>
          <w:rFonts w:hint="eastAsia" w:ascii="仿宋_GB2312" w:hAnsi="仿宋_GB2312" w:cs="仿宋_GB2312"/>
          <w:szCs w:val="32"/>
          <w:lang w:eastAsia="zh-CN"/>
        </w:rPr>
        <w:t>（</w:t>
      </w:r>
      <w:r>
        <w:rPr>
          <w:rFonts w:hint="eastAsia" w:ascii="仿宋_GB2312" w:hAnsi="仿宋_GB2312" w:cs="仿宋_GB2312"/>
          <w:szCs w:val="32"/>
          <w:lang w:val="en-US" w:eastAsia="zh-CN"/>
        </w:rPr>
        <w:t>类</w:t>
      </w:r>
      <w:r>
        <w:rPr>
          <w:rFonts w:hint="eastAsia" w:ascii="仿宋_GB2312" w:hAnsi="仿宋_GB2312" w:cs="仿宋_GB2312"/>
          <w:szCs w:val="32"/>
          <w:lang w:eastAsia="zh-CN"/>
        </w:rPr>
        <w:t>）</w:t>
      </w:r>
      <w:r>
        <w:rPr>
          <w:rFonts w:hint="eastAsia" w:ascii="仿宋_GB2312" w:hAnsi="仿宋_GB2312" w:cs="仿宋_GB2312"/>
          <w:szCs w:val="32"/>
          <w:lang w:val="en-US" w:eastAsia="zh-CN"/>
        </w:rPr>
        <w:t>支出4.58万元，占2.35%，主要用于行政事业单位医疗。</w:t>
      </w:r>
    </w:p>
    <w:p>
      <w:pPr>
        <w:spacing w:line="520" w:lineRule="exact"/>
        <w:ind w:firstLine="640" w:firstLineChars="200"/>
        <w:rPr>
          <w:rFonts w:hint="eastAsia" w:ascii="黑体" w:hAnsi="黑体" w:eastAsia="黑体" w:cs="黑体"/>
          <w:szCs w:val="32"/>
        </w:rPr>
      </w:pP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134.40</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120.72</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13.68</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rFonts w:eastAsia="黑体"/>
          <w:szCs w:val="30"/>
        </w:rPr>
      </w:pP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年“三公”经费预算数为</w:t>
      </w:r>
      <w:r>
        <w:rPr>
          <w:rFonts w:hint="eastAsia" w:ascii="仿宋_GB2312" w:hAnsi="仿宋_GB2312" w:cs="仿宋_GB2312"/>
          <w:szCs w:val="32"/>
          <w:lang w:val="en-US" w:eastAsia="zh-CN"/>
        </w:rPr>
        <w:t>0.50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lang w:val="en-US" w:eastAsia="zh-CN"/>
        </w:rPr>
        <w:t>0.50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w:t>
      </w:r>
      <w:r>
        <w:rPr>
          <w:rFonts w:hint="eastAsia" w:ascii="仿宋_GB2312" w:hAnsi="仿宋_GB2312" w:cs="仿宋_GB2312"/>
          <w:szCs w:val="32"/>
          <w:lang w:eastAsia="zh-CN"/>
        </w:rPr>
        <w:t>减少</w:t>
      </w:r>
      <w:r>
        <w:rPr>
          <w:rFonts w:hint="eastAsia" w:ascii="仿宋_GB2312" w:hAnsi="仿宋_GB2312" w:cs="仿宋_GB2312"/>
          <w:szCs w:val="32"/>
          <w:lang w:val="en-US" w:eastAsia="zh-CN"/>
        </w:rPr>
        <w:t>0.53</w:t>
      </w:r>
      <w:r>
        <w:rPr>
          <w:rFonts w:hint="eastAsia" w:ascii="仿宋_GB2312" w:hAnsi="仿宋_GB2312" w:eastAsia="仿宋_GB2312" w:cs="仿宋_GB2312"/>
          <w:szCs w:val="32"/>
        </w:rPr>
        <w:t>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无</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lang w:val="en-US" w:eastAsia="zh-CN"/>
        </w:rPr>
        <w:t>0.50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0.50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w:t>
      </w:r>
      <w:r>
        <w:rPr>
          <w:rFonts w:hint="eastAsia" w:ascii="仿宋_GB2312" w:hAnsi="仿宋_GB2312" w:cs="仿宋_GB2312"/>
          <w:szCs w:val="32"/>
          <w:lang w:eastAsia="zh-CN"/>
        </w:rPr>
        <w:t>减少</w:t>
      </w:r>
      <w:r>
        <w:rPr>
          <w:rFonts w:hint="eastAsia" w:ascii="仿宋_GB2312" w:hAnsi="仿宋_GB2312" w:cs="仿宋_GB2312"/>
          <w:szCs w:val="32"/>
          <w:lang w:val="en-US" w:eastAsia="zh-CN"/>
        </w:rPr>
        <w:t>0.53</w:t>
      </w:r>
      <w:r>
        <w:rPr>
          <w:rFonts w:hint="eastAsia" w:ascii="仿宋_GB2312" w:hAnsi="仿宋_GB2312" w:eastAsia="仿宋_GB2312" w:cs="仿宋_GB2312"/>
          <w:szCs w:val="32"/>
        </w:rPr>
        <w:t>万元，主要原因</w:t>
      </w:r>
      <w:r>
        <w:rPr>
          <w:rFonts w:hint="eastAsia" w:ascii="仿宋_GB2312" w:hAnsi="仿宋_GB2312" w:eastAsia="仿宋_GB2312" w:cs="仿宋_GB2312"/>
          <w:color w:val="auto"/>
          <w:szCs w:val="32"/>
        </w:rPr>
        <w:t>是</w:t>
      </w:r>
      <w:r>
        <w:rPr>
          <w:rFonts w:hint="eastAsia" w:ascii="仿宋_GB2312" w:hAnsi="仿宋_GB2312" w:cs="仿宋_GB2312"/>
          <w:color w:val="auto"/>
          <w:szCs w:val="32"/>
          <w:lang w:eastAsia="zh-CN"/>
        </w:rPr>
        <w:t>预计</w:t>
      </w:r>
      <w:r>
        <w:rPr>
          <w:rFonts w:hint="eastAsia" w:ascii="仿宋_GB2312" w:hAnsi="仿宋_GB2312" w:cs="仿宋_GB2312"/>
          <w:color w:val="auto"/>
          <w:szCs w:val="32"/>
          <w:lang w:val="en-US" w:eastAsia="zh-CN"/>
        </w:rPr>
        <w:t>政府招商引资公务接待费用减少</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万元。公务用车运行维护费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无</w:t>
      </w:r>
      <w:r>
        <w:rPr>
          <w:rFonts w:hint="eastAsia" w:ascii="仿宋_GB2312" w:hAnsi="仿宋_GB2312" w:eastAsia="仿宋_GB2312" w:cs="仿宋_GB2312"/>
          <w:szCs w:val="32"/>
        </w:rPr>
        <w:t>；公务用车购置费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无</w:t>
      </w:r>
      <w:r>
        <w:rPr>
          <w:rFonts w:hint="eastAsia" w:ascii="仿宋_GB2312" w:hAnsi="仿宋_GB2312" w:eastAsia="仿宋_GB2312" w:cs="仿宋_GB2312"/>
          <w:szCs w:val="32"/>
        </w:rPr>
        <w:t>。</w:t>
      </w:r>
    </w:p>
    <w:p>
      <w:pPr>
        <w:ind w:firstLine="640" w:firstLineChars="200"/>
        <w:rPr>
          <w:rFonts w:hint="eastAsia" w:ascii="仿宋_GB2312" w:hAnsi="仿宋_GB2312" w:eastAsia="仿宋_GB2312" w:cs="仿宋_GB2312"/>
          <w:szCs w:val="32"/>
        </w:rPr>
      </w:pPr>
    </w:p>
    <w:p>
      <w:pPr>
        <w:ind w:firstLine="640" w:firstLineChars="200"/>
        <w:rPr>
          <w:rFonts w:eastAsia="楷体"/>
          <w:szCs w:val="32"/>
        </w:rPr>
      </w:pPr>
    </w:p>
    <w:p>
      <w:pPr>
        <w:ind w:firstLine="640" w:firstLineChars="200"/>
        <w:rPr>
          <w:rFonts w:eastAsia="黑体"/>
          <w:szCs w:val="32"/>
        </w:rPr>
      </w:pP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年政府性基金预算支出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hint="eastAsia" w:ascii="仿宋_GB2312" w:hAnsi="仿宋_GB2312" w:cs="仿宋_GB2312"/>
          <w:szCs w:val="32"/>
          <w:highlight w:val="none"/>
          <w:lang w:val="en-US" w:eastAsia="zh-CN"/>
        </w:rPr>
        <w:t>无</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hint="eastAsia" w:ascii="仿宋_GB2312" w:hAnsi="仿宋_GB2312" w:cs="仿宋_GB2312"/>
          <w:szCs w:val="32"/>
          <w:highlight w:val="none"/>
          <w:lang w:val="en-US" w:eastAsia="zh-CN"/>
        </w:rPr>
        <w:t>无</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hint="eastAsia" w:ascii="仿宋_GB2312" w:hAnsi="仿宋_GB2312" w:cs="仿宋_GB2312"/>
          <w:szCs w:val="32"/>
          <w:highlight w:val="none"/>
          <w:lang w:val="en-US" w:eastAsia="zh-CN"/>
        </w:rPr>
        <w:t>无</w:t>
      </w:r>
      <w:r>
        <w:rPr>
          <w:rFonts w:hint="eastAsia" w:ascii="仿宋_GB2312" w:hAnsi="仿宋_GB2312" w:eastAsia="仿宋_GB2312" w:cs="仿宋_GB2312"/>
          <w:szCs w:val="32"/>
          <w:highlight w:val="none"/>
        </w:rPr>
        <w:t>。</w:t>
      </w:r>
    </w:p>
    <w:p>
      <w:pPr>
        <w:ind w:firstLine="640"/>
        <w:rPr>
          <w:szCs w:val="32"/>
        </w:rPr>
      </w:pPr>
      <w:r>
        <w:rPr>
          <w:rFonts w:hint="eastAsia" w:ascii="仿宋_GB2312" w:hAnsi="仿宋_GB2312" w:eastAsia="仿宋_GB2312" w:cs="仿宋_GB2312"/>
          <w:szCs w:val="32"/>
          <w:highlight w:val="none"/>
        </w:rPr>
        <w:t>农林水支出（类）支出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hint="eastAsia" w:ascii="仿宋_GB2312" w:hAnsi="仿宋_GB2312" w:cs="仿宋_GB2312"/>
          <w:szCs w:val="32"/>
          <w:highlight w:val="none"/>
          <w:lang w:val="en-US" w:eastAsia="zh-CN"/>
        </w:rPr>
        <w:t>无</w:t>
      </w:r>
      <w:r>
        <w:rPr>
          <w:rFonts w:hint="eastAsia" w:ascii="仿宋_GB2312" w:hAnsi="仿宋_GB2312" w:eastAsia="仿宋_GB2312" w:cs="仿宋_GB2312"/>
          <w:szCs w:val="32"/>
          <w:highlight w:val="none"/>
        </w:rPr>
        <w:t>。</w:t>
      </w: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w:t>
      </w:r>
      <w:r>
        <w:rPr>
          <w:rFonts w:hint="eastAsia" w:ascii="仿宋_GB2312" w:hAnsi="仿宋_GB2312" w:cs="仿宋_GB2312"/>
          <w:szCs w:val="32"/>
          <w:highlight w:val="none"/>
          <w:lang w:val="en-US" w:eastAsia="zh-CN"/>
        </w:rPr>
        <w:t>4</w:t>
      </w:r>
      <w:r>
        <w:rPr>
          <w:rFonts w:hint="eastAsia" w:ascii="仿宋_GB2312" w:hAnsi="仿宋_GB2312" w:eastAsia="仿宋_GB2312" w:cs="仿宋_GB2312"/>
          <w:szCs w:val="32"/>
          <w:highlight w:val="none"/>
        </w:rPr>
        <w:t>年国有资本经营预算支出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万元，其中：基本支出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%；项目支出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hint="eastAsia" w:ascii="仿宋_GB2312" w:hAnsi="仿宋_GB2312" w:cs="仿宋_GB2312"/>
          <w:szCs w:val="32"/>
          <w:highlight w:val="none"/>
          <w:lang w:val="en-US" w:eastAsia="zh-CN"/>
        </w:rPr>
        <w:t>无</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hint="eastAsia" w:ascii="仿宋_GB2312" w:hAnsi="仿宋_GB2312" w:cs="仿宋_GB2312"/>
          <w:szCs w:val="32"/>
          <w:highlight w:val="none"/>
          <w:lang w:val="en-US" w:eastAsia="zh-CN"/>
        </w:rPr>
        <w:t>无</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hint="eastAsia" w:ascii="仿宋_GB2312" w:hAnsi="仿宋_GB2312" w:cs="仿宋_GB2312"/>
          <w:szCs w:val="32"/>
          <w:highlight w:val="none"/>
          <w:lang w:val="en-US" w:eastAsia="zh-CN"/>
        </w:rPr>
        <w:t>无</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hint="eastAsia" w:ascii="仿宋_GB2312" w:hAnsi="仿宋_GB2312" w:cs="仿宋_GB2312"/>
          <w:szCs w:val="32"/>
          <w:highlight w:val="none"/>
          <w:lang w:val="en-US" w:eastAsia="zh-CN"/>
        </w:rPr>
        <w:t>无</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w:t>
      </w:r>
      <w:r>
        <w:rPr>
          <w:rFonts w:hint="eastAsia" w:ascii="仿宋_GB2312" w:hAnsi="仿宋_GB2312" w:cs="仿宋_GB2312"/>
          <w:szCs w:val="32"/>
          <w:highlight w:val="none"/>
          <w:lang w:val="en-US" w:eastAsia="zh-CN"/>
        </w:rPr>
        <w:t>4</w:t>
      </w:r>
      <w:r>
        <w:rPr>
          <w:rFonts w:hint="eastAsia" w:ascii="仿宋_GB2312" w:hAnsi="仿宋_GB2312" w:eastAsia="仿宋_GB2312" w:cs="仿宋_GB2312"/>
          <w:szCs w:val="32"/>
          <w:highlight w:val="none"/>
        </w:rPr>
        <w:t>年国有资本经营预算支出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万元，其中：基本支出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%；项目支出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hint="eastAsia" w:ascii="仿宋_GB2312" w:hAnsi="仿宋_GB2312" w:cs="仿宋_GB2312"/>
          <w:szCs w:val="32"/>
          <w:highlight w:val="none"/>
          <w:lang w:val="en-US" w:eastAsia="zh-CN"/>
        </w:rPr>
        <w:t>无</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hint="eastAsia" w:ascii="仿宋_GB2312" w:hAnsi="仿宋_GB2312" w:cs="仿宋_GB2312"/>
          <w:szCs w:val="32"/>
          <w:highlight w:val="none"/>
          <w:lang w:val="en-US" w:eastAsia="zh-CN"/>
        </w:rPr>
        <w:t>无</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hint="eastAsia" w:ascii="仿宋_GB2312" w:hAnsi="仿宋_GB2312" w:cs="仿宋_GB2312"/>
          <w:szCs w:val="32"/>
          <w:highlight w:val="none"/>
          <w:lang w:val="en-US" w:eastAsia="zh-CN"/>
        </w:rPr>
        <w:t>无</w:t>
      </w:r>
      <w:r>
        <w:rPr>
          <w:rFonts w:hint="eastAsia" w:ascii="仿宋_GB2312" w:hAnsi="仿宋_GB2312" w:eastAsia="仿宋_GB2312" w:cs="仿宋_GB2312"/>
          <w:szCs w:val="32"/>
          <w:highlight w:val="none"/>
        </w:rPr>
        <w:t>。</w:t>
      </w:r>
    </w:p>
    <w:p>
      <w:pPr>
        <w:ind w:firstLine="640"/>
        <w:rPr>
          <w:rFonts w:eastAsia="楷体"/>
          <w:szCs w:val="32"/>
        </w:rPr>
      </w:pPr>
      <w:r>
        <w:rPr>
          <w:rFonts w:hint="eastAsia" w:ascii="仿宋_GB2312" w:hAnsi="仿宋_GB2312" w:eastAsia="仿宋_GB2312" w:cs="仿宋_GB2312"/>
          <w:szCs w:val="32"/>
          <w:highlight w:val="none"/>
        </w:rPr>
        <w:t>其他国有资本经营预算（款）支出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%，主要用于</w:t>
      </w:r>
      <w:r>
        <w:rPr>
          <w:rFonts w:hint="eastAsia" w:ascii="仿宋_GB2312" w:hAnsi="仿宋_GB2312" w:cs="仿宋_GB2312"/>
          <w:szCs w:val="32"/>
          <w:highlight w:val="none"/>
          <w:lang w:val="en-US" w:eastAsia="zh-CN"/>
        </w:rPr>
        <w:t>无</w:t>
      </w:r>
      <w:r>
        <w:rPr>
          <w:rFonts w:hint="eastAsia" w:ascii="仿宋_GB2312" w:hAnsi="仿宋_GB2312" w:eastAsia="仿宋_GB2312" w:cs="仿宋_GB2312"/>
          <w:szCs w:val="32"/>
          <w:highlight w:val="none"/>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年部门本级、</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等</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家行政单位以及</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等</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家参公管理事业单位的机关运行经费财政拨款预算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万元，增长（下降）</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%，主要原因是</w:t>
      </w:r>
      <w:r>
        <w:rPr>
          <w:rFonts w:hint="eastAsia" w:ascii="仿宋_GB2312" w:hAnsi="仿宋_GB2312" w:cs="仿宋_GB2312"/>
          <w:szCs w:val="32"/>
          <w:lang w:val="en-US" w:eastAsia="zh-CN"/>
        </w:rPr>
        <w:t>无</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年政府采购预算总额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万元，其中：政府采购货物预算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万元、政府采购工程预算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万元、政府采购服务预算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w:t>
      </w:r>
      <w:r>
        <w:rPr>
          <w:rFonts w:hint="eastAsia" w:ascii="仿宋_GB2312" w:hAnsi="仿宋_GB2312" w:cs="仿宋_GB2312"/>
          <w:szCs w:val="32"/>
          <w:lang w:val="en-US" w:eastAsia="zh-CN"/>
        </w:rPr>
        <w:t>12</w:t>
      </w:r>
      <w:r>
        <w:rPr>
          <w:rFonts w:hint="eastAsia" w:ascii="仿宋_GB2312" w:hAnsi="仿宋_GB2312" w:eastAsia="仿宋_GB2312" w:cs="仿宋_GB2312"/>
          <w:szCs w:val="32"/>
        </w:rPr>
        <w:t>月底，部门本级和所属各预算单位共有车辆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年部门预算安排购置车辆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p>
    <w:p>
      <w:pPr>
        <w:numPr>
          <w:ilvl w:val="0"/>
          <w:numId w:val="2"/>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w:t>
      </w:r>
      <w:r>
        <w:rPr>
          <w:rFonts w:hint="eastAsia" w:ascii="仿宋_GB2312" w:hAnsi="仿宋_GB2312" w:cs="仿宋_GB2312"/>
          <w:highlight w:val="none"/>
          <w:lang w:val="en-US" w:eastAsia="zh-CN"/>
        </w:rPr>
        <w:t>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lang w:val="en-US" w:eastAsia="zh-CN"/>
        </w:rPr>
        <w:t>60.80</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lang w:val="en-US" w:eastAsia="zh-CN"/>
        </w:rPr>
        <w:t>2</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60.80</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eastAsia="楷体"/>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w:t>
      </w:r>
      <w:r>
        <w:rPr>
          <w:rFonts w:hint="eastAsia" w:ascii="仿宋_GB2312" w:hAnsi="仿宋_GB2312" w:cs="仿宋_GB2312"/>
          <w:lang w:val="en-US" w:eastAsia="zh-CN"/>
        </w:rPr>
        <w:t>4</w:t>
      </w:r>
      <w:r>
        <w:rPr>
          <w:rFonts w:hint="eastAsia" w:ascii="仿宋_GB2312" w:hAnsi="仿宋_GB2312" w:eastAsia="仿宋_GB2312" w:cs="仿宋_GB2312"/>
        </w:rPr>
        <w:t>年确定</w:t>
      </w:r>
      <w:r>
        <w:rPr>
          <w:rFonts w:hint="eastAsia" w:ascii="仿宋_GB2312" w:hAnsi="仿宋_GB2312" w:cs="仿宋_GB2312"/>
          <w:szCs w:val="32"/>
          <w:lang w:val="en-US" w:eastAsia="zh-CN"/>
        </w:rPr>
        <w:t>2</w:t>
      </w:r>
      <w:r>
        <w:rPr>
          <w:rFonts w:hint="eastAsia" w:ascii="仿宋_GB2312" w:hAnsi="仿宋_GB2312" w:eastAsia="仿宋_GB2312" w:cs="仿宋_GB2312"/>
        </w:rPr>
        <w:t>个</w:t>
      </w:r>
      <w:r>
        <w:rPr>
          <w:rFonts w:hint="eastAsia" w:ascii="仿宋_GB2312" w:hAnsi="仿宋_GB2312" w:cs="仿宋_GB2312"/>
          <w:lang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cs="仿宋_GB2312"/>
          <w:szCs w:val="32"/>
          <w:highlight w:val="none"/>
          <w:lang w:val="en-US" w:eastAsia="zh-CN"/>
        </w:rPr>
        <w:t>60.80</w:t>
      </w:r>
      <w:r>
        <w:rPr>
          <w:rFonts w:hint="eastAsia" w:ascii="仿宋_GB2312" w:hAnsi="仿宋_GB2312" w:eastAsia="仿宋_GB2312" w:cs="仿宋_GB2312"/>
        </w:rPr>
        <w:t>万元。</w:t>
      </w:r>
    </w:p>
    <w:p>
      <w:pPr>
        <w:jc w:val="both"/>
        <w:rPr>
          <w:rFonts w:eastAsia="黑体"/>
        </w:rPr>
      </w:pPr>
    </w:p>
    <w:p>
      <w:pPr>
        <w:jc w:val="center"/>
        <w:rPr>
          <w:rFonts w:eastAsia="黑体"/>
        </w:rPr>
      </w:pPr>
      <w:bookmarkStart w:id="0" w:name="_GoBack"/>
      <w:bookmarkEnd w:id="0"/>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楷体简体">
    <w:altName w:val="宋体"/>
    <w:panose1 w:val="03000509000000000000"/>
    <w:charset w:val="86"/>
    <w:family w:val="auto"/>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8176C5"/>
    <w:multiLevelType w:val="singleLevel"/>
    <w:tmpl w:val="E58176C5"/>
    <w:lvl w:ilvl="0" w:tentative="0">
      <w:start w:val="2"/>
      <w:numFmt w:val="chineseCounting"/>
      <w:suff w:val="nothing"/>
      <w:lvlText w:val="（%1）"/>
      <w:lvlJc w:val="left"/>
      <w:rPr>
        <w:rFonts w:hint="eastAsia"/>
      </w:rPr>
    </w:lvl>
  </w:abstractNum>
  <w:abstractNum w:abstractNumId="1">
    <w:nsid w:val="601A1281"/>
    <w:multiLevelType w:val="singleLevel"/>
    <w:tmpl w:val="601A1281"/>
    <w:lvl w:ilvl="0" w:tentative="0">
      <w:start w:val="4"/>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mNmQwNGI3ZjgzMTY2YTE4OTlhMDRhMzliNDdjMz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8093DB9"/>
    <w:rsid w:val="093307DE"/>
    <w:rsid w:val="09A0082A"/>
    <w:rsid w:val="0A334D52"/>
    <w:rsid w:val="0AAC6726"/>
    <w:rsid w:val="0ABA06FE"/>
    <w:rsid w:val="0B5F5ADA"/>
    <w:rsid w:val="0B710869"/>
    <w:rsid w:val="0B890FC9"/>
    <w:rsid w:val="0C2A5C84"/>
    <w:rsid w:val="0DA001B0"/>
    <w:rsid w:val="0DB6446C"/>
    <w:rsid w:val="0DEB170B"/>
    <w:rsid w:val="0E4C7841"/>
    <w:rsid w:val="0F3E0406"/>
    <w:rsid w:val="0F515C7A"/>
    <w:rsid w:val="0F8B592F"/>
    <w:rsid w:val="0FD62F63"/>
    <w:rsid w:val="104A0BB3"/>
    <w:rsid w:val="107728C7"/>
    <w:rsid w:val="10AE7F82"/>
    <w:rsid w:val="10C93B35"/>
    <w:rsid w:val="11177619"/>
    <w:rsid w:val="111A2EF7"/>
    <w:rsid w:val="112605C8"/>
    <w:rsid w:val="12E711B7"/>
    <w:rsid w:val="136D62BD"/>
    <w:rsid w:val="13F21722"/>
    <w:rsid w:val="1441443C"/>
    <w:rsid w:val="14C12787"/>
    <w:rsid w:val="15593E10"/>
    <w:rsid w:val="159F7E25"/>
    <w:rsid w:val="15F848D0"/>
    <w:rsid w:val="160E1FA5"/>
    <w:rsid w:val="160F2600"/>
    <w:rsid w:val="17765BCA"/>
    <w:rsid w:val="17A027D8"/>
    <w:rsid w:val="18A50D2B"/>
    <w:rsid w:val="1A817DF8"/>
    <w:rsid w:val="1ADC594E"/>
    <w:rsid w:val="1AEB5252"/>
    <w:rsid w:val="1C852172"/>
    <w:rsid w:val="1CA40C0C"/>
    <w:rsid w:val="1CFF4A32"/>
    <w:rsid w:val="1D833200"/>
    <w:rsid w:val="1DF34788"/>
    <w:rsid w:val="1E2D59A2"/>
    <w:rsid w:val="1E3A3FD0"/>
    <w:rsid w:val="1EB55C07"/>
    <w:rsid w:val="1F351A10"/>
    <w:rsid w:val="1FED47E9"/>
    <w:rsid w:val="206816AC"/>
    <w:rsid w:val="22A4003E"/>
    <w:rsid w:val="23984063"/>
    <w:rsid w:val="23CE11F0"/>
    <w:rsid w:val="23EC61F6"/>
    <w:rsid w:val="244C543C"/>
    <w:rsid w:val="24624768"/>
    <w:rsid w:val="2539376C"/>
    <w:rsid w:val="254C6FAD"/>
    <w:rsid w:val="259B5BC5"/>
    <w:rsid w:val="25C7462E"/>
    <w:rsid w:val="25F62C4E"/>
    <w:rsid w:val="265718D7"/>
    <w:rsid w:val="26643D6C"/>
    <w:rsid w:val="26FE109D"/>
    <w:rsid w:val="27073E1E"/>
    <w:rsid w:val="27B04AB3"/>
    <w:rsid w:val="27EF70C5"/>
    <w:rsid w:val="28A63332"/>
    <w:rsid w:val="29C45F2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5739AE"/>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6B1E42"/>
    <w:rsid w:val="43993170"/>
    <w:rsid w:val="44054362"/>
    <w:rsid w:val="449C5E6A"/>
    <w:rsid w:val="456D114B"/>
    <w:rsid w:val="45EB670F"/>
    <w:rsid w:val="461140A0"/>
    <w:rsid w:val="46AB7C0D"/>
    <w:rsid w:val="46D44808"/>
    <w:rsid w:val="47CF49E6"/>
    <w:rsid w:val="4843587B"/>
    <w:rsid w:val="48674ED2"/>
    <w:rsid w:val="487708E6"/>
    <w:rsid w:val="49645F71"/>
    <w:rsid w:val="499F5C68"/>
    <w:rsid w:val="4A211D74"/>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3852DC9"/>
    <w:rsid w:val="54741940"/>
    <w:rsid w:val="54810E66"/>
    <w:rsid w:val="54C2556E"/>
    <w:rsid w:val="55480EEF"/>
    <w:rsid w:val="56570E30"/>
    <w:rsid w:val="57AE5C26"/>
    <w:rsid w:val="57C245EC"/>
    <w:rsid w:val="57DD75A9"/>
    <w:rsid w:val="58256ABD"/>
    <w:rsid w:val="59472AC7"/>
    <w:rsid w:val="595B63EC"/>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14125C2"/>
    <w:rsid w:val="624C5C52"/>
    <w:rsid w:val="63952BB5"/>
    <w:rsid w:val="63DF08E4"/>
    <w:rsid w:val="64127E15"/>
    <w:rsid w:val="64C04AFD"/>
    <w:rsid w:val="661A7B69"/>
    <w:rsid w:val="664909C1"/>
    <w:rsid w:val="66C63EB5"/>
    <w:rsid w:val="677772D0"/>
    <w:rsid w:val="679461D3"/>
    <w:rsid w:val="6858287E"/>
    <w:rsid w:val="69157114"/>
    <w:rsid w:val="691A443E"/>
    <w:rsid w:val="6A80735F"/>
    <w:rsid w:val="6ACC5E47"/>
    <w:rsid w:val="6AD43ED1"/>
    <w:rsid w:val="6B11024D"/>
    <w:rsid w:val="6B7D5B36"/>
    <w:rsid w:val="6CF120A8"/>
    <w:rsid w:val="714213DD"/>
    <w:rsid w:val="717F272E"/>
    <w:rsid w:val="728027C6"/>
    <w:rsid w:val="72D54D7C"/>
    <w:rsid w:val="737664E0"/>
    <w:rsid w:val="73C40930"/>
    <w:rsid w:val="73FE7ACC"/>
    <w:rsid w:val="74053F35"/>
    <w:rsid w:val="74556746"/>
    <w:rsid w:val="74AB7A24"/>
    <w:rsid w:val="76BB79B1"/>
    <w:rsid w:val="76C17E06"/>
    <w:rsid w:val="76CA67BD"/>
    <w:rsid w:val="774E6400"/>
    <w:rsid w:val="775B0046"/>
    <w:rsid w:val="78796248"/>
    <w:rsid w:val="79700BEF"/>
    <w:rsid w:val="798476A8"/>
    <w:rsid w:val="79F85634"/>
    <w:rsid w:val="7A090695"/>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36</Pages>
  <Words>9928</Words>
  <Characters>11115</Characters>
  <Lines>71</Lines>
  <Paragraphs>20</Paragraphs>
  <TotalTime>9</TotalTime>
  <ScaleCrop>false</ScaleCrop>
  <LinksUpToDate>false</LinksUpToDate>
  <CharactersWithSpaces>11687</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2024-01-31T08:32:05Z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commondata">
    <vt:lpwstr>eyJoZGlkIjoiZWM5MjE1YWFmYzZkMzU5ZGRkN2NlNjYxOGIzMjAyOWQifQ==</vt:lpwstr>
  </property>
  <property fmtid="{D5CDD505-2E9C-101B-9397-08002B2CF9AE}" pid="4" name="ICV">
    <vt:lpwstr>C1BF9BAD88D840298621F7E8335B6CF1_13</vt:lpwstr>
  </property>
</Properties>
</file>