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通榆县环境卫生管理处</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lang w:val="en-US" w:eastAsia="zh-CN"/>
        </w:rPr>
      </w:pPr>
      <w:r>
        <w:rPr>
          <w:rFonts w:hint="eastAsia"/>
          <w:color w:val="000000"/>
          <w:szCs w:val="32"/>
          <w:lang w:eastAsia="zh-CN"/>
        </w:rPr>
        <w:t>（</w:t>
      </w:r>
      <w:r>
        <w:rPr>
          <w:rFonts w:hint="eastAsia"/>
          <w:color w:val="000000"/>
          <w:szCs w:val="32"/>
          <w:lang w:val="en-US" w:eastAsia="zh-CN"/>
        </w:rPr>
        <w:t>一</w:t>
      </w:r>
      <w:r>
        <w:rPr>
          <w:rFonts w:hint="eastAsia"/>
          <w:color w:val="000000"/>
          <w:szCs w:val="32"/>
          <w:lang w:eastAsia="zh-CN"/>
        </w:rPr>
        <w:t>）</w:t>
      </w:r>
      <w:r>
        <w:rPr>
          <w:rFonts w:hint="eastAsia"/>
          <w:color w:val="000000"/>
          <w:szCs w:val="32"/>
          <w:lang w:val="en-US" w:eastAsia="zh-CN"/>
        </w:rPr>
        <w:t>负责制定适合本县环境卫生监督管理的规章制度，面向社会提供基本公益服务，宗旨、业务范围和服务规范由国家确定。</w:t>
      </w:r>
    </w:p>
    <w:p>
      <w:pPr>
        <w:ind w:firstLine="640" w:firstLineChars="200"/>
        <w:rPr>
          <w:rFonts w:hint="eastAsia"/>
          <w:color w:val="000000"/>
          <w:szCs w:val="32"/>
          <w:lang w:val="en-US" w:eastAsia="zh-CN"/>
        </w:rPr>
      </w:pPr>
      <w:r>
        <w:rPr>
          <w:rFonts w:hint="eastAsia"/>
          <w:color w:val="000000"/>
          <w:szCs w:val="32"/>
          <w:lang w:val="en-US" w:eastAsia="zh-CN"/>
        </w:rPr>
        <w:t>（二）负责环境卫生作业管理，包括清扫、保洁、垃圾运输处理及各类环境卫生设施建设与运营管理，无经营活动，不能由市场配置源。</w:t>
      </w:r>
    </w:p>
    <w:p>
      <w:pPr>
        <w:ind w:firstLine="640" w:firstLineChars="200"/>
        <w:rPr>
          <w:rFonts w:hint="eastAsia"/>
          <w:color w:val="000000"/>
          <w:szCs w:val="32"/>
          <w:lang w:val="en-US" w:eastAsia="zh-CN"/>
        </w:rPr>
      </w:pPr>
      <w:r>
        <w:rPr>
          <w:rFonts w:hint="eastAsia"/>
          <w:color w:val="000000"/>
          <w:szCs w:val="32"/>
          <w:lang w:val="en-US" w:eastAsia="zh-CN"/>
        </w:rPr>
        <w:t>（三）负责制定城市环境卫生工作职责分工。</w:t>
      </w:r>
    </w:p>
    <w:p>
      <w:pPr>
        <w:ind w:firstLine="640" w:firstLineChars="200"/>
        <w:rPr>
          <w:rFonts w:hint="default"/>
          <w:color w:val="000000"/>
          <w:szCs w:val="32"/>
          <w:lang w:val="en-US" w:eastAsia="zh-CN"/>
        </w:rPr>
      </w:pPr>
      <w:r>
        <w:rPr>
          <w:rFonts w:hint="eastAsia"/>
          <w:color w:val="000000"/>
          <w:szCs w:val="32"/>
          <w:lang w:val="en-US" w:eastAsia="zh-CN"/>
        </w:rPr>
        <w:t>（四）负责城市环境卫生知识及法律、法规宣传，增强公民的环境卫生意识，促进公民养成良好的文明习惯。</w:t>
      </w:r>
    </w:p>
    <w:p>
      <w:pPr>
        <w:rPr>
          <w:rFonts w:hint="default"/>
          <w:color w:val="000000"/>
          <w:szCs w:val="32"/>
          <w:lang w:val="en-US" w:eastAsia="zh-CN"/>
        </w:rPr>
      </w:pPr>
    </w:p>
    <w:p>
      <w:pPr>
        <w:rPr>
          <w:rFonts w:hint="eastAsia" w:ascii="仿宋_GB2312" w:hAnsi="仿宋_GB2312" w:eastAsia="仿宋_GB2312" w:cs="仿宋_GB2312"/>
          <w:color w:val="000000"/>
          <w:szCs w:val="32"/>
        </w:rPr>
      </w:pP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（按照部门“三定”方案表述）</w:t>
      </w:r>
    </w:p>
    <w:p>
      <w:pPr>
        <w:rPr>
          <w:rFonts w:hint="eastAsia" w:ascii="仿宋_GB2312" w:hAnsi="仿宋_GB2312" w:eastAsia="仿宋_GB2312" w:cs="仿宋_GB2312"/>
          <w:color w:val="000000"/>
          <w:szCs w:val="32"/>
        </w:rPr>
      </w:pP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p>
    <w:p>
      <w:pPr>
        <w:pStyle w:val="51"/>
        <w:ind w:firstLine="640" w:firstLineChars="200"/>
        <w:rPr>
          <w:rFonts w:hint="default" w:eastAsia="仿宋_GB2312"/>
          <w:lang w:val="en-US" w:eastAsia="zh-CN"/>
        </w:rPr>
      </w:pPr>
      <w:r>
        <w:rPr>
          <w:rFonts w:hint="eastAsia" w:eastAsia="仿宋_GB2312"/>
          <w:lang w:val="en-US" w:eastAsia="zh-CN"/>
        </w:rPr>
        <w:t>根据上述职责，通榆县环境卫生管理处内设10个科室</w:t>
      </w:r>
      <w:r>
        <w:rPr>
          <w:rFonts w:eastAsia="仿宋_GB2312"/>
        </w:rPr>
        <w:t>，</w:t>
      </w:r>
      <w:r>
        <w:rPr>
          <w:rFonts w:hint="eastAsia" w:eastAsia="仿宋_GB2312"/>
          <w:lang w:val="en-US" w:eastAsia="zh-CN"/>
        </w:rPr>
        <w:t>分别为办公室、财会室、综合科、督查科、一级保洁、二级保洁、</w:t>
      </w:r>
    </w:p>
    <w:p>
      <w:pPr>
        <w:pStyle w:val="51"/>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车队、水冲公厕、工会、党办。</w:t>
      </w: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2421.78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2412.18</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2421.78</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2412.18</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9.6</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2286.01</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2276.41</w:t>
            </w:r>
          </w:p>
        </w:tc>
        <w:tc>
          <w:tcPr>
            <w:tcW w:w="1158"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9.6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71.36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71.36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41.56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41.56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22.85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22.85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2421.78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2412.18</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2421.78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2412.18</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2421.78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2412.18</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2421.78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2412.18</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ind w:firstLine="202" w:firstLineChars="0"/>
              <w:jc w:val="left"/>
              <w:rPr>
                <w:rFonts w:hint="default" w:eastAsia="宋体"/>
                <w:color w:val="000000"/>
                <w:sz w:val="20"/>
                <w:lang w:val="en-US" w:eastAsia="zh-CN"/>
              </w:rPr>
            </w:pPr>
            <w:r>
              <w:rPr>
                <w:rFonts w:hint="eastAsia" w:eastAsia="宋体"/>
                <w:color w:val="000000"/>
                <w:sz w:val="20"/>
                <w:lang w:val="en-US" w:eastAsia="zh-CN"/>
              </w:rPr>
              <w:t>通榆县环境卫生管理处</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2421.78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2412.18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2412.18</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9.6</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9.6</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四、城乡社区支出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2286.01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403.46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城乡社区环境卫生</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2286.01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403.46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城乡社区环境卫生</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2286.01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403.46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2421.78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539.23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2421.78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2412.18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2421.78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2412.18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9.6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71.36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71.36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22.85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22.85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2286.01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2276.41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9.6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41.56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2421.78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2412.18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9.6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2421.78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2412.18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9.6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2421.78</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2412.18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9.6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2421.78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2412.18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9.6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13.53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2286.01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城乡社区环境卫生</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2286.01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城乡社区环境卫生</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2286.01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2421.78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497.95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1882.55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合计</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539.23</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497.95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41.28</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486.79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lang w:val="en-US" w:eastAsia="zh-CN"/>
              </w:rPr>
              <w:t>486.79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186.56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186.56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12.46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38.54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38.54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108.75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108.75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55.40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55.40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13.53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22.16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w:t>
            </w: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3.11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41.56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4.72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40.28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40.28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咨询费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维修费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lang w:val="en-US" w:eastAsia="zh-CN"/>
              </w:rPr>
            </w:pPr>
            <w:r>
              <w:rPr>
                <w:rFonts w:hint="eastAsia"/>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专用燃料费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15.88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15.88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11.16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11.16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11.16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11.16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lang w:val="en-US" w:eastAsia="zh-CN"/>
              </w:rPr>
            </w:pPr>
            <w:r>
              <w:rPr>
                <w:rFonts w:hint="eastAsia"/>
                <w:lang w:val="en-US" w:eastAsia="zh-CN"/>
              </w:rPr>
              <w:t>1</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553</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int="default" w:eastAsia="楷体"/>
          <w:kern w:val="0"/>
          <w:szCs w:val="32"/>
          <w:lang w:val="en-US" w:eastAsia="zh-CN"/>
        </w:rPr>
      </w:pPr>
      <w:r>
        <w:rPr>
          <w:rFonts w:eastAsia="楷体"/>
          <w:kern w:val="0"/>
          <w:szCs w:val="32"/>
        </w:rPr>
        <w:t xml:space="preserve"> </w:t>
      </w:r>
    </w:p>
    <w:p>
      <w:pPr>
        <w:ind w:firstLine="640" w:firstLineChars="200"/>
        <w:rPr>
          <w:rFonts w:eastAsia="楷体"/>
          <w:kern w:val="0"/>
          <w:szCs w:val="32"/>
        </w:rPr>
      </w:pPr>
    </w:p>
    <w:p>
      <w:pPr>
        <w:ind w:firstLine="640" w:firstLineChars="200"/>
        <w:rPr>
          <w:rFonts w:eastAsia="楷体"/>
          <w:kern w:val="0"/>
          <w:szCs w:val="32"/>
        </w:rPr>
      </w:pPr>
    </w:p>
    <w:p>
      <w:pPr>
        <w:ind w:firstLine="640" w:firstLineChars="200"/>
        <w:rPr>
          <w:rFonts w:eastAsia="楷体"/>
          <w:kern w:val="0"/>
          <w:szCs w:val="32"/>
        </w:rPr>
      </w:pP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357" w:tblpY="1441"/>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both"/>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920"/>
        <w:gridCol w:w="1380"/>
        <w:gridCol w:w="690"/>
        <w:gridCol w:w="771"/>
        <w:gridCol w:w="799"/>
        <w:gridCol w:w="360"/>
        <w:gridCol w:w="460"/>
        <w:gridCol w:w="690"/>
        <w:gridCol w:w="240"/>
        <w:gridCol w:w="659"/>
        <w:gridCol w:w="381"/>
        <w:gridCol w:w="206"/>
        <w:gridCol w:w="74"/>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78" w:type="dxa"/>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78" w:type="dxa"/>
          <w:trHeight w:val="400" w:hRule="atLeast"/>
          <w:jc w:val="center"/>
        </w:trPr>
        <w:tc>
          <w:tcPr>
            <w:tcW w:w="92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2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8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7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19"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17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725" w:hRule="atLeast"/>
          <w:jc w:val="center"/>
        </w:trPr>
        <w:tc>
          <w:tcPr>
            <w:tcW w:w="9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30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7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19"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89"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38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28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25" w:type="dxa"/>
            <w:vMerge w:val="continue"/>
            <w:noWrap w:val="0"/>
            <w:vAlign w:val="center"/>
          </w:tcPr>
          <w:p>
            <w:pPr>
              <w:autoSpaceDN w:val="0"/>
              <w:jc w:val="center"/>
              <w:textAlignment w:val="center"/>
              <w:rPr>
                <w:rFonts w:ascii="Calibri" w:hAnsi="Calibri" w:eastAsia="华文细黑"/>
                <w:color w:val="000000"/>
                <w:sz w:val="20"/>
                <w:szCs w:val="22"/>
              </w:rPr>
            </w:pPr>
          </w:p>
        </w:tc>
        <w:tc>
          <w:tcPr>
            <w:tcW w:w="9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38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90" w:type="dxa"/>
            <w:vMerge w:val="continue"/>
            <w:noWrap w:val="0"/>
            <w:vAlign w:val="center"/>
          </w:tcPr>
          <w:p>
            <w:pPr>
              <w:autoSpaceDN w:val="0"/>
              <w:jc w:val="center"/>
              <w:textAlignment w:val="center"/>
              <w:rPr>
                <w:rFonts w:ascii="Calibri" w:hAnsi="Calibri" w:eastAsia="华文细黑"/>
                <w:color w:val="000000"/>
                <w:sz w:val="20"/>
                <w:szCs w:val="22"/>
              </w:rPr>
            </w:pPr>
          </w:p>
        </w:tc>
        <w:tc>
          <w:tcPr>
            <w:tcW w:w="771" w:type="dxa"/>
            <w:vMerge w:val="continue"/>
            <w:noWrap w:val="0"/>
            <w:vAlign w:val="center"/>
          </w:tcPr>
          <w:p>
            <w:pPr>
              <w:autoSpaceDN w:val="0"/>
              <w:jc w:val="center"/>
              <w:textAlignment w:val="center"/>
              <w:rPr>
                <w:rFonts w:ascii="Calibri" w:hAnsi="Calibri" w:eastAsia="华文细黑"/>
                <w:color w:val="000000"/>
                <w:sz w:val="20"/>
                <w:szCs w:val="22"/>
              </w:rPr>
            </w:pPr>
          </w:p>
        </w:tc>
        <w:tc>
          <w:tcPr>
            <w:tcW w:w="79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6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69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4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5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81" w:type="dxa"/>
            <w:noWrap w:val="0"/>
            <w:vAlign w:val="center"/>
          </w:tcPr>
          <w:p>
            <w:pPr>
              <w:autoSpaceDN w:val="0"/>
              <w:jc w:val="center"/>
              <w:textAlignment w:val="center"/>
              <w:rPr>
                <w:rFonts w:hint="eastAsia" w:ascii="宋体" w:hAnsi="宋体" w:eastAsia="宋体" w:cs="宋体"/>
                <w:color w:val="000000"/>
                <w:sz w:val="20"/>
                <w:szCs w:val="22"/>
              </w:rPr>
            </w:pPr>
          </w:p>
        </w:tc>
        <w:tc>
          <w:tcPr>
            <w:tcW w:w="284" w:type="dxa"/>
            <w:gridSpan w:val="3"/>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7" w:hRule="exact"/>
          <w:jc w:val="center"/>
        </w:trPr>
        <w:tc>
          <w:tcPr>
            <w:tcW w:w="925" w:type="dxa"/>
            <w:noWrap w:val="0"/>
            <w:vAlign w:val="center"/>
          </w:tcPr>
          <w:p>
            <w:pPr>
              <w:spacing w:line="700" w:lineRule="exact"/>
              <w:jc w:val="both"/>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合计</w:t>
            </w:r>
          </w:p>
        </w:tc>
        <w:tc>
          <w:tcPr>
            <w:tcW w:w="920" w:type="dxa"/>
            <w:noWrap w:val="0"/>
            <w:vAlign w:val="center"/>
          </w:tcPr>
          <w:p>
            <w:pPr>
              <w:spacing w:line="700" w:lineRule="exact"/>
              <w:jc w:val="center"/>
              <w:rPr>
                <w:rFonts w:hint="default" w:ascii="Calibri" w:hAnsi="Calibri" w:eastAsia="楷体"/>
                <w:kern w:val="0"/>
                <w:sz w:val="21"/>
                <w:szCs w:val="21"/>
                <w:lang w:val="en-US" w:eastAsia="zh-CN"/>
              </w:rPr>
            </w:pPr>
          </w:p>
        </w:tc>
        <w:tc>
          <w:tcPr>
            <w:tcW w:w="138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1882.55</w:t>
            </w:r>
          </w:p>
        </w:tc>
        <w:tc>
          <w:tcPr>
            <w:tcW w:w="799" w:type="dxa"/>
            <w:noWrap w:val="0"/>
            <w:vAlign w:val="center"/>
          </w:tcPr>
          <w:p>
            <w:pPr>
              <w:spacing w:line="700" w:lineRule="exact"/>
              <w:jc w:val="both"/>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1872.95</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9.60</w:t>
            </w: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5" w:hRule="exact"/>
          <w:jc w:val="center"/>
        </w:trPr>
        <w:tc>
          <w:tcPr>
            <w:tcW w:w="925" w:type="dxa"/>
            <w:noWrap w:val="0"/>
            <w:vAlign w:val="center"/>
          </w:tcPr>
          <w:p>
            <w:pPr>
              <w:spacing w:line="700" w:lineRule="exact"/>
              <w:jc w:val="both"/>
              <w:rPr>
                <w:rFonts w:hint="eastAsia" w:ascii="Calibri" w:hAnsi="Calibri" w:eastAsia="楷体"/>
                <w:kern w:val="0"/>
                <w:sz w:val="21"/>
                <w:szCs w:val="21"/>
                <w:lang w:val="en-US" w:eastAsia="zh-CN"/>
              </w:rPr>
            </w:pPr>
          </w:p>
        </w:tc>
        <w:tc>
          <w:tcPr>
            <w:tcW w:w="92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2024年城管大队综合管理资金</w:t>
            </w:r>
          </w:p>
        </w:tc>
        <w:tc>
          <w:tcPr>
            <w:tcW w:w="138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1872.95</w:t>
            </w:r>
          </w:p>
        </w:tc>
        <w:tc>
          <w:tcPr>
            <w:tcW w:w="799" w:type="dxa"/>
            <w:noWrap w:val="0"/>
            <w:vAlign w:val="center"/>
          </w:tcPr>
          <w:p>
            <w:pPr>
              <w:spacing w:line="700" w:lineRule="exact"/>
              <w:jc w:val="center"/>
              <w:rPr>
                <w:rFonts w:ascii="Calibri" w:hAnsi="Calibri" w:eastAsia="楷体"/>
                <w:kern w:val="0"/>
                <w:sz w:val="21"/>
                <w:szCs w:val="21"/>
              </w:rPr>
            </w:pPr>
            <w:r>
              <w:rPr>
                <w:rFonts w:hint="eastAsia" w:ascii="Calibri" w:hAnsi="Calibri" w:eastAsia="楷体"/>
                <w:kern w:val="0"/>
                <w:sz w:val="21"/>
                <w:szCs w:val="21"/>
                <w:lang w:val="en-US" w:eastAsia="zh-CN"/>
              </w:rPr>
              <w:t>1872.95</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0"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both"/>
              <w:rPr>
                <w:rFonts w:hint="default" w:ascii="Calibri" w:hAnsi="Calibri" w:eastAsia="楷体"/>
                <w:kern w:val="0"/>
                <w:sz w:val="21"/>
                <w:szCs w:val="21"/>
                <w:lang w:val="en-US" w:eastAsia="zh-CN"/>
              </w:rPr>
            </w:pPr>
          </w:p>
        </w:tc>
        <w:tc>
          <w:tcPr>
            <w:tcW w:w="138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2024年环卫处公益性岗位及临时工工资</w:t>
            </w:r>
          </w:p>
        </w:tc>
        <w:tc>
          <w:tcPr>
            <w:tcW w:w="69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通榆县环境卫生管理处</w:t>
            </w: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1132.34</w:t>
            </w:r>
          </w:p>
        </w:tc>
        <w:tc>
          <w:tcPr>
            <w:tcW w:w="799"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1132.34</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2"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center"/>
              <w:rPr>
                <w:rFonts w:ascii="Calibri" w:hAnsi="Calibri" w:eastAsia="楷体"/>
                <w:kern w:val="0"/>
                <w:sz w:val="21"/>
                <w:szCs w:val="21"/>
              </w:rPr>
            </w:pPr>
          </w:p>
        </w:tc>
        <w:tc>
          <w:tcPr>
            <w:tcW w:w="138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2024年驻村工作队生活补贴</w:t>
            </w:r>
          </w:p>
        </w:tc>
        <w:tc>
          <w:tcPr>
            <w:tcW w:w="690" w:type="dxa"/>
            <w:noWrap w:val="0"/>
            <w:vAlign w:val="center"/>
          </w:tcPr>
          <w:p>
            <w:pPr>
              <w:spacing w:line="700" w:lineRule="exact"/>
              <w:jc w:val="center"/>
              <w:rPr>
                <w:rFonts w:ascii="Calibri" w:hAnsi="Calibri" w:eastAsia="楷体"/>
                <w:kern w:val="0"/>
                <w:sz w:val="21"/>
                <w:szCs w:val="21"/>
              </w:rPr>
            </w:pPr>
            <w:r>
              <w:rPr>
                <w:rFonts w:hint="eastAsia" w:ascii="Calibri" w:hAnsi="Calibri" w:eastAsia="楷体"/>
                <w:kern w:val="0"/>
                <w:sz w:val="21"/>
                <w:szCs w:val="21"/>
                <w:lang w:val="en-US" w:eastAsia="zh-CN"/>
              </w:rPr>
              <w:t>通榆县环境卫生管理处</w:t>
            </w: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7.20</w:t>
            </w:r>
          </w:p>
        </w:tc>
        <w:tc>
          <w:tcPr>
            <w:tcW w:w="799"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7.20</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2"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center"/>
              <w:rPr>
                <w:rFonts w:ascii="Calibri" w:hAnsi="Calibri" w:eastAsia="楷体"/>
                <w:kern w:val="0"/>
                <w:sz w:val="21"/>
                <w:szCs w:val="21"/>
              </w:rPr>
            </w:pPr>
          </w:p>
        </w:tc>
        <w:tc>
          <w:tcPr>
            <w:tcW w:w="138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水冲公厕运行费 车辆燃油修理养护费</w:t>
            </w:r>
          </w:p>
        </w:tc>
        <w:tc>
          <w:tcPr>
            <w:tcW w:w="690" w:type="dxa"/>
            <w:noWrap w:val="0"/>
            <w:vAlign w:val="center"/>
          </w:tcPr>
          <w:p>
            <w:pPr>
              <w:spacing w:line="700" w:lineRule="exact"/>
              <w:jc w:val="center"/>
              <w:rPr>
                <w:rFonts w:ascii="Calibri" w:hAnsi="Calibri" w:eastAsia="楷体"/>
                <w:kern w:val="0"/>
                <w:sz w:val="21"/>
                <w:szCs w:val="21"/>
              </w:rPr>
            </w:pPr>
            <w:r>
              <w:rPr>
                <w:rFonts w:hint="eastAsia" w:ascii="Calibri" w:hAnsi="Calibri" w:eastAsia="楷体"/>
                <w:kern w:val="0"/>
                <w:sz w:val="21"/>
                <w:szCs w:val="21"/>
                <w:lang w:val="en-US" w:eastAsia="zh-CN"/>
              </w:rPr>
              <w:t>通榆县环境卫生管理处</w:t>
            </w: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673.05</w:t>
            </w:r>
          </w:p>
        </w:tc>
        <w:tc>
          <w:tcPr>
            <w:tcW w:w="799"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673.05</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7"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center"/>
              <w:rPr>
                <w:rFonts w:ascii="Calibri" w:hAnsi="Calibri" w:eastAsia="楷体"/>
                <w:kern w:val="0"/>
                <w:sz w:val="21"/>
                <w:szCs w:val="21"/>
              </w:rPr>
            </w:pPr>
          </w:p>
        </w:tc>
        <w:tc>
          <w:tcPr>
            <w:tcW w:w="138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环卫工人用具</w:t>
            </w:r>
          </w:p>
        </w:tc>
        <w:tc>
          <w:tcPr>
            <w:tcW w:w="690" w:type="dxa"/>
            <w:noWrap w:val="0"/>
            <w:vAlign w:val="center"/>
          </w:tcPr>
          <w:p>
            <w:pPr>
              <w:spacing w:line="700" w:lineRule="exact"/>
              <w:jc w:val="center"/>
              <w:rPr>
                <w:rFonts w:ascii="Calibri" w:hAnsi="Calibri" w:eastAsia="楷体"/>
                <w:kern w:val="0"/>
                <w:sz w:val="21"/>
                <w:szCs w:val="21"/>
              </w:rPr>
            </w:pPr>
            <w:r>
              <w:rPr>
                <w:rFonts w:hint="eastAsia" w:ascii="Calibri" w:hAnsi="Calibri" w:eastAsia="楷体"/>
                <w:kern w:val="0"/>
                <w:sz w:val="21"/>
                <w:szCs w:val="21"/>
                <w:lang w:val="en-US" w:eastAsia="zh-CN"/>
              </w:rPr>
              <w:t>通榆县环境卫生管理处</w:t>
            </w: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50.00</w:t>
            </w:r>
          </w:p>
        </w:tc>
        <w:tc>
          <w:tcPr>
            <w:tcW w:w="799"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50.00</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2"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center"/>
              <w:rPr>
                <w:rFonts w:ascii="Calibri" w:hAnsi="Calibri" w:eastAsia="楷体"/>
                <w:kern w:val="0"/>
                <w:sz w:val="21"/>
                <w:szCs w:val="21"/>
              </w:rPr>
            </w:pPr>
          </w:p>
        </w:tc>
        <w:tc>
          <w:tcPr>
            <w:tcW w:w="138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辅助岗位人员工资</w:t>
            </w:r>
          </w:p>
        </w:tc>
        <w:tc>
          <w:tcPr>
            <w:tcW w:w="690" w:type="dxa"/>
            <w:noWrap w:val="0"/>
            <w:vAlign w:val="center"/>
          </w:tcPr>
          <w:p>
            <w:pPr>
              <w:spacing w:line="700" w:lineRule="exact"/>
              <w:jc w:val="center"/>
              <w:rPr>
                <w:rFonts w:ascii="Calibri" w:hAnsi="Calibri" w:eastAsia="楷体"/>
                <w:kern w:val="0"/>
                <w:sz w:val="21"/>
                <w:szCs w:val="21"/>
              </w:rPr>
            </w:pPr>
            <w:r>
              <w:rPr>
                <w:rFonts w:hint="eastAsia" w:ascii="Calibri" w:hAnsi="Calibri" w:eastAsia="楷体"/>
                <w:kern w:val="0"/>
                <w:sz w:val="21"/>
                <w:szCs w:val="21"/>
                <w:lang w:val="en-US" w:eastAsia="zh-CN"/>
              </w:rPr>
              <w:t>通榆县环境卫生管理处</w:t>
            </w: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3.81</w:t>
            </w:r>
          </w:p>
        </w:tc>
        <w:tc>
          <w:tcPr>
            <w:tcW w:w="799"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3.81</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center"/>
              <w:rPr>
                <w:rFonts w:ascii="Calibri" w:hAnsi="Calibri" w:eastAsia="楷体"/>
                <w:kern w:val="0"/>
                <w:sz w:val="21"/>
                <w:szCs w:val="21"/>
              </w:rPr>
            </w:pPr>
          </w:p>
        </w:tc>
        <w:tc>
          <w:tcPr>
            <w:tcW w:w="138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退役士兵安置工资</w:t>
            </w:r>
          </w:p>
        </w:tc>
        <w:tc>
          <w:tcPr>
            <w:tcW w:w="690" w:type="dxa"/>
            <w:noWrap w:val="0"/>
            <w:vAlign w:val="center"/>
          </w:tcPr>
          <w:p>
            <w:pPr>
              <w:spacing w:line="700" w:lineRule="exact"/>
              <w:jc w:val="center"/>
              <w:rPr>
                <w:rFonts w:ascii="Calibri" w:hAnsi="Calibri" w:eastAsia="楷体"/>
                <w:kern w:val="0"/>
                <w:sz w:val="21"/>
                <w:szCs w:val="21"/>
              </w:rPr>
            </w:pPr>
            <w:r>
              <w:rPr>
                <w:rFonts w:hint="eastAsia" w:ascii="Calibri" w:hAnsi="Calibri" w:eastAsia="楷体"/>
                <w:kern w:val="0"/>
                <w:sz w:val="21"/>
                <w:szCs w:val="21"/>
                <w:lang w:val="en-US" w:eastAsia="zh-CN"/>
              </w:rPr>
              <w:t>通榆县环境卫生管理处</w:t>
            </w: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6.55</w:t>
            </w:r>
          </w:p>
        </w:tc>
        <w:tc>
          <w:tcPr>
            <w:tcW w:w="799"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6.55</w:t>
            </w: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2"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城管大队综合管理资金</w:t>
            </w:r>
          </w:p>
        </w:tc>
        <w:tc>
          <w:tcPr>
            <w:tcW w:w="1380" w:type="dxa"/>
            <w:noWrap w:val="0"/>
            <w:vAlign w:val="center"/>
          </w:tcPr>
          <w:p>
            <w:pPr>
              <w:spacing w:line="700" w:lineRule="exact"/>
              <w:jc w:val="center"/>
              <w:rPr>
                <w:rFonts w:hint="eastAsia" w:ascii="Calibri" w:hAnsi="Calibri" w:eastAsia="楷体"/>
                <w:kern w:val="0"/>
                <w:sz w:val="21"/>
                <w:szCs w:val="21"/>
                <w:lang w:val="en-US" w:eastAsia="zh-CN"/>
              </w:rPr>
            </w:pPr>
          </w:p>
        </w:tc>
        <w:tc>
          <w:tcPr>
            <w:tcW w:w="690" w:type="dxa"/>
            <w:noWrap w:val="0"/>
            <w:vAlign w:val="center"/>
          </w:tcPr>
          <w:p>
            <w:pPr>
              <w:spacing w:line="700" w:lineRule="exact"/>
              <w:jc w:val="center"/>
              <w:rPr>
                <w:rFonts w:ascii="Calibri" w:hAnsi="Calibri" w:eastAsia="楷体"/>
                <w:kern w:val="0"/>
                <w:sz w:val="21"/>
                <w:szCs w:val="21"/>
              </w:rPr>
            </w:pP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9.60</w:t>
            </w:r>
          </w:p>
        </w:tc>
        <w:tc>
          <w:tcPr>
            <w:tcW w:w="799" w:type="dxa"/>
            <w:noWrap w:val="0"/>
            <w:vAlign w:val="center"/>
          </w:tcPr>
          <w:p>
            <w:pPr>
              <w:spacing w:line="700" w:lineRule="exact"/>
              <w:jc w:val="center"/>
              <w:rPr>
                <w:rFonts w:ascii="Calibri" w:hAnsi="Calibri" w:eastAsia="楷体"/>
                <w:kern w:val="0"/>
                <w:sz w:val="21"/>
                <w:szCs w:val="21"/>
              </w:rPr>
            </w:pP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9.60</w:t>
            </w: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7" w:hRule="exact"/>
          <w:jc w:val="center"/>
        </w:trPr>
        <w:tc>
          <w:tcPr>
            <w:tcW w:w="925" w:type="dxa"/>
            <w:noWrap w:val="0"/>
            <w:vAlign w:val="center"/>
          </w:tcPr>
          <w:p>
            <w:pPr>
              <w:spacing w:line="700" w:lineRule="exact"/>
              <w:jc w:val="center"/>
              <w:rPr>
                <w:rFonts w:ascii="Calibri" w:hAnsi="Calibri" w:eastAsia="楷体"/>
                <w:kern w:val="0"/>
                <w:sz w:val="21"/>
                <w:szCs w:val="21"/>
              </w:rPr>
            </w:pPr>
          </w:p>
        </w:tc>
        <w:tc>
          <w:tcPr>
            <w:tcW w:w="920" w:type="dxa"/>
            <w:noWrap w:val="0"/>
            <w:vAlign w:val="center"/>
          </w:tcPr>
          <w:p>
            <w:pPr>
              <w:spacing w:line="700" w:lineRule="exact"/>
              <w:jc w:val="center"/>
              <w:rPr>
                <w:rFonts w:hint="eastAsia" w:ascii="Calibri" w:hAnsi="Calibri" w:eastAsia="楷体"/>
                <w:kern w:val="0"/>
                <w:sz w:val="21"/>
                <w:szCs w:val="21"/>
                <w:lang w:val="en-US" w:eastAsia="zh-CN"/>
              </w:rPr>
            </w:pPr>
          </w:p>
        </w:tc>
        <w:tc>
          <w:tcPr>
            <w:tcW w:w="138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刨围堰工人工资（23年11月份-24年4月份）</w:t>
            </w:r>
          </w:p>
        </w:tc>
        <w:tc>
          <w:tcPr>
            <w:tcW w:w="690" w:type="dxa"/>
            <w:noWrap w:val="0"/>
            <w:vAlign w:val="center"/>
          </w:tcPr>
          <w:p>
            <w:pPr>
              <w:spacing w:line="700" w:lineRule="exact"/>
              <w:jc w:val="center"/>
              <w:rPr>
                <w:rFonts w:ascii="Calibri" w:hAnsi="Calibri" w:eastAsia="楷体"/>
                <w:kern w:val="0"/>
                <w:sz w:val="21"/>
                <w:szCs w:val="21"/>
              </w:rPr>
            </w:pPr>
            <w:r>
              <w:rPr>
                <w:rFonts w:hint="eastAsia" w:ascii="Calibri" w:hAnsi="Calibri" w:eastAsia="楷体"/>
                <w:kern w:val="0"/>
                <w:sz w:val="21"/>
                <w:szCs w:val="21"/>
                <w:lang w:val="en-US" w:eastAsia="zh-CN"/>
              </w:rPr>
              <w:t>通榆县环境卫生管理处</w:t>
            </w:r>
          </w:p>
        </w:tc>
        <w:tc>
          <w:tcPr>
            <w:tcW w:w="771"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9.60</w:t>
            </w:r>
          </w:p>
        </w:tc>
        <w:tc>
          <w:tcPr>
            <w:tcW w:w="799" w:type="dxa"/>
            <w:noWrap w:val="0"/>
            <w:vAlign w:val="center"/>
          </w:tcPr>
          <w:p>
            <w:pPr>
              <w:spacing w:line="700" w:lineRule="exact"/>
              <w:jc w:val="center"/>
              <w:rPr>
                <w:rFonts w:ascii="Calibri" w:hAnsi="Calibri" w:eastAsia="楷体"/>
                <w:kern w:val="0"/>
                <w:sz w:val="21"/>
                <w:szCs w:val="21"/>
              </w:rPr>
            </w:pPr>
          </w:p>
        </w:tc>
        <w:tc>
          <w:tcPr>
            <w:tcW w:w="360" w:type="dxa"/>
            <w:noWrap w:val="0"/>
            <w:vAlign w:val="center"/>
          </w:tcPr>
          <w:p>
            <w:pPr>
              <w:spacing w:line="700" w:lineRule="exact"/>
              <w:jc w:val="center"/>
              <w:rPr>
                <w:rFonts w:ascii="Calibri" w:hAnsi="Calibri" w:eastAsia="楷体"/>
                <w:kern w:val="0"/>
                <w:sz w:val="21"/>
                <w:szCs w:val="21"/>
              </w:rPr>
            </w:pPr>
          </w:p>
        </w:tc>
        <w:tc>
          <w:tcPr>
            <w:tcW w:w="46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9.60</w:t>
            </w: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exact"/>
          <w:jc w:val="center"/>
        </w:trPr>
        <w:tc>
          <w:tcPr>
            <w:tcW w:w="925" w:type="dxa"/>
            <w:noWrap w:val="0"/>
            <w:vAlign w:val="center"/>
          </w:tcPr>
          <w:p>
            <w:pPr>
              <w:autoSpaceDN w:val="0"/>
              <w:jc w:val="center"/>
              <w:textAlignment w:val="center"/>
              <w:rPr>
                <w:rFonts w:hint="eastAsia" w:ascii="Calibri" w:hAnsi="Calibri" w:eastAsia="华文细黑"/>
                <w:color w:val="000000"/>
                <w:sz w:val="21"/>
                <w:szCs w:val="21"/>
              </w:rPr>
            </w:pPr>
            <w:r>
              <w:rPr>
                <w:rFonts w:hint="eastAsia" w:ascii="Calibri" w:hAnsi="Calibri" w:eastAsia="华文细黑"/>
                <w:color w:val="000000"/>
                <w:sz w:val="21"/>
                <w:szCs w:val="21"/>
              </w:rPr>
              <w:t>合计</w:t>
            </w:r>
          </w:p>
        </w:tc>
        <w:tc>
          <w:tcPr>
            <w:tcW w:w="920" w:type="dxa"/>
            <w:noWrap w:val="0"/>
            <w:vAlign w:val="center"/>
          </w:tcPr>
          <w:p>
            <w:pPr>
              <w:autoSpaceDN w:val="0"/>
              <w:jc w:val="center"/>
              <w:textAlignment w:val="center"/>
              <w:rPr>
                <w:rFonts w:ascii="Calibri" w:hAnsi="Calibri" w:eastAsia="华文细黑"/>
                <w:color w:val="000000"/>
                <w:sz w:val="21"/>
                <w:szCs w:val="21"/>
              </w:rPr>
            </w:pPr>
          </w:p>
        </w:tc>
        <w:tc>
          <w:tcPr>
            <w:tcW w:w="1380" w:type="dxa"/>
            <w:noWrap w:val="0"/>
            <w:vAlign w:val="center"/>
          </w:tcPr>
          <w:p>
            <w:pPr>
              <w:spacing w:line="700" w:lineRule="exact"/>
              <w:jc w:val="center"/>
              <w:rPr>
                <w:rFonts w:ascii="Calibri" w:hAnsi="Calibri" w:eastAsia="楷体"/>
                <w:kern w:val="0"/>
                <w:sz w:val="21"/>
                <w:szCs w:val="21"/>
              </w:rPr>
            </w:pPr>
          </w:p>
        </w:tc>
        <w:tc>
          <w:tcPr>
            <w:tcW w:w="690" w:type="dxa"/>
            <w:noWrap w:val="0"/>
            <w:vAlign w:val="center"/>
          </w:tcPr>
          <w:p>
            <w:pPr>
              <w:spacing w:line="700" w:lineRule="exact"/>
              <w:jc w:val="center"/>
              <w:rPr>
                <w:rFonts w:ascii="Calibri" w:hAnsi="Calibri" w:eastAsia="楷体"/>
                <w:kern w:val="0"/>
                <w:sz w:val="21"/>
                <w:szCs w:val="21"/>
              </w:rPr>
            </w:pPr>
          </w:p>
        </w:tc>
        <w:tc>
          <w:tcPr>
            <w:tcW w:w="771"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1882.55</w:t>
            </w:r>
          </w:p>
        </w:tc>
        <w:tc>
          <w:tcPr>
            <w:tcW w:w="799" w:type="dxa"/>
            <w:noWrap w:val="0"/>
            <w:vAlign w:val="center"/>
          </w:tcPr>
          <w:p>
            <w:pPr>
              <w:spacing w:line="700" w:lineRule="exact"/>
              <w:jc w:val="both"/>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1872.95</w:t>
            </w:r>
          </w:p>
        </w:tc>
        <w:tc>
          <w:tcPr>
            <w:tcW w:w="360" w:type="dxa"/>
            <w:noWrap w:val="0"/>
            <w:vAlign w:val="center"/>
          </w:tcPr>
          <w:p>
            <w:pPr>
              <w:spacing w:line="700" w:lineRule="exact"/>
              <w:jc w:val="center"/>
              <w:rPr>
                <w:rFonts w:ascii="Calibri" w:hAnsi="Calibri" w:eastAsia="楷体" w:cs="Times New Roman"/>
                <w:kern w:val="0"/>
                <w:sz w:val="21"/>
                <w:szCs w:val="21"/>
                <w:lang w:val="en-US" w:eastAsia="zh-CN" w:bidi="ar-SA"/>
              </w:rPr>
            </w:pPr>
          </w:p>
        </w:tc>
        <w:tc>
          <w:tcPr>
            <w:tcW w:w="460" w:type="dxa"/>
            <w:noWrap w:val="0"/>
            <w:vAlign w:val="center"/>
          </w:tcPr>
          <w:p>
            <w:pPr>
              <w:spacing w:line="700" w:lineRule="exact"/>
              <w:jc w:val="center"/>
              <w:rPr>
                <w:rFonts w:ascii="Calibri" w:hAnsi="Calibri" w:eastAsia="楷体" w:cs="Times New Roman"/>
                <w:kern w:val="0"/>
                <w:sz w:val="21"/>
                <w:szCs w:val="21"/>
                <w:lang w:val="en-US" w:eastAsia="zh-CN" w:bidi="ar-SA"/>
              </w:rPr>
            </w:pPr>
          </w:p>
        </w:tc>
        <w:tc>
          <w:tcPr>
            <w:tcW w:w="690" w:type="dxa"/>
            <w:noWrap w:val="0"/>
            <w:vAlign w:val="center"/>
          </w:tcPr>
          <w:p>
            <w:pPr>
              <w:spacing w:line="700" w:lineRule="exact"/>
              <w:jc w:val="center"/>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9.60</w:t>
            </w:r>
          </w:p>
        </w:tc>
        <w:tc>
          <w:tcPr>
            <w:tcW w:w="240" w:type="dxa"/>
            <w:noWrap w:val="0"/>
            <w:vAlign w:val="center"/>
          </w:tcPr>
          <w:p>
            <w:pPr>
              <w:spacing w:line="700" w:lineRule="exact"/>
              <w:jc w:val="center"/>
              <w:rPr>
                <w:rFonts w:ascii="Calibri" w:hAnsi="Calibri" w:eastAsia="楷体"/>
                <w:kern w:val="0"/>
                <w:sz w:val="21"/>
                <w:szCs w:val="21"/>
              </w:rPr>
            </w:pPr>
          </w:p>
        </w:tc>
        <w:tc>
          <w:tcPr>
            <w:tcW w:w="659" w:type="dxa"/>
            <w:noWrap w:val="0"/>
            <w:vAlign w:val="center"/>
          </w:tcPr>
          <w:p>
            <w:pPr>
              <w:spacing w:line="700" w:lineRule="exact"/>
              <w:jc w:val="center"/>
              <w:rPr>
                <w:rFonts w:ascii="Calibri" w:hAnsi="Calibri" w:eastAsia="楷体"/>
                <w:kern w:val="0"/>
                <w:sz w:val="21"/>
                <w:szCs w:val="21"/>
              </w:rPr>
            </w:pPr>
          </w:p>
        </w:tc>
        <w:tc>
          <w:tcPr>
            <w:tcW w:w="381" w:type="dxa"/>
            <w:noWrap w:val="0"/>
            <w:vAlign w:val="center"/>
          </w:tcPr>
          <w:p>
            <w:pPr>
              <w:spacing w:line="700" w:lineRule="exact"/>
              <w:jc w:val="center"/>
              <w:rPr>
                <w:rFonts w:ascii="Calibri" w:hAnsi="Calibri" w:eastAsia="楷体"/>
                <w:kern w:val="0"/>
                <w:sz w:val="21"/>
                <w:szCs w:val="21"/>
              </w:rPr>
            </w:pPr>
          </w:p>
        </w:tc>
        <w:tc>
          <w:tcPr>
            <w:tcW w:w="284" w:type="dxa"/>
            <w:gridSpan w:val="3"/>
            <w:noWrap w:val="0"/>
            <w:vAlign w:val="center"/>
          </w:tcPr>
          <w:p>
            <w:pPr>
              <w:spacing w:line="700" w:lineRule="exact"/>
              <w:jc w:val="center"/>
              <w:rPr>
                <w:rFonts w:ascii="Calibri" w:hAnsi="Calibri" w:eastAsia="楷体"/>
                <w:kern w:val="0"/>
                <w:sz w:val="21"/>
                <w:szCs w:val="21"/>
              </w:rPr>
            </w:pPr>
          </w:p>
        </w:tc>
      </w:tr>
    </w:tbl>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2024年环卫处公益性岗位及临时工工资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1132.34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1132.34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2024年环卫处公益性岗位及临时工工资11323440元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公益性岗位及临时工工资发放人数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475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保洁员清理街道的卫生程度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公益性岗位及临时工工资发放标准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1987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临时工工资发放及时率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维护街道环境卫生</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临时工对工资满意度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我单位有两名驻村第一书记，发放2024年驻村工作队生活补贴所需资金72000元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驻村第一书记人数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两名驻村干部驻村合计天数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驻村补贴发放及时率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巩固脱贫攻坚成果，带动乡村振兴发展</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村民对驻村干部的满意度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水冲公厕运行费 车辆燃油修理养护费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673.05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673.05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2024年水冲公厕运行费 车辆燃油修理养护费需资金6730500元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auto" w:sz="4" w:space="0"/>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水冲公厕数量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燃油 维修维护车辆数量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111</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维修车辆合格率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公厕环境卫生程度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运行车辆燃油 维修所需成本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50884</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每座公厕每年运行费用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108240</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公厕维修维护及时率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bookmarkStart w:id="0" w:name="_GoBack"/>
            <w:r>
              <w:rPr>
                <w:rFonts w:hint="eastAsia" w:ascii="宋体" w:hAnsi="宋体" w:eastAsia="宋体" w:cs="宋体"/>
                <w:color w:val="000000"/>
                <w:sz w:val="20"/>
                <w:lang w:val="en-US" w:eastAsia="zh-CN"/>
              </w:rPr>
              <w:t>维修车辆及时性</w:t>
            </w:r>
            <w:bookmarkEnd w:id="0"/>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auto"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受益居民对水冲公厕认可度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城区居民满意度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车辆使用单位满意度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环卫工人用具</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环卫工人购买工具所需资金500000元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发放工具人数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购买工具合格率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购买工具成本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发放工具及时率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购买工具保证城区卫生整洁</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环卫工人对工具质量的满意度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环卫处有一名辅助岗人员工资所需资金38072元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辅助岗位人员工作完成率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3173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发放工资保障辅助岗位人员生活水平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辅助岗位人员对工资的满意度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退役士兵安置工资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6.55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6.55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2024年退役士兵发放工资65532元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退役士兵工资发放标准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5461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工资发放保障退役士兵的生活水平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退役士兵对工资的满意度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rPr>
          <w:rFonts w:hint="eastAsia" w:eastAsia="楷体"/>
          <w:kern w:val="0"/>
          <w:szCs w:val="32"/>
        </w:rPr>
      </w:pP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年收支总预算___</w:t>
      </w:r>
      <w:r>
        <w:rPr>
          <w:rFonts w:hint="eastAsia" w:ascii="仿宋_GB2312" w:hAnsi="仿宋_GB2312" w:cs="仿宋_GB2312"/>
          <w:szCs w:val="32"/>
          <w:lang w:val="en-US" w:eastAsia="zh-CN"/>
        </w:rPr>
        <w:t>2421.78</w:t>
      </w:r>
      <w:r>
        <w:rPr>
          <w:rFonts w:hint="eastAsia" w:ascii="仿宋_GB2312" w:hAnsi="仿宋_GB2312" w:eastAsia="仿宋_GB2312" w:cs="仿宋_GB2312"/>
          <w:szCs w:val="32"/>
        </w:rPr>
        <w:t>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2412.18</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9.6</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659.67</w:t>
      </w:r>
      <w:r>
        <w:rPr>
          <w:rFonts w:hint="eastAsia" w:ascii="仿宋_GB2312" w:hAnsi="仿宋_GB2312" w:eastAsia="仿宋_GB2312" w:cs="仿宋_GB2312"/>
          <w:szCs w:val="32"/>
        </w:rPr>
        <w:t>_______万元，主要原因是</w:t>
      </w:r>
      <w:r>
        <w:rPr>
          <w:rFonts w:hint="eastAsia" w:ascii="仿宋_GB2312" w:hAnsi="仿宋_GB2312" w:cs="仿宋_GB2312"/>
          <w:szCs w:val="32"/>
          <w:lang w:val="en-US" w:eastAsia="zh-CN"/>
        </w:rPr>
        <w:t>人员经费、公用经费、项目支出增加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年收入预算___</w:t>
      </w:r>
      <w:r>
        <w:rPr>
          <w:rFonts w:hint="eastAsia" w:ascii="仿宋_GB2312" w:hAnsi="仿宋_GB2312" w:cs="仿宋_GB2312"/>
          <w:szCs w:val="32"/>
          <w:lang w:val="en-US" w:eastAsia="zh-CN"/>
        </w:rPr>
        <w:t>2421.78</w:t>
      </w:r>
      <w:r>
        <w:rPr>
          <w:rFonts w:hint="eastAsia" w:ascii="仿宋_GB2312" w:hAnsi="仿宋_GB2312" w:eastAsia="仿宋_GB2312" w:cs="仿宋_GB2312"/>
          <w:szCs w:val="32"/>
        </w:rPr>
        <w:t>___万元，其中：本年收入____</w:t>
      </w:r>
      <w:r>
        <w:rPr>
          <w:rFonts w:hint="eastAsia" w:ascii="仿宋_GB2312" w:hAnsi="仿宋_GB2312" w:cs="仿宋_GB2312"/>
          <w:szCs w:val="32"/>
          <w:lang w:val="en-US" w:eastAsia="zh-CN"/>
        </w:rPr>
        <w:t>2412.18</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99.6</w:t>
      </w:r>
      <w:r>
        <w:rPr>
          <w:rFonts w:hint="eastAsia" w:ascii="仿宋_GB2312" w:hAnsi="仿宋_GB2312" w:eastAsia="仿宋_GB2312" w:cs="仿宋_GB2312"/>
          <w:szCs w:val="32"/>
        </w:rPr>
        <w:t>____%；上年结转___</w:t>
      </w:r>
      <w:r>
        <w:rPr>
          <w:rFonts w:hint="eastAsia" w:ascii="仿宋_GB2312" w:hAnsi="仿宋_GB2312" w:cs="仿宋_GB2312"/>
          <w:szCs w:val="32"/>
          <w:lang w:val="en-US" w:eastAsia="zh-CN"/>
        </w:rPr>
        <w:t>9.6</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0.4</w:t>
      </w:r>
      <w:r>
        <w:rPr>
          <w:rFonts w:hint="eastAsia" w:ascii="仿宋_GB2312" w:hAnsi="仿宋_GB2312" w:eastAsia="仿宋_GB2312" w:cs="仿宋_GB2312"/>
          <w:szCs w:val="32"/>
        </w:rPr>
        <w:t>___%。本年收入中，一般公共预算拨款收入___</w:t>
      </w:r>
      <w:r>
        <w:rPr>
          <w:rFonts w:hint="eastAsia" w:ascii="仿宋_GB2312" w:hAnsi="仿宋_GB2312" w:cs="仿宋_GB2312"/>
          <w:szCs w:val="32"/>
          <w:lang w:val="en-US" w:eastAsia="zh-CN"/>
        </w:rPr>
        <w:t>2412.18</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99.6</w:t>
      </w:r>
      <w:r>
        <w:rPr>
          <w:rFonts w:hint="eastAsia" w:ascii="仿宋_GB2312" w:hAnsi="仿宋_GB2312" w:eastAsia="仿宋_GB2312" w:cs="仿宋_GB2312"/>
          <w:szCs w:val="32"/>
        </w:rPr>
        <w:t>____%；政府性基金预算拨款收入___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____%；财政专户管理资金收入___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___%；上级补助收入___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____%；附属单位上缴收入____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____%；事业单位经营收入____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_____%；其他收入____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___%。上年结转中，一般公共预算拨款结转___</w:t>
      </w:r>
      <w:r>
        <w:rPr>
          <w:rFonts w:hint="eastAsia" w:ascii="仿宋_GB2312" w:hAnsi="仿宋_GB2312" w:cs="仿宋_GB2312"/>
          <w:szCs w:val="32"/>
          <w:lang w:val="en-US" w:eastAsia="zh-CN"/>
        </w:rPr>
        <w:t>9.6</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0.4</w:t>
      </w:r>
      <w:r>
        <w:rPr>
          <w:rFonts w:hint="eastAsia" w:ascii="仿宋_GB2312" w:hAnsi="仿宋_GB2312" w:eastAsia="仿宋_GB2312" w:cs="仿宋_GB2312"/>
          <w:szCs w:val="32"/>
        </w:rPr>
        <w:t>____%；政府性基金预算拨款结转____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___%；财政专户管理资金结转结余___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___%；单位资金结转____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___%；用事业基金弥补收支差额_____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年支出预算___</w:t>
      </w:r>
      <w:r>
        <w:rPr>
          <w:rFonts w:hint="eastAsia" w:ascii="仿宋_GB2312" w:hAnsi="仿宋_GB2312" w:cs="仿宋_GB2312"/>
          <w:szCs w:val="32"/>
          <w:lang w:val="en-US" w:eastAsia="zh-CN"/>
        </w:rPr>
        <w:t>2421.78</w:t>
      </w:r>
      <w:r>
        <w:rPr>
          <w:rFonts w:hint="eastAsia" w:ascii="仿宋_GB2312" w:hAnsi="仿宋_GB2312" w:eastAsia="仿宋_GB2312" w:cs="仿宋_GB2312"/>
          <w:szCs w:val="32"/>
        </w:rPr>
        <w:t>____万元，其中：基本支出___</w:t>
      </w:r>
      <w:r>
        <w:rPr>
          <w:rFonts w:hint="eastAsia" w:ascii="仿宋_GB2312" w:hAnsi="仿宋_GB2312" w:cs="仿宋_GB2312"/>
          <w:szCs w:val="32"/>
          <w:lang w:val="en-US" w:eastAsia="zh-CN"/>
        </w:rPr>
        <w:t>539.23</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22.27</w:t>
      </w:r>
      <w:r>
        <w:rPr>
          <w:rFonts w:hint="eastAsia" w:ascii="仿宋_GB2312" w:hAnsi="仿宋_GB2312" w:eastAsia="仿宋_GB2312" w:cs="仿宋_GB2312"/>
          <w:szCs w:val="32"/>
        </w:rPr>
        <w:t>____%；项目支出___</w:t>
      </w:r>
      <w:r>
        <w:rPr>
          <w:rFonts w:hint="eastAsia" w:ascii="仿宋_GB2312" w:hAnsi="仿宋_GB2312" w:cs="仿宋_GB2312"/>
          <w:szCs w:val="32"/>
          <w:lang w:val="en-US" w:eastAsia="zh-CN"/>
        </w:rPr>
        <w:t>1882.55</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77.73</w:t>
      </w:r>
      <w:r>
        <w:rPr>
          <w:rFonts w:hint="eastAsia" w:ascii="仿宋_GB2312" w:hAnsi="仿宋_GB2312" w:eastAsia="仿宋_GB2312" w:cs="仿宋_GB2312"/>
          <w:szCs w:val="32"/>
        </w:rPr>
        <w:t>___%；事业单位经营支出___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____%；上缴上级支出____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__%；对附属单位补助支出____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年财政拨款收支总预算____</w:t>
      </w:r>
      <w:r>
        <w:rPr>
          <w:rFonts w:hint="eastAsia" w:ascii="仿宋_GB2312" w:hAnsi="仿宋_GB2312" w:cs="仿宋_GB2312"/>
          <w:szCs w:val="32"/>
          <w:lang w:val="en-US" w:eastAsia="zh-CN"/>
        </w:rPr>
        <w:t>2421.78</w:t>
      </w:r>
      <w:r>
        <w:rPr>
          <w:rFonts w:hint="eastAsia" w:ascii="仿宋_GB2312" w:hAnsi="仿宋_GB2312" w:eastAsia="仿宋_GB2312" w:cs="仿宋_GB2312"/>
          <w:szCs w:val="32"/>
        </w:rPr>
        <w:t>___万元，其中：本年收入___</w:t>
      </w:r>
      <w:r>
        <w:rPr>
          <w:rFonts w:hint="eastAsia" w:ascii="仿宋_GB2312" w:hAnsi="仿宋_GB2312" w:cs="仿宋_GB2312"/>
          <w:szCs w:val="32"/>
          <w:lang w:val="en-US" w:eastAsia="zh-CN"/>
        </w:rPr>
        <w:t>2412.18</w:t>
      </w:r>
      <w:r>
        <w:rPr>
          <w:rFonts w:hint="eastAsia" w:ascii="仿宋_GB2312" w:hAnsi="仿宋_GB2312" w:eastAsia="仿宋_GB2312" w:cs="仿宋_GB2312"/>
          <w:szCs w:val="32"/>
        </w:rPr>
        <w:t>____万元，上年结转______</w:t>
      </w:r>
      <w:r>
        <w:rPr>
          <w:rFonts w:hint="eastAsia" w:ascii="仿宋_GB2312" w:hAnsi="仿宋_GB2312" w:cs="仿宋_GB2312"/>
          <w:szCs w:val="32"/>
          <w:lang w:val="en-US" w:eastAsia="zh-CN"/>
        </w:rPr>
        <w:t>9.6</w:t>
      </w:r>
      <w:r>
        <w:rPr>
          <w:rFonts w:hint="eastAsia" w:ascii="仿宋_GB2312" w:hAnsi="仿宋_GB2312" w:eastAsia="仿宋_GB2312" w:cs="仿宋_GB2312"/>
          <w:szCs w:val="32"/>
        </w:rPr>
        <w:t>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71.36</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22.85</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2276.41</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41.56</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rPr>
          <w:szCs w:val="32"/>
        </w:rPr>
      </w:pP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年一般公共预算拨款__</w:t>
      </w:r>
      <w:r>
        <w:rPr>
          <w:rFonts w:hint="eastAsia" w:ascii="仿宋_GB2312" w:hAnsi="仿宋_GB2312" w:cs="仿宋_GB2312"/>
          <w:szCs w:val="32"/>
          <w:lang w:val="en-US" w:eastAsia="zh-CN"/>
        </w:rPr>
        <w:t>2421.78</w:t>
      </w:r>
      <w:r>
        <w:rPr>
          <w:rFonts w:hint="eastAsia" w:ascii="仿宋_GB2312" w:hAnsi="仿宋_GB2312" w:eastAsia="仿宋_GB2312" w:cs="仿宋_GB2312"/>
          <w:szCs w:val="32"/>
        </w:rPr>
        <w:t>_万元，其中：基本支出__</w:t>
      </w:r>
      <w:r>
        <w:rPr>
          <w:rFonts w:hint="eastAsia" w:ascii="仿宋_GB2312" w:hAnsi="仿宋_GB2312" w:cs="仿宋_GB2312"/>
          <w:szCs w:val="32"/>
          <w:lang w:val="en-US" w:eastAsia="zh-CN"/>
        </w:rPr>
        <w:t>539.23</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22.27</w:t>
      </w:r>
      <w:r>
        <w:rPr>
          <w:rFonts w:hint="eastAsia" w:ascii="仿宋_GB2312" w:hAnsi="仿宋_GB2312" w:eastAsia="仿宋_GB2312" w:cs="仿宋_GB2312"/>
          <w:szCs w:val="32"/>
        </w:rPr>
        <w:t>_%；项目支出__</w:t>
      </w:r>
      <w:r>
        <w:rPr>
          <w:rFonts w:hint="eastAsia" w:ascii="仿宋_GB2312" w:hAnsi="仿宋_GB2312" w:cs="仿宋_GB2312"/>
          <w:szCs w:val="32"/>
          <w:lang w:val="en-US" w:eastAsia="zh-CN"/>
        </w:rPr>
        <w:t>1882.55</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77.73</w:t>
      </w:r>
      <w:r>
        <w:rPr>
          <w:rFonts w:hint="eastAsia" w:ascii="仿宋_GB2312" w:hAnsi="仿宋_GB2312" w:eastAsia="仿宋_GB2312" w:cs="仿宋_GB2312"/>
          <w:szCs w:val="32"/>
        </w:rPr>
        <w:t>__%。基本支出中，人员经费_</w:t>
      </w:r>
      <w:r>
        <w:rPr>
          <w:rFonts w:hint="eastAsia" w:ascii="仿宋_GB2312" w:hAnsi="仿宋_GB2312" w:cs="仿宋_GB2312"/>
          <w:szCs w:val="32"/>
          <w:lang w:val="en-US" w:eastAsia="zh-CN"/>
        </w:rPr>
        <w:t>497.95</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92.34</w:t>
      </w:r>
      <w:r>
        <w:rPr>
          <w:rFonts w:hint="eastAsia" w:ascii="仿宋_GB2312" w:hAnsi="仿宋_GB2312" w:eastAsia="仿宋_GB2312" w:cs="仿宋_GB2312"/>
          <w:szCs w:val="32"/>
        </w:rPr>
        <w:t>__%；公用经费_</w:t>
      </w:r>
      <w:r>
        <w:rPr>
          <w:rFonts w:hint="eastAsia" w:ascii="仿宋_GB2312" w:hAnsi="仿宋_GB2312" w:cs="仿宋_GB2312"/>
          <w:szCs w:val="32"/>
          <w:lang w:val="en-US" w:eastAsia="zh-CN"/>
        </w:rPr>
        <w:t>41.28</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7.66</w:t>
      </w:r>
      <w:r>
        <w:rPr>
          <w:rFonts w:hint="eastAsia" w:ascii="仿宋_GB2312" w:hAnsi="仿宋_GB2312" w:eastAsia="仿宋_GB2312" w:cs="仿宋_GB2312"/>
          <w:szCs w:val="32"/>
        </w:rPr>
        <w:t>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w:t>
      </w:r>
      <w:r>
        <w:rPr>
          <w:rFonts w:hint="eastAsia" w:ascii="仿宋_GB2312" w:hAnsi="仿宋_GB2312" w:cs="仿宋_GB2312"/>
          <w:szCs w:val="32"/>
          <w:lang w:val="en-US" w:eastAsia="zh-CN"/>
        </w:rPr>
        <w:t>71.36</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2.95</w:t>
      </w:r>
      <w:r>
        <w:rPr>
          <w:rFonts w:hint="eastAsia" w:ascii="仿宋_GB2312" w:hAnsi="仿宋_GB2312" w:eastAsia="仿宋_GB2312" w:cs="仿宋_GB2312"/>
          <w:szCs w:val="32"/>
        </w:rPr>
        <w:t>___%，主要用于</w:t>
      </w:r>
      <w:r>
        <w:rPr>
          <w:rFonts w:hint="eastAsia" w:ascii="仿宋_GB2312" w:hAnsi="仿宋_GB2312" w:cs="仿宋_GB2312"/>
          <w:szCs w:val="32"/>
          <w:lang w:val="en-US" w:eastAsia="zh-CN"/>
        </w:rPr>
        <w:t>职工基本养老失业、职业年金等缴费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支出___</w:t>
      </w:r>
      <w:r>
        <w:rPr>
          <w:rFonts w:hint="eastAsia" w:ascii="仿宋_GB2312" w:hAnsi="仿宋_GB2312" w:cs="仿宋_GB2312"/>
          <w:szCs w:val="32"/>
          <w:lang w:val="en-US" w:eastAsia="zh-CN"/>
        </w:rPr>
        <w:t>22.85</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0.94</w:t>
      </w:r>
      <w:r>
        <w:rPr>
          <w:rFonts w:hint="eastAsia" w:ascii="仿宋_GB2312" w:hAnsi="仿宋_GB2312" w:eastAsia="仿宋_GB2312" w:cs="仿宋_GB2312"/>
          <w:szCs w:val="32"/>
        </w:rPr>
        <w:t>__%，主要用于</w:t>
      </w:r>
      <w:r>
        <w:rPr>
          <w:rFonts w:hint="eastAsia" w:ascii="仿宋_GB2312" w:hAnsi="仿宋_GB2312" w:cs="仿宋_GB2312"/>
          <w:szCs w:val="32"/>
          <w:lang w:val="en-US" w:eastAsia="zh-CN"/>
        </w:rPr>
        <w:t>职工医疗保险缴费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城乡社区</w:t>
      </w:r>
      <w:r>
        <w:rPr>
          <w:rFonts w:hint="eastAsia" w:ascii="仿宋_GB2312" w:hAnsi="仿宋_GB2312" w:eastAsia="仿宋_GB2312" w:cs="仿宋_GB2312"/>
          <w:szCs w:val="32"/>
        </w:rPr>
        <w:t>支出___</w:t>
      </w:r>
      <w:r>
        <w:rPr>
          <w:rFonts w:hint="eastAsia" w:ascii="仿宋_GB2312" w:hAnsi="仿宋_GB2312" w:cs="仿宋_GB2312"/>
          <w:szCs w:val="32"/>
          <w:lang w:val="en-US" w:eastAsia="zh-CN"/>
        </w:rPr>
        <w:t>2286.01</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94.39</w:t>
      </w:r>
      <w:r>
        <w:rPr>
          <w:rFonts w:hint="eastAsia" w:ascii="仿宋_GB2312" w:hAnsi="仿宋_GB2312" w:eastAsia="仿宋_GB2312" w:cs="仿宋_GB2312"/>
          <w:szCs w:val="32"/>
        </w:rPr>
        <w:t>___%，主要用于</w:t>
      </w:r>
      <w:r>
        <w:rPr>
          <w:rFonts w:hint="eastAsia" w:ascii="仿宋_GB2312" w:hAnsi="仿宋_GB2312" w:cs="仿宋_GB2312"/>
          <w:szCs w:val="32"/>
          <w:lang w:val="en-US" w:eastAsia="zh-CN"/>
        </w:rPr>
        <w:t>单位日常公用经费</w:t>
      </w:r>
      <w:r>
        <w:rPr>
          <w:rFonts w:hint="eastAsia" w:ascii="仿宋_GB2312" w:hAnsi="仿宋_GB2312" w:eastAsia="仿宋_GB2312" w:cs="仿宋_GB2312"/>
          <w:szCs w:val="32"/>
        </w:rPr>
        <w:t>_。</w:t>
      </w:r>
    </w:p>
    <w:p>
      <w:pPr>
        <w:spacing w:line="520" w:lineRule="exact"/>
        <w:ind w:firstLine="200"/>
        <w:rPr>
          <w:rFonts w:hint="eastAsia"/>
          <w:szCs w:val="32"/>
        </w:rPr>
      </w:pPr>
      <w:r>
        <w:rPr>
          <w:rFonts w:hint="eastAsia" w:ascii="仿宋_GB2312" w:hAnsi="仿宋_GB2312" w:eastAsia="仿宋_GB2312" w:cs="仿宋_GB2312"/>
          <w:szCs w:val="32"/>
        </w:rPr>
        <w:t>住房保障（类）支出___</w:t>
      </w:r>
      <w:r>
        <w:rPr>
          <w:rFonts w:hint="eastAsia" w:ascii="仿宋_GB2312" w:hAnsi="仿宋_GB2312" w:cs="仿宋_GB2312"/>
          <w:szCs w:val="32"/>
          <w:lang w:val="en-US" w:eastAsia="zh-CN"/>
        </w:rPr>
        <w:t>41.56</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1.72</w:t>
      </w:r>
      <w:r>
        <w:rPr>
          <w:rFonts w:hint="eastAsia" w:ascii="仿宋_GB2312" w:hAnsi="仿宋_GB2312" w:eastAsia="仿宋_GB2312" w:cs="仿宋_GB2312"/>
          <w:szCs w:val="32"/>
        </w:rPr>
        <w:t>__%，主要用于</w:t>
      </w:r>
      <w:r>
        <w:rPr>
          <w:rFonts w:hint="eastAsia" w:ascii="仿宋_GB2312" w:hAnsi="仿宋_GB2312" w:cs="仿宋_GB2312"/>
          <w:szCs w:val="32"/>
          <w:lang w:val="en-US" w:eastAsia="zh-CN"/>
        </w:rPr>
        <w:t>职工住房公积金缴费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年一般公共预算基本支出____</w:t>
      </w:r>
      <w:r>
        <w:rPr>
          <w:rFonts w:hint="eastAsia" w:ascii="仿宋_GB2312" w:hAnsi="仿宋_GB2312" w:cs="仿宋_GB2312"/>
          <w:szCs w:val="32"/>
          <w:lang w:val="en-US" w:eastAsia="zh-CN"/>
        </w:rPr>
        <w:t>539.23</w:t>
      </w:r>
      <w:r>
        <w:rPr>
          <w:rFonts w:hint="eastAsia" w:ascii="仿宋_GB2312" w:hAnsi="仿宋_GB2312" w:eastAsia="仿宋_GB2312" w:cs="仿宋_GB2312"/>
          <w:szCs w:val="32"/>
        </w:rPr>
        <w:t>___万元，其中：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人员经费__</w:t>
      </w:r>
      <w:r>
        <w:rPr>
          <w:rFonts w:hint="eastAsia" w:ascii="仿宋_GB2312" w:hAnsi="仿宋_GB2312" w:cs="仿宋_GB2312"/>
          <w:szCs w:val="32"/>
          <w:lang w:val="en-US" w:eastAsia="zh-CN"/>
        </w:rPr>
        <w:t>497.95</w:t>
      </w:r>
      <w:r>
        <w:rPr>
          <w:rFonts w:hint="eastAsia" w:ascii="仿宋_GB2312" w:hAnsi="仿宋_GB2312" w:eastAsia="仿宋_GB2312" w:cs="仿宋_GB2312"/>
          <w:szCs w:val="32"/>
        </w:rPr>
        <w:t>_____万元，主要包括：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41.28</w:t>
      </w:r>
      <w:r>
        <w:rPr>
          <w:rFonts w:hint="eastAsia" w:ascii="仿宋_GB2312" w:hAnsi="仿宋_GB2312" w:eastAsia="仿宋_GB2312" w:cs="仿宋_GB2312"/>
          <w:szCs w:val="32"/>
        </w:rPr>
        <w:t>____万元，主要包括：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____万元，其中：基本支出_______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__万元，占______%；项目支出____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_____万元，其中：基本支出_______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w:t>
      </w:r>
      <w:r>
        <w:rPr>
          <w:rFonts w:hint="eastAsia" w:ascii="仿宋_GB2312" w:hAnsi="仿宋_GB2312" w:cs="仿宋_GB2312"/>
          <w:szCs w:val="32"/>
          <w:lang w:val="en-US" w:eastAsia="zh-CN"/>
        </w:rPr>
        <w:t>400</w:t>
      </w:r>
      <w:r>
        <w:rPr>
          <w:rFonts w:hint="eastAsia" w:ascii="仿宋_GB2312" w:hAnsi="仿宋_GB2312" w:eastAsia="仿宋_GB2312" w:cs="仿宋_GB2312"/>
          <w:szCs w:val="32"/>
        </w:rPr>
        <w:t>____万元，其中：政府采购货物预算____</w:t>
      </w:r>
      <w:r>
        <w:rPr>
          <w:rFonts w:hint="eastAsia" w:ascii="仿宋_GB2312" w:hAnsi="仿宋_GB2312" w:cs="仿宋_GB2312"/>
          <w:szCs w:val="32"/>
          <w:lang w:val="en-US" w:eastAsia="zh-CN"/>
        </w:rPr>
        <w:t>50</w:t>
      </w:r>
      <w:r>
        <w:rPr>
          <w:rFonts w:hint="eastAsia" w:ascii="仿宋_GB2312" w:hAnsi="仿宋_GB2312" w:eastAsia="仿宋_GB2312" w:cs="仿宋_GB2312"/>
          <w:szCs w:val="32"/>
        </w:rPr>
        <w:t>___万元、政府采购工程预算_______万元、政府采购服务预算____</w:t>
      </w:r>
      <w:r>
        <w:rPr>
          <w:rFonts w:hint="eastAsia" w:ascii="仿宋_GB2312" w:hAnsi="仿宋_GB2312" w:cs="仿宋_GB2312"/>
          <w:szCs w:val="32"/>
          <w:lang w:val="en-US" w:eastAsia="zh-CN"/>
        </w:rPr>
        <w:t>350</w:t>
      </w:r>
      <w:r>
        <w:rPr>
          <w:rFonts w:hint="eastAsia" w:ascii="仿宋_GB2312" w:hAnsi="仿宋_GB2312" w:eastAsia="仿宋_GB2312" w:cs="仿宋_GB2312"/>
          <w:szCs w:val="32"/>
        </w:rPr>
        <w:t>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8</w:t>
      </w:r>
      <w:r>
        <w:rPr>
          <w:rFonts w:hint="eastAsia" w:ascii="仿宋_GB2312" w:hAnsi="仿宋_GB2312" w:eastAsia="仿宋_GB2312" w:cs="仿宋_GB2312"/>
          <w:szCs w:val="32"/>
        </w:rPr>
        <w:t>月底，部门本级和所属各预算单位共有车辆______</w:t>
      </w:r>
      <w:r>
        <w:rPr>
          <w:rFonts w:hint="eastAsia" w:ascii="仿宋_GB2312" w:hAnsi="仿宋_GB2312" w:cs="仿宋_GB2312"/>
          <w:szCs w:val="32"/>
          <w:lang w:val="en-US" w:eastAsia="zh-CN"/>
        </w:rPr>
        <w:t>92</w:t>
      </w:r>
      <w:r>
        <w:rPr>
          <w:rFonts w:hint="eastAsia" w:ascii="仿宋_GB2312" w:hAnsi="仿宋_GB2312" w:eastAsia="仿宋_GB2312" w:cs="仿宋_GB2312"/>
          <w:szCs w:val="32"/>
        </w:rPr>
        <w:t>_辆，土地_______平方米，房屋____</w:t>
      </w:r>
      <w:r>
        <w:rPr>
          <w:rFonts w:hint="eastAsia" w:ascii="仿宋_GB2312" w:hAnsi="仿宋_GB2312" w:cs="仿宋_GB2312"/>
          <w:szCs w:val="32"/>
          <w:lang w:val="en-US" w:eastAsia="zh-CN"/>
        </w:rPr>
        <w:t>1091</w:t>
      </w:r>
      <w:r>
        <w:rPr>
          <w:rFonts w:hint="eastAsia" w:ascii="仿宋_GB2312" w:hAnsi="仿宋_GB2312" w:eastAsia="仿宋_GB2312" w:cs="仿宋_GB2312"/>
          <w:szCs w:val="32"/>
        </w:rPr>
        <w:t>___平方米，单价50万元及以上的通用设备____</w:t>
      </w:r>
      <w:r>
        <w:rPr>
          <w:rFonts w:hint="eastAsia" w:ascii="仿宋_GB2312" w:hAnsi="仿宋_GB2312" w:cs="仿宋_GB2312"/>
          <w:szCs w:val="32"/>
          <w:lang w:val="en-US" w:eastAsia="zh-CN"/>
        </w:rPr>
        <w:t>23</w:t>
      </w:r>
      <w:r>
        <w:rPr>
          <w:rFonts w:hint="eastAsia" w:ascii="仿宋_GB2312" w:hAnsi="仿宋_GB2312" w:eastAsia="仿宋_GB2312" w:cs="仿宋_GB2312"/>
          <w:szCs w:val="32"/>
        </w:rPr>
        <w:t>___台/套，单价100万元及以上的专用设备实有数_____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____辆，安排购置土地___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____平方米，安排购置房屋___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____平方米，计划新增单价50万元及以上的通用设备__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_____台/套，计划新增单价100万元及以上的专用设备实有数___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w:t>
      </w:r>
      <w:r>
        <w:rPr>
          <w:rFonts w:hint="eastAsia" w:ascii="仿宋_GB2312" w:hAnsi="仿宋_GB2312" w:cs="仿宋_GB2312"/>
          <w:szCs w:val="32"/>
          <w:highlight w:val="none"/>
          <w:lang w:val="en-US" w:eastAsia="zh-CN"/>
        </w:rPr>
        <w:t>1882.55</w:t>
      </w:r>
      <w:r>
        <w:rPr>
          <w:rFonts w:hint="eastAsia" w:ascii="仿宋_GB2312" w:hAnsi="仿宋_GB2312" w:eastAsia="仿宋_GB2312" w:cs="仿宋_GB2312"/>
          <w:szCs w:val="32"/>
          <w:highlight w:val="none"/>
        </w:rPr>
        <w:t>__万元，其中：一级项目____个，二级项目__</w:t>
      </w:r>
      <w:r>
        <w:rPr>
          <w:rFonts w:hint="eastAsia" w:ascii="仿宋_GB2312" w:hAnsi="仿宋_GB2312" w:cs="仿宋_GB2312"/>
          <w:szCs w:val="32"/>
          <w:highlight w:val="none"/>
          <w:lang w:val="en-US" w:eastAsia="zh-CN"/>
        </w:rPr>
        <w:t>6</w:t>
      </w:r>
      <w:r>
        <w:rPr>
          <w:rFonts w:hint="eastAsia" w:ascii="仿宋_GB2312" w:hAnsi="仿宋_GB2312" w:eastAsia="仿宋_GB2312" w:cs="仿宋_GB2312"/>
          <w:szCs w:val="32"/>
          <w:highlight w:val="none"/>
        </w:rPr>
        <w:t>__个；使用本年拨款_</w:t>
      </w:r>
      <w:r>
        <w:rPr>
          <w:rFonts w:hint="eastAsia" w:ascii="仿宋_GB2312" w:hAnsi="仿宋_GB2312" w:cs="仿宋_GB2312"/>
          <w:szCs w:val="32"/>
          <w:highlight w:val="none"/>
          <w:lang w:val="en-US" w:eastAsia="zh-CN"/>
        </w:rPr>
        <w:t>1872.95</w:t>
      </w:r>
      <w:r>
        <w:rPr>
          <w:rFonts w:hint="eastAsia" w:ascii="仿宋_GB2312" w:hAnsi="仿宋_GB2312" w:eastAsia="仿宋_GB2312" w:cs="仿宋_GB2312"/>
          <w:szCs w:val="32"/>
          <w:highlight w:val="none"/>
        </w:rPr>
        <w:t>___万元，财政拨款结转__</w:t>
      </w:r>
      <w:r>
        <w:rPr>
          <w:rFonts w:hint="eastAsia" w:ascii="仿宋_GB2312" w:hAnsi="仿宋_GB2312" w:cs="仿宋_GB2312"/>
          <w:szCs w:val="32"/>
          <w:highlight w:val="none"/>
          <w:lang w:val="en-US" w:eastAsia="zh-CN"/>
        </w:rPr>
        <w:t>9.6</w:t>
      </w:r>
      <w:r>
        <w:rPr>
          <w:rFonts w:hint="eastAsia" w:ascii="仿宋_GB2312" w:hAnsi="仿宋_GB2312" w:eastAsia="仿宋_GB2312" w:cs="仿宋_GB2312"/>
          <w:szCs w:val="32"/>
          <w:highlight w:val="none"/>
        </w:rPr>
        <w:t>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6</w:t>
      </w:r>
      <w:r>
        <w:rPr>
          <w:rFonts w:hint="eastAsia" w:ascii="仿宋_GB2312" w:hAnsi="仿宋_GB2312" w:eastAsia="仿宋_GB2312" w:cs="仿宋_GB2312"/>
          <w:szCs w:val="32"/>
        </w:rPr>
        <w:t>__</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1872.95</w:t>
      </w:r>
      <w:r>
        <w:rPr>
          <w:rFonts w:hint="eastAsia" w:ascii="仿宋_GB2312" w:hAnsi="仿宋_GB2312" w:eastAsia="仿宋_GB2312" w:cs="仿宋_GB2312"/>
          <w:szCs w:val="32"/>
        </w:rPr>
        <w:t>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jgzMzI1MWMzNTI4MWFlNGYwMjhiZDg4NmI4Yz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547CA0"/>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E81A4A"/>
    <w:rsid w:val="15F848D0"/>
    <w:rsid w:val="160E1FA5"/>
    <w:rsid w:val="160F2600"/>
    <w:rsid w:val="17765BCA"/>
    <w:rsid w:val="17A027D8"/>
    <w:rsid w:val="1A817DF8"/>
    <w:rsid w:val="1ADC594E"/>
    <w:rsid w:val="1AEB5252"/>
    <w:rsid w:val="1C6C14A3"/>
    <w:rsid w:val="1C852172"/>
    <w:rsid w:val="1CA40C0C"/>
    <w:rsid w:val="1CFF4A32"/>
    <w:rsid w:val="1D833200"/>
    <w:rsid w:val="1E2D59A2"/>
    <w:rsid w:val="1E3A3FD0"/>
    <w:rsid w:val="1EB55C07"/>
    <w:rsid w:val="1F351A10"/>
    <w:rsid w:val="1FED47E9"/>
    <w:rsid w:val="203B5EC4"/>
    <w:rsid w:val="203F2A4F"/>
    <w:rsid w:val="206816AC"/>
    <w:rsid w:val="2070491B"/>
    <w:rsid w:val="22A4003E"/>
    <w:rsid w:val="23907D8D"/>
    <w:rsid w:val="23984063"/>
    <w:rsid w:val="23CE11F0"/>
    <w:rsid w:val="23EC61F6"/>
    <w:rsid w:val="244C543C"/>
    <w:rsid w:val="24624768"/>
    <w:rsid w:val="2539376C"/>
    <w:rsid w:val="254C6FAD"/>
    <w:rsid w:val="259B5BC5"/>
    <w:rsid w:val="25C7462E"/>
    <w:rsid w:val="25F62C4E"/>
    <w:rsid w:val="26643D6C"/>
    <w:rsid w:val="2699484F"/>
    <w:rsid w:val="26FE109D"/>
    <w:rsid w:val="27073E1E"/>
    <w:rsid w:val="27B04AB3"/>
    <w:rsid w:val="27FC457D"/>
    <w:rsid w:val="28A63332"/>
    <w:rsid w:val="29C45F24"/>
    <w:rsid w:val="2DF8796C"/>
    <w:rsid w:val="2EB22F18"/>
    <w:rsid w:val="2EE12108"/>
    <w:rsid w:val="2EED35E3"/>
    <w:rsid w:val="2F250383"/>
    <w:rsid w:val="2F63610B"/>
    <w:rsid w:val="300965A3"/>
    <w:rsid w:val="30730D6E"/>
    <w:rsid w:val="30B91A70"/>
    <w:rsid w:val="32A82C82"/>
    <w:rsid w:val="32CF2C5D"/>
    <w:rsid w:val="335402B5"/>
    <w:rsid w:val="339466B2"/>
    <w:rsid w:val="34555AF5"/>
    <w:rsid w:val="35616772"/>
    <w:rsid w:val="35EA1663"/>
    <w:rsid w:val="364B5657"/>
    <w:rsid w:val="364C598E"/>
    <w:rsid w:val="36CC2B0F"/>
    <w:rsid w:val="371A614D"/>
    <w:rsid w:val="37F80681"/>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2EC1C14"/>
    <w:rsid w:val="436B1E42"/>
    <w:rsid w:val="43993170"/>
    <w:rsid w:val="44054362"/>
    <w:rsid w:val="449C5E6A"/>
    <w:rsid w:val="456D114B"/>
    <w:rsid w:val="45EB670F"/>
    <w:rsid w:val="46AB7C0D"/>
    <w:rsid w:val="46D44808"/>
    <w:rsid w:val="47CF49E6"/>
    <w:rsid w:val="4843587B"/>
    <w:rsid w:val="48674ED2"/>
    <w:rsid w:val="487708E6"/>
    <w:rsid w:val="49645F71"/>
    <w:rsid w:val="499F5C68"/>
    <w:rsid w:val="49D33025"/>
    <w:rsid w:val="4AF16062"/>
    <w:rsid w:val="4B646DDD"/>
    <w:rsid w:val="4B7F44F8"/>
    <w:rsid w:val="4BAC24C5"/>
    <w:rsid w:val="4BFA0656"/>
    <w:rsid w:val="4C5567C9"/>
    <w:rsid w:val="4CCF6F5D"/>
    <w:rsid w:val="4D730507"/>
    <w:rsid w:val="4D741DD3"/>
    <w:rsid w:val="4DC93207"/>
    <w:rsid w:val="4E2A22FD"/>
    <w:rsid w:val="4E8D5761"/>
    <w:rsid w:val="4EC513ED"/>
    <w:rsid w:val="4EF54A85"/>
    <w:rsid w:val="4F6F75D9"/>
    <w:rsid w:val="501B3C66"/>
    <w:rsid w:val="504B40C5"/>
    <w:rsid w:val="50987DC2"/>
    <w:rsid w:val="50A4703E"/>
    <w:rsid w:val="5136104F"/>
    <w:rsid w:val="515204D9"/>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A6B3C"/>
    <w:rsid w:val="5BEC6771"/>
    <w:rsid w:val="5CA506B9"/>
    <w:rsid w:val="5CFD5FB2"/>
    <w:rsid w:val="5D2B52D8"/>
    <w:rsid w:val="5D5A7C63"/>
    <w:rsid w:val="5D982FB0"/>
    <w:rsid w:val="5E256F6F"/>
    <w:rsid w:val="5EA03E48"/>
    <w:rsid w:val="5ECC33AB"/>
    <w:rsid w:val="5F6235A9"/>
    <w:rsid w:val="60A87BF0"/>
    <w:rsid w:val="614125C2"/>
    <w:rsid w:val="624C5C52"/>
    <w:rsid w:val="636E1544"/>
    <w:rsid w:val="63952BB5"/>
    <w:rsid w:val="63DF08E4"/>
    <w:rsid w:val="63F104E4"/>
    <w:rsid w:val="64127E15"/>
    <w:rsid w:val="64C04AFD"/>
    <w:rsid w:val="661A7B69"/>
    <w:rsid w:val="664909C1"/>
    <w:rsid w:val="66C63EB5"/>
    <w:rsid w:val="677772D0"/>
    <w:rsid w:val="679461D3"/>
    <w:rsid w:val="6858287E"/>
    <w:rsid w:val="68FA5E59"/>
    <w:rsid w:val="69157114"/>
    <w:rsid w:val="691A443E"/>
    <w:rsid w:val="6A80735F"/>
    <w:rsid w:val="6ACC5E47"/>
    <w:rsid w:val="6ACF2E50"/>
    <w:rsid w:val="6AD43ED1"/>
    <w:rsid w:val="6B11024D"/>
    <w:rsid w:val="6B7D5B36"/>
    <w:rsid w:val="6CF120A8"/>
    <w:rsid w:val="6F6407B4"/>
    <w:rsid w:val="714213DD"/>
    <w:rsid w:val="717F272E"/>
    <w:rsid w:val="71AC6C31"/>
    <w:rsid w:val="728027C6"/>
    <w:rsid w:val="72D54D7C"/>
    <w:rsid w:val="737664E0"/>
    <w:rsid w:val="73FE7ACC"/>
    <w:rsid w:val="74053F35"/>
    <w:rsid w:val="74556746"/>
    <w:rsid w:val="74AB7A24"/>
    <w:rsid w:val="75E96C6F"/>
    <w:rsid w:val="76BB79B1"/>
    <w:rsid w:val="76C17E06"/>
    <w:rsid w:val="76CA67BD"/>
    <w:rsid w:val="76E611E3"/>
    <w:rsid w:val="774E6400"/>
    <w:rsid w:val="775B0046"/>
    <w:rsid w:val="78796248"/>
    <w:rsid w:val="79700BEF"/>
    <w:rsid w:val="79F85634"/>
    <w:rsid w:val="7A090695"/>
    <w:rsid w:val="7AD43A68"/>
    <w:rsid w:val="7ADE7872"/>
    <w:rsid w:val="7AE175F4"/>
    <w:rsid w:val="7B417685"/>
    <w:rsid w:val="7B5220F0"/>
    <w:rsid w:val="7BA169C0"/>
    <w:rsid w:val="7BE95D3C"/>
    <w:rsid w:val="7CAD595B"/>
    <w:rsid w:val="7CF65D07"/>
    <w:rsid w:val="7D2975D1"/>
    <w:rsid w:val="7D667B8A"/>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烟雨</cp:lastModifiedBy>
  <cp:lastPrinted>2022-02-21T08:08:00Z</cp:lastPrinted>
  <dcterms:modified xsi:type="dcterms:W3CDTF">2024-01-26T05:57:36Z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45D891188BB3485FB203A5EA1AAE3A23_13</vt:lpwstr>
  </property>
</Properties>
</file>