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bookmarkEnd w:id="0"/>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val="en-US" w:eastAsia="zh-CN"/>
        </w:rPr>
        <w:t>通榆县园林管理处</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rPr>
          <w:rFonts w:eastAsia="黑体"/>
        </w:rPr>
      </w:pPr>
    </w:p>
    <w:p>
      <w:pPr>
        <w:rPr>
          <w:rFonts w:eastAsia="黑体"/>
        </w:rPr>
      </w:pPr>
    </w:p>
    <w:p>
      <w:pPr>
        <w:rPr>
          <w:rFonts w:eastAsia="黑体"/>
        </w:rPr>
      </w:pPr>
    </w:p>
    <w:p>
      <w:pPr>
        <w:ind w:firstLine="640" w:firstLineChars="200"/>
        <w:rPr>
          <w:rFonts w:eastAsia="黑体"/>
        </w:rPr>
      </w:pPr>
    </w:p>
    <w:p>
      <w:pPr>
        <w:ind w:firstLine="640" w:firstLineChars="200"/>
        <w:rPr>
          <w:rFonts w:hint="eastAsia" w:eastAsia="黑体"/>
          <w:lang w:eastAsia="zh-CN"/>
        </w:rPr>
      </w:pPr>
      <w:r>
        <w:rPr>
          <w:rFonts w:hint="eastAsia" w:eastAsia="黑体"/>
          <w:lang w:val="en-US" w:eastAsia="zh-CN"/>
        </w:rPr>
        <w:t xml:space="preserve"> </w:t>
      </w: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一)按照城市总体规划和设计，负责县内园林绿化系统规划，编制城镇绿地系统规划，落实绿线管制制度，实施城市公共绿地建设;</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(二)园林绿化建设，执行有关城市绿化管理、公园方面的法律、法规、规章和有关方针、政策，协助主管部门拟定公园开发、发展总体规划和中长期计划，并组织实施: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(三)园林绿化、美化管理与维护，负责绿地和绿地以外的树木、花草的建设养护和管理，对绿化责任主体单位所负责的绿地养护、管理进行技术指导;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(四)园林绿化工程设计;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(五)负责指导、督促、检查城市绿化工作，对破坏、损害园林绿化设施、擅自砍伐城区树木，非法占用公共绿地的行为进行监督;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(六)负责城市园林植物育种、引种驯化工作;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(七)负责公园和广场的日常保洁;</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(八)负责对城市公共场所的古树名木建档、造册、设置标志，实行重点保护、统一管理。对于各单位或私人的古树名木，进行技术指导和监督</w:t>
      </w:r>
      <w:r>
        <w:rPr>
          <w:rFonts w:hint="eastAsia" w:ascii="仿宋" w:hAnsi="仿宋" w:eastAsia="仿宋" w:cs="仿宋"/>
          <w:sz w:val="32"/>
          <w:szCs w:val="32"/>
          <w:lang w:eastAsia="zh-CN"/>
        </w:rPr>
        <w:t>。</w:t>
      </w:r>
    </w:p>
    <w:p>
      <w:pPr>
        <w:ind w:firstLine="420" w:firstLineChars="200"/>
        <w:rPr>
          <w:rFonts w:hint="eastAsia" w:ascii="仿宋_GB2312" w:hAnsi="仿宋_GB2312" w:eastAsia="仿宋_GB2312" w:cs="仿宋_GB2312"/>
          <w:color w:val="000000"/>
          <w:sz w:val="21"/>
          <w:szCs w:val="21"/>
        </w:rPr>
      </w:pPr>
    </w:p>
    <w:p>
      <w:pPr>
        <w:ind w:firstLine="640" w:firstLineChars="200"/>
      </w:pPr>
      <w:r>
        <w:rPr>
          <w:rFonts w:eastAsia="楷体_GB2312"/>
        </w:rPr>
        <w:t>二、机构设置</w:t>
      </w:r>
    </w:p>
    <w:p>
      <w:pPr>
        <w:pStyle w:val="51"/>
        <w:ind w:firstLine="640" w:firstLineChars="200"/>
        <w:rPr>
          <w:rFonts w:hint="eastAsia" w:ascii="仿宋" w:hAnsi="仿宋" w:eastAsia="仿宋" w:cs="仿宋"/>
          <w:lang w:val="en-US" w:eastAsia="zh-CN"/>
        </w:rPr>
      </w:pPr>
      <w:r>
        <w:rPr>
          <w:rFonts w:eastAsia="仿宋_GB2312"/>
        </w:rPr>
        <w:t>根据上述职责，</w:t>
      </w:r>
      <w:r>
        <w:rPr>
          <w:rFonts w:hint="eastAsia" w:eastAsia="仿宋_GB2312"/>
          <w:u w:val="single"/>
          <w:lang w:val="en-US" w:eastAsia="zh-CN"/>
        </w:rPr>
        <w:t>通榆县园林管理处</w:t>
      </w:r>
      <w:r>
        <w:rPr>
          <w:rFonts w:eastAsia="仿宋_GB2312"/>
        </w:rPr>
        <w:t>内设</w:t>
      </w:r>
      <w:r>
        <w:rPr>
          <w:rFonts w:hint="eastAsia" w:eastAsia="仿宋_GB2312"/>
          <w:u w:val="single"/>
          <w:lang w:val="en-US" w:eastAsia="zh-CN"/>
        </w:rPr>
        <w:t>9</w:t>
      </w:r>
      <w:r>
        <w:rPr>
          <w:rFonts w:eastAsia="仿宋_GB2312"/>
        </w:rPr>
        <w:t>个机构</w:t>
      </w:r>
      <w:r>
        <w:rPr>
          <w:rFonts w:hint="eastAsia" w:eastAsia="仿宋_GB2312"/>
          <w:lang w:eastAsia="zh-CN"/>
        </w:rPr>
        <w:t>，</w:t>
      </w:r>
      <w:r>
        <w:rPr>
          <w:rFonts w:hint="eastAsia" w:eastAsia="仿宋_GB2312"/>
          <w:lang w:val="en-US" w:eastAsia="zh-CN"/>
        </w:rPr>
        <w:t>分别是</w:t>
      </w:r>
      <w:r>
        <w:rPr>
          <w:rFonts w:hint="eastAsia" w:ascii="仿宋" w:hAnsi="仿宋" w:eastAsia="仿宋" w:cs="仿宋"/>
          <w:b w:val="0"/>
          <w:bCs/>
          <w:color w:val="auto"/>
          <w:spacing w:val="0"/>
          <w:position w:val="0"/>
          <w:sz w:val="32"/>
          <w:szCs w:val="32"/>
          <w:shd w:val="clear" w:fill="auto"/>
          <w:lang w:val="en-US" w:eastAsia="zh-CN"/>
        </w:rPr>
        <w:t>综合</w:t>
      </w:r>
      <w:r>
        <w:rPr>
          <w:rFonts w:hint="eastAsia" w:ascii="仿宋" w:hAnsi="仿宋" w:eastAsia="仿宋" w:cs="仿宋"/>
          <w:b w:val="0"/>
          <w:bCs/>
          <w:color w:val="auto"/>
          <w:spacing w:val="0"/>
          <w:position w:val="0"/>
          <w:sz w:val="32"/>
          <w:szCs w:val="32"/>
          <w:shd w:val="clear" w:fill="auto"/>
        </w:rPr>
        <w:t>办公室、财会室、</w:t>
      </w:r>
      <w:r>
        <w:rPr>
          <w:rFonts w:hint="eastAsia" w:ascii="仿宋" w:hAnsi="仿宋" w:eastAsia="仿宋" w:cs="仿宋"/>
          <w:b w:val="0"/>
          <w:bCs/>
          <w:color w:val="auto"/>
          <w:spacing w:val="0"/>
          <w:position w:val="0"/>
          <w:sz w:val="32"/>
          <w:szCs w:val="32"/>
          <w:shd w:val="clear" w:fill="auto"/>
          <w:lang w:val="en-US" w:eastAsia="zh-CN"/>
        </w:rPr>
        <w:t>党办、车队、</w:t>
      </w:r>
      <w:r>
        <w:rPr>
          <w:rFonts w:hint="eastAsia" w:ascii="仿宋" w:hAnsi="仿宋" w:eastAsia="仿宋" w:cs="仿宋"/>
          <w:b w:val="0"/>
          <w:bCs/>
          <w:color w:val="auto"/>
          <w:spacing w:val="0"/>
          <w:position w:val="0"/>
          <w:sz w:val="32"/>
          <w:szCs w:val="32"/>
          <w:shd w:val="clear" w:fill="auto"/>
        </w:rPr>
        <w:t>程控室、站前广场管理科、铁西花圃、绿化队、墨宝园管理科。</w:t>
      </w:r>
    </w:p>
    <w:p>
      <w:pPr>
        <w:pStyle w:val="51"/>
        <w:ind w:firstLine="640" w:firstLineChars="200"/>
        <w:rPr>
          <w:rFonts w:eastAsia="楷体"/>
        </w:rPr>
      </w:pPr>
      <w:r>
        <w:rPr>
          <w:rFonts w:hint="eastAsia" w:eastAsia="仿宋_GB2312"/>
          <w:lang w:val="en-US" w:eastAsia="zh-CN"/>
        </w:rPr>
        <w:t>事业编制32人，在职22人。</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462.44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462.44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0.66</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387.73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color w:val="000000"/>
                <w:kern w:val="0"/>
                <w:sz w:val="20"/>
                <w:lang w:val="en-US" w:eastAsia="zh-CN"/>
              </w:rPr>
              <w:t>387.73</w:t>
            </w:r>
          </w:p>
        </w:tc>
        <w:tc>
          <w:tcPr>
            <w:tcW w:w="1158"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0.66</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22.86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22.86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仿宋_GB2312"/>
                <w:b w:val="0"/>
                <w:bCs/>
                <w:color w:val="000000"/>
                <w:kern w:val="0"/>
                <w:sz w:val="20"/>
                <w:lang w:val="en-US" w:eastAsia="zh-CN"/>
              </w:rPr>
            </w:pPr>
            <w:r>
              <w:rPr>
                <w:rFonts w:hint="eastAsia" w:ascii="仿宋_GB2312"/>
                <w:b w:val="0"/>
                <w:bCs/>
                <w:color w:val="000000"/>
                <w:kern w:val="0"/>
                <w:sz w:val="20"/>
              </w:rPr>
              <w:t>十、</w:t>
            </w:r>
            <w:r>
              <w:rPr>
                <w:rFonts w:hint="eastAsia" w:ascii="仿宋_GB2312"/>
                <w:b w:val="0"/>
                <w:bCs/>
                <w:color w:val="000000"/>
                <w:kern w:val="0"/>
                <w:sz w:val="20"/>
                <w:lang w:val="en-US"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12.57</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12.57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0.66</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462.44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462.44</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0.66</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通榆县园林管理处</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463.10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462.44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462.44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0.66</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0.66</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7.46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7.46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388.39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227.41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160.98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城乡社区环境卫生</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388.39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227.41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160.98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城乡社区环境卫生</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388.39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227.41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160.98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463.10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302.12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160.98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52"/>
              <w:gridCol w:w="825"/>
              <w:gridCol w:w="662"/>
              <w:gridCol w:w="1721"/>
              <w:gridCol w:w="864"/>
              <w:gridCol w:w="818"/>
              <w:gridCol w:w="670"/>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5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2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6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5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2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6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462.44</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462.44</w:t>
                  </w:r>
                </w:p>
              </w:tc>
              <w:tc>
                <w:tcPr>
                  <w:tcW w:w="6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0.66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462.44</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6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val="0"/>
                      <w:bCs/>
                      <w:kern w:val="0"/>
                      <w:sz w:val="20"/>
                      <w:lang w:val="en-US" w:eastAsia="zh-CN" w:bidi="ar-SA"/>
                    </w:rPr>
                  </w:pPr>
                  <w:r>
                    <w:rPr>
                      <w:rFonts w:hint="eastAsia" w:ascii="宋体" w:hAnsi="宋体" w:eastAsia="宋体" w:cs="宋体"/>
                      <w:b w:val="0"/>
                      <w:bCs/>
                      <w:kern w:val="0"/>
                      <w:sz w:val="20"/>
                    </w:rPr>
                    <w:t>五、</w:t>
                  </w:r>
                  <w:r>
                    <w:rPr>
                      <w:rFonts w:hint="eastAsia" w:ascii="宋体" w:hAnsi="宋体" w:eastAsia="宋体" w:cs="宋体"/>
                      <w:b w:val="0"/>
                      <w:bCs/>
                      <w:kern w:val="0"/>
                      <w:sz w:val="20"/>
                      <w:lang w:val="en-US"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12.57</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12.57</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39.27</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39.27</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lang w:val="en-US" w:eastAsia="zh-CN"/>
                    </w:rPr>
                    <w:t>七</w:t>
                  </w:r>
                  <w:r>
                    <w:rPr>
                      <w:rFonts w:hint="eastAsia" w:ascii="宋体" w:hAnsi="宋体" w:eastAsia="宋体" w:cs="宋体"/>
                      <w:b w:val="0"/>
                      <w:bCs/>
                      <w:kern w:val="0"/>
                      <w:sz w:val="20"/>
                    </w:rPr>
                    <w:t>、城乡社区</w:t>
                  </w:r>
                  <w:r>
                    <w:rPr>
                      <w:rFonts w:hint="eastAsia" w:ascii="宋体" w:hAnsi="宋体" w:eastAsia="宋体" w:cs="宋体"/>
                      <w:b w:val="0"/>
                      <w:bCs/>
                      <w:kern w:val="0"/>
                      <w:sz w:val="20"/>
                      <w:lang w:val="en-US" w:eastAsia="zh-CN"/>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388.39</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388.39</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lang w:val="en-US" w:eastAsia="zh-CN"/>
                    </w:rPr>
                    <w:t>八</w:t>
                  </w:r>
                  <w:r>
                    <w:rPr>
                      <w:rFonts w:hint="eastAsia" w:ascii="宋体" w:hAnsi="宋体" w:eastAsia="宋体" w:cs="宋体"/>
                      <w:b w:val="0"/>
                      <w:bCs/>
                      <w:kern w:val="0"/>
                      <w:sz w:val="20"/>
                    </w:rPr>
                    <w:t>、住房保障支出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22.86</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22.86</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lang w:val="en-US" w:eastAsia="zh-CN"/>
                    </w:rPr>
                    <w:t>九</w:t>
                  </w:r>
                  <w:r>
                    <w:rPr>
                      <w:rFonts w:hint="eastAsia" w:ascii="宋体" w:hAnsi="宋体" w:eastAsia="宋体" w:cs="宋体"/>
                      <w:b w:val="0"/>
                      <w:bCs/>
                      <w:kern w:val="0"/>
                      <w:sz w:val="20"/>
                    </w:rPr>
                    <w:t>、粮油物资管理事务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w:t>
                  </w:r>
                  <w:r>
                    <w:rPr>
                      <w:rFonts w:hint="eastAsia" w:ascii="宋体" w:hAnsi="宋体" w:eastAsia="宋体" w:cs="宋体"/>
                      <w:b w:val="0"/>
                      <w:bCs/>
                      <w:kern w:val="0"/>
                      <w:sz w:val="20"/>
                      <w:lang w:val="en-US" w:eastAsia="zh-CN"/>
                    </w:rPr>
                    <w:t>一</w:t>
                  </w:r>
                  <w:r>
                    <w:rPr>
                      <w:rFonts w:hint="eastAsia" w:ascii="宋体" w:hAnsi="宋体" w:eastAsia="宋体" w:cs="宋体"/>
                      <w:b w:val="0"/>
                      <w:bCs/>
                      <w:kern w:val="0"/>
                      <w:sz w:val="20"/>
                    </w:rPr>
                    <w:t>、其他支出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462.44</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6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463.10</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463.10</w:t>
                  </w: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2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6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462.44</w:t>
                  </w:r>
                  <w:r>
                    <w:rPr>
                      <w:rFonts w:eastAsia="宋体"/>
                      <w:kern w:val="0"/>
                      <w:sz w:val="20"/>
                    </w:rPr>
                    <w:t>　</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462.44</w:t>
                  </w:r>
                </w:p>
              </w:tc>
              <w:tc>
                <w:tcPr>
                  <w:tcW w:w="66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463.10</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463.10</w:t>
                  </w: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华文细黑"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华文细黑"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39.27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7.46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城乡社区支出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388.39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206.29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21.12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160.98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城乡社区环境卫生</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388.39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206.29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21.12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160.98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城乡社区环境卫生</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388.39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227.41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206.29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21.12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160.98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0"/>
                      <w:sz w:val="20"/>
                      <w:szCs w:val="20"/>
                      <w:u w:val="none"/>
                      <w:lang w:val="en-US" w:eastAsia="zh-CN" w:bidi="ar"/>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463.10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302.12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281.00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center"/>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21.12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160.98</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340"/>
        <w:gridCol w:w="2056"/>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both"/>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340"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056"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94" w:hRule="atLeast"/>
          <w:jc w:val="center"/>
        </w:trPr>
        <w:tc>
          <w:tcPr>
            <w:tcW w:w="334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05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267.74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267.74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基本工资</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106.10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106.10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津贴补贴</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6.92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6.92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奖金</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20.81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20.81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绩效工资</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56.68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56.68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机关事业单位基本养老保险缴费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职业年金缴费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7.46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7.46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职工基本医疗保险缴费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其他社会保障缴费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1.71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1.71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住房公积金</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22.86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其他工资福利支出</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21.12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21.12</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办公费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电费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3.48</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邮电费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0.45</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取暖费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1.21</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差旅费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2.4</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维修（护）费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3.6</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租赁费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0.84</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其他交通费用</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3.00</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其他商品和服务支出</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4.94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4.94</w:t>
            </w: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对个人和家庭的补助</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13.26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13.26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44"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退休费</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12.09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生活补助</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388"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eastAsia="宋体"/>
                <w:color w:val="000000"/>
                <w:sz w:val="20"/>
                <w:lang w:val="en-US" w:eastAsia="zh-CN"/>
              </w:rPr>
            </w:pPr>
            <w:r>
              <w:rPr>
                <w:rFonts w:hint="eastAsia" w:eastAsia="宋体"/>
                <w:color w:val="000000"/>
                <w:sz w:val="20"/>
                <w:lang w:val="en-US" w:eastAsia="zh-CN"/>
              </w:rPr>
              <w:t>合计</w:t>
            </w:r>
          </w:p>
        </w:tc>
        <w:tc>
          <w:tcPr>
            <w:tcW w:w="2056" w:type="dxa"/>
            <w:tcBorders>
              <w:top w:val="single" w:color="auto" w:sz="4" w:space="0"/>
              <w:left w:val="single" w:color="auto" w:sz="4" w:space="0"/>
              <w:bottom w:val="single" w:color="auto" w:sz="4" w:space="0"/>
              <w:right w:val="single" w:color="auto" w:sz="4" w:space="0"/>
            </w:tcBorders>
            <w:shd w:val="clear" w:color="000000" w:fill="FFFFFF"/>
            <w:noWrap w:val="0"/>
            <w:vAlign w:val="bottom"/>
          </w:tcPr>
          <w:p>
            <w:pPr>
              <w:keepNext w:val="0"/>
              <w:keepLines w:val="0"/>
              <w:widowControl/>
              <w:suppressLineNumbers w:val="0"/>
              <w:jc w:val="right"/>
              <w:textAlignment w:val="bottom"/>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302.12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sz w:val="22"/>
                <w:szCs w:val="15"/>
                <w:lang w:val="en-US" w:eastAsia="zh-CN"/>
              </w:rPr>
              <w:t>281.00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仿宋_GB2312"/>
                <w:lang w:val="en-US" w:eastAsia="zh-CN"/>
              </w:rPr>
            </w:pPr>
            <w:r>
              <w:rPr>
                <w:rFonts w:hint="eastAsia"/>
                <w:sz w:val="24"/>
                <w:szCs w:val="16"/>
                <w:lang w:val="en-US" w:eastAsia="zh-CN"/>
              </w:rPr>
              <w:t>21.12</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742"/>
        <w:gridCol w:w="675"/>
        <w:gridCol w:w="705"/>
        <w:gridCol w:w="405"/>
        <w:gridCol w:w="463"/>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hint="eastAsia" w:ascii="Calibri" w:hAnsi="Calibri" w:eastAsia="华文细黑"/>
                <w:color w:val="000000"/>
                <w:sz w:val="20"/>
                <w:szCs w:val="22"/>
              </w:rPr>
            </w:pPr>
            <w:r>
              <w:rPr>
                <w:rFonts w:hint="eastAsia" w:ascii="Calibri" w:hAnsi="Calibri" w:eastAsia="方正小标宋简体"/>
                <w:kern w:val="0"/>
                <w:sz w:val="44"/>
                <w:szCs w:val="44"/>
                <w:highlight w:val="none"/>
              </w:rPr>
              <w:t>项目支出</w:t>
            </w:r>
            <w:r>
              <w:rPr>
                <w:rFonts w:ascii="Calibri" w:hAnsi="Calibri" w:eastAsia="方正小标宋简体"/>
                <w:kern w:val="0"/>
                <w:sz w:val="44"/>
                <w:szCs w:val="44"/>
                <w:highlight w:val="none"/>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4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7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73"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59"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项目名称</w:t>
            </w:r>
          </w:p>
        </w:tc>
        <w:tc>
          <w:tcPr>
            <w:tcW w:w="742"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w:t>
            </w:r>
          </w:p>
        </w:tc>
        <w:tc>
          <w:tcPr>
            <w:tcW w:w="675"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合计</w:t>
            </w:r>
          </w:p>
        </w:tc>
        <w:tc>
          <w:tcPr>
            <w:tcW w:w="1573"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二级项目</w:t>
            </w:r>
          </w:p>
        </w:tc>
        <w:tc>
          <w:tcPr>
            <w:tcW w:w="742" w:type="dxa"/>
            <w:vMerge w:val="continue"/>
            <w:noWrap w:val="0"/>
            <w:vAlign w:val="center"/>
          </w:tcPr>
          <w:p>
            <w:pPr>
              <w:autoSpaceDN w:val="0"/>
              <w:jc w:val="center"/>
              <w:textAlignment w:val="center"/>
              <w:rPr>
                <w:rFonts w:ascii="Calibri" w:hAnsi="Calibri" w:eastAsia="华文细黑"/>
                <w:color w:val="000000"/>
                <w:sz w:val="20"/>
                <w:szCs w:val="22"/>
              </w:rPr>
            </w:pPr>
          </w:p>
        </w:tc>
        <w:tc>
          <w:tcPr>
            <w:tcW w:w="675" w:type="dxa"/>
            <w:vMerge w:val="continue"/>
            <w:noWrap w:val="0"/>
            <w:vAlign w:val="center"/>
          </w:tcPr>
          <w:p>
            <w:pPr>
              <w:autoSpaceDN w:val="0"/>
              <w:jc w:val="center"/>
              <w:textAlignment w:val="center"/>
              <w:rPr>
                <w:rFonts w:ascii="Calibri" w:hAnsi="Calibri" w:eastAsia="华文细黑"/>
                <w:color w:val="000000"/>
                <w:sz w:val="20"/>
                <w:szCs w:val="22"/>
              </w:rPr>
            </w:pPr>
          </w:p>
        </w:tc>
        <w:tc>
          <w:tcPr>
            <w:tcW w:w="705" w:type="dxa"/>
            <w:noWrap w:val="0"/>
            <w:vAlign w:val="center"/>
          </w:tcPr>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一般公共预算</w:t>
            </w:r>
          </w:p>
        </w:tc>
        <w:tc>
          <w:tcPr>
            <w:tcW w:w="40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预算</w:t>
            </w:r>
          </w:p>
        </w:tc>
        <w:tc>
          <w:tcPr>
            <w:tcW w:w="463"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ascii="Calibri" w:hAnsi="Calibri" w:eastAsia="华文细黑"/>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ascii="Calibri" w:hAnsi="Calibri" w:eastAsia="华文细黑"/>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jc w:val="center"/>
        </w:trPr>
        <w:tc>
          <w:tcPr>
            <w:tcW w:w="759" w:type="dxa"/>
            <w:noWrap w:val="0"/>
            <w:vAlign w:val="center"/>
          </w:tcPr>
          <w:p>
            <w:pPr>
              <w:numPr>
                <w:ilvl w:val="-1"/>
                <w:numId w:val="0"/>
              </w:numPr>
              <w:spacing w:line="700" w:lineRule="exact"/>
              <w:ind w:left="0" w:leftChars="0"/>
              <w:jc w:val="both"/>
              <w:rPr>
                <w:rFonts w:hint="default" w:ascii="Calibri" w:hAnsi="Calibri" w:eastAsia="华文细黑"/>
                <w:color w:val="000000"/>
                <w:sz w:val="16"/>
                <w:szCs w:val="20"/>
                <w:lang w:val="en-US" w:eastAsia="zh-CN"/>
              </w:rPr>
            </w:pPr>
            <w:r>
              <w:rPr>
                <w:rFonts w:hint="eastAsia" w:ascii="Calibri" w:hAnsi="Calibri" w:eastAsia="华文细黑"/>
                <w:color w:val="000000"/>
                <w:sz w:val="16"/>
                <w:szCs w:val="20"/>
                <w:lang w:val="en-US" w:eastAsia="zh-CN"/>
              </w:rPr>
              <w:t>专项业务支出</w:t>
            </w:r>
          </w:p>
        </w:tc>
        <w:tc>
          <w:tcPr>
            <w:tcW w:w="1063" w:type="dxa"/>
            <w:noWrap w:val="0"/>
            <w:vAlign w:val="center"/>
          </w:tcPr>
          <w:p>
            <w:pPr>
              <w:numPr>
                <w:ilvl w:val="-1"/>
                <w:numId w:val="0"/>
              </w:numPr>
              <w:spacing w:line="700" w:lineRule="exact"/>
              <w:ind w:left="0" w:leftChars="0"/>
              <w:jc w:val="both"/>
              <w:rPr>
                <w:rFonts w:hint="default" w:ascii="Calibri" w:hAnsi="Calibri" w:eastAsia="华文细黑"/>
                <w:color w:val="000000"/>
                <w:sz w:val="16"/>
                <w:szCs w:val="20"/>
                <w:lang w:val="en-US" w:eastAsia="zh-CN"/>
              </w:rPr>
            </w:pPr>
            <w:r>
              <w:rPr>
                <w:rFonts w:hint="eastAsia" w:ascii="Calibri" w:hAnsi="Calibri" w:eastAsia="华文细黑"/>
                <w:color w:val="000000"/>
                <w:sz w:val="16"/>
                <w:szCs w:val="20"/>
                <w:lang w:val="en-US" w:eastAsia="zh-CN"/>
              </w:rPr>
              <w:t>2024年城管大队综合管理资金</w:t>
            </w:r>
          </w:p>
        </w:tc>
        <w:tc>
          <w:tcPr>
            <w:tcW w:w="1107" w:type="dxa"/>
            <w:noWrap w:val="0"/>
            <w:vAlign w:val="center"/>
          </w:tcPr>
          <w:p>
            <w:pPr>
              <w:numPr>
                <w:ilvl w:val="-1"/>
                <w:numId w:val="0"/>
              </w:numPr>
              <w:spacing w:line="700" w:lineRule="exact"/>
              <w:ind w:left="0" w:leftChars="0"/>
              <w:jc w:val="both"/>
              <w:rPr>
                <w:rFonts w:hint="eastAsia" w:ascii="Calibri" w:hAnsi="Calibri" w:eastAsia="华文细黑"/>
                <w:color w:val="000000"/>
                <w:sz w:val="16"/>
                <w:szCs w:val="20"/>
              </w:rPr>
            </w:pPr>
          </w:p>
        </w:tc>
        <w:tc>
          <w:tcPr>
            <w:tcW w:w="742" w:type="dxa"/>
            <w:noWrap w:val="0"/>
            <w:vAlign w:val="center"/>
          </w:tcPr>
          <w:p>
            <w:pPr>
              <w:numPr>
                <w:ilvl w:val="-1"/>
                <w:numId w:val="0"/>
              </w:numPr>
              <w:spacing w:line="700" w:lineRule="exact"/>
              <w:ind w:left="0" w:leftChars="0"/>
              <w:jc w:val="both"/>
              <w:rPr>
                <w:rFonts w:ascii="Calibri" w:hAnsi="Calibri" w:eastAsia="华文细黑"/>
                <w:color w:val="000000"/>
                <w:sz w:val="21"/>
                <w:szCs w:val="24"/>
              </w:rPr>
            </w:pPr>
          </w:p>
        </w:tc>
        <w:tc>
          <w:tcPr>
            <w:tcW w:w="675" w:type="dxa"/>
            <w:noWrap w:val="0"/>
            <w:vAlign w:val="center"/>
          </w:tcPr>
          <w:p>
            <w:pPr>
              <w:numPr>
                <w:ilvl w:val="-1"/>
                <w:numId w:val="0"/>
              </w:numPr>
              <w:spacing w:line="700" w:lineRule="exact"/>
              <w:ind w:left="0" w:leftChars="0"/>
              <w:jc w:val="both"/>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160.32</w:t>
            </w:r>
          </w:p>
        </w:tc>
        <w:tc>
          <w:tcPr>
            <w:tcW w:w="705" w:type="dxa"/>
            <w:noWrap w:val="0"/>
            <w:vAlign w:val="center"/>
          </w:tcPr>
          <w:p>
            <w:pPr>
              <w:numPr>
                <w:ilvl w:val="-1"/>
                <w:numId w:val="0"/>
              </w:numPr>
              <w:spacing w:line="700" w:lineRule="exact"/>
              <w:ind w:left="0" w:leftChars="0" w:firstLine="0" w:firstLineChars="0"/>
              <w:jc w:val="both"/>
              <w:rPr>
                <w:rFonts w:hint="eastAsia" w:ascii="Calibri" w:hAnsi="Calibri" w:eastAsia="华文细黑" w:cs="Times New Roman"/>
                <w:color w:val="000000"/>
                <w:kern w:val="2"/>
                <w:sz w:val="16"/>
                <w:szCs w:val="16"/>
                <w:lang w:val="en-US" w:eastAsia="zh-CN" w:bidi="ar-SA"/>
              </w:rPr>
            </w:pPr>
            <w:r>
              <w:rPr>
                <w:rFonts w:hint="eastAsia" w:ascii="Calibri" w:hAnsi="Calibri" w:eastAsia="华文细黑"/>
                <w:color w:val="000000"/>
                <w:sz w:val="16"/>
                <w:szCs w:val="16"/>
                <w:lang w:val="en-US" w:eastAsia="zh-CN"/>
              </w:rPr>
              <w:t>160.32</w:t>
            </w:r>
          </w:p>
        </w:tc>
        <w:tc>
          <w:tcPr>
            <w:tcW w:w="405" w:type="dxa"/>
            <w:noWrap w:val="0"/>
            <w:vAlign w:val="center"/>
          </w:tcPr>
          <w:p>
            <w:pPr>
              <w:numPr>
                <w:ilvl w:val="-1"/>
                <w:numId w:val="0"/>
              </w:numPr>
              <w:spacing w:line="700" w:lineRule="exact"/>
              <w:ind w:left="0" w:leftChars="0"/>
              <w:jc w:val="both"/>
              <w:rPr>
                <w:rFonts w:hint="eastAsia" w:ascii="Calibri" w:hAnsi="Calibri" w:eastAsia="华文细黑"/>
                <w:color w:val="000000"/>
                <w:sz w:val="18"/>
                <w:szCs w:val="21"/>
              </w:rPr>
            </w:pPr>
          </w:p>
        </w:tc>
        <w:tc>
          <w:tcPr>
            <w:tcW w:w="463" w:type="dxa"/>
            <w:noWrap w:val="0"/>
            <w:vAlign w:val="center"/>
          </w:tcPr>
          <w:p>
            <w:pPr>
              <w:numPr>
                <w:ilvl w:val="-1"/>
                <w:numId w:val="0"/>
              </w:numPr>
              <w:spacing w:line="700" w:lineRule="exact"/>
              <w:ind w:left="0" w:leftChars="0"/>
              <w:jc w:val="both"/>
              <w:rPr>
                <w:rFonts w:hint="eastAsia" w:ascii="Calibri" w:hAnsi="Calibri" w:eastAsia="华文细黑"/>
                <w:color w:val="000000"/>
                <w:sz w:val="18"/>
                <w:szCs w:val="21"/>
              </w:rPr>
            </w:pPr>
          </w:p>
        </w:tc>
        <w:tc>
          <w:tcPr>
            <w:tcW w:w="564" w:type="dxa"/>
            <w:noWrap w:val="0"/>
            <w:vAlign w:val="center"/>
          </w:tcPr>
          <w:p>
            <w:pPr>
              <w:numPr>
                <w:ilvl w:val="-1"/>
                <w:numId w:val="0"/>
              </w:numPr>
              <w:spacing w:line="700" w:lineRule="exact"/>
              <w:ind w:left="0" w:leftChars="0"/>
              <w:jc w:val="both"/>
              <w:rPr>
                <w:rFonts w:hint="eastAsia" w:ascii="Calibri" w:hAnsi="Calibri" w:eastAsia="华文细黑"/>
                <w:color w:val="000000"/>
                <w:sz w:val="18"/>
                <w:szCs w:val="21"/>
              </w:rPr>
            </w:pPr>
          </w:p>
        </w:tc>
        <w:tc>
          <w:tcPr>
            <w:tcW w:w="532" w:type="dxa"/>
            <w:noWrap w:val="0"/>
            <w:vAlign w:val="center"/>
          </w:tcPr>
          <w:p>
            <w:pPr>
              <w:numPr>
                <w:ilvl w:val="-1"/>
                <w:numId w:val="0"/>
              </w:numPr>
              <w:spacing w:line="700" w:lineRule="exact"/>
              <w:ind w:left="0" w:leftChars="0"/>
              <w:jc w:val="both"/>
              <w:rPr>
                <w:rFonts w:hint="eastAsia" w:ascii="Calibri" w:hAnsi="Calibri" w:eastAsia="华文细黑"/>
                <w:color w:val="000000"/>
                <w:sz w:val="18"/>
                <w:szCs w:val="21"/>
              </w:rPr>
            </w:pPr>
          </w:p>
        </w:tc>
        <w:tc>
          <w:tcPr>
            <w:tcW w:w="598" w:type="dxa"/>
            <w:noWrap w:val="0"/>
            <w:vAlign w:val="center"/>
          </w:tcPr>
          <w:p>
            <w:pPr>
              <w:numPr>
                <w:ilvl w:val="-1"/>
                <w:numId w:val="0"/>
              </w:numPr>
              <w:spacing w:line="700" w:lineRule="exact"/>
              <w:ind w:left="0" w:leftChars="0"/>
              <w:jc w:val="both"/>
              <w:rPr>
                <w:rFonts w:hint="eastAsia" w:ascii="Calibri" w:hAnsi="Calibri" w:eastAsia="华文细黑"/>
                <w:color w:val="000000"/>
                <w:sz w:val="18"/>
                <w:szCs w:val="21"/>
              </w:rPr>
            </w:pPr>
          </w:p>
        </w:tc>
        <w:tc>
          <w:tcPr>
            <w:tcW w:w="443" w:type="dxa"/>
            <w:noWrap w:val="0"/>
            <w:vAlign w:val="center"/>
          </w:tcPr>
          <w:p>
            <w:pPr>
              <w:numPr>
                <w:ilvl w:val="-1"/>
                <w:numId w:val="0"/>
              </w:numPr>
              <w:spacing w:line="700" w:lineRule="exact"/>
              <w:ind w:left="0" w:leftChars="0"/>
              <w:jc w:val="both"/>
              <w:rPr>
                <w:rFonts w:ascii="Calibri" w:hAnsi="Calibri" w:eastAsia="华文细黑"/>
                <w:color w:val="000000"/>
                <w:sz w:val="18"/>
                <w:szCs w:val="21"/>
              </w:rPr>
            </w:pPr>
          </w:p>
        </w:tc>
        <w:tc>
          <w:tcPr>
            <w:tcW w:w="425" w:type="dxa"/>
            <w:noWrap w:val="0"/>
            <w:vAlign w:val="center"/>
          </w:tcPr>
          <w:p>
            <w:pPr>
              <w:spacing w:line="700" w:lineRule="exact"/>
              <w:jc w:val="center"/>
              <w:rPr>
                <w:rFonts w:ascii="Calibri" w:hAnsi="Calibri" w:eastAsia="华文细黑"/>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9" w:type="dxa"/>
            <w:noWrap w:val="0"/>
            <w:vAlign w:val="center"/>
          </w:tcPr>
          <w:p>
            <w:pPr>
              <w:autoSpaceDN w:val="0"/>
              <w:jc w:val="center"/>
              <w:textAlignment w:val="center"/>
              <w:rPr>
                <w:rFonts w:hint="default" w:ascii="Calibri" w:hAnsi="Calibri" w:eastAsia="华文细黑"/>
                <w:color w:val="000000"/>
                <w:sz w:val="16"/>
                <w:szCs w:val="20"/>
                <w:lang w:val="en-US" w:eastAsia="zh-CN"/>
              </w:rPr>
            </w:pPr>
          </w:p>
        </w:tc>
        <w:tc>
          <w:tcPr>
            <w:tcW w:w="1063" w:type="dxa"/>
            <w:noWrap w:val="0"/>
            <w:vAlign w:val="center"/>
          </w:tcPr>
          <w:p>
            <w:pPr>
              <w:autoSpaceDN w:val="0"/>
              <w:jc w:val="both"/>
              <w:textAlignment w:val="center"/>
              <w:rPr>
                <w:rFonts w:hint="default" w:ascii="Calibri" w:hAnsi="Calibri" w:eastAsia="华文细黑"/>
                <w:color w:val="000000"/>
                <w:sz w:val="16"/>
                <w:szCs w:val="20"/>
                <w:lang w:val="en-US" w:eastAsia="zh-CN"/>
              </w:rPr>
            </w:pPr>
          </w:p>
        </w:tc>
        <w:tc>
          <w:tcPr>
            <w:tcW w:w="1107" w:type="dxa"/>
            <w:noWrap w:val="0"/>
            <w:vAlign w:val="center"/>
          </w:tcPr>
          <w:p>
            <w:pPr>
              <w:autoSpaceDN w:val="0"/>
              <w:jc w:val="both"/>
              <w:textAlignment w:val="center"/>
              <w:rPr>
                <w:rFonts w:hint="default" w:ascii="Calibri" w:hAnsi="Calibri" w:eastAsia="华文细黑"/>
                <w:color w:val="000000"/>
                <w:sz w:val="16"/>
                <w:szCs w:val="20"/>
                <w:lang w:val="en-US" w:eastAsia="zh-CN"/>
              </w:rPr>
            </w:pPr>
            <w:r>
              <w:rPr>
                <w:rFonts w:hint="eastAsia" w:ascii="Calibri" w:hAnsi="Calibri" w:eastAsia="华文细黑"/>
                <w:color w:val="000000"/>
                <w:sz w:val="16"/>
                <w:szCs w:val="20"/>
                <w:lang w:val="en-US" w:eastAsia="zh-CN"/>
              </w:rPr>
              <w:t>园林处临时工工资1069200元</w:t>
            </w:r>
          </w:p>
        </w:tc>
        <w:tc>
          <w:tcPr>
            <w:tcW w:w="742" w:type="dxa"/>
            <w:noWrap w:val="0"/>
            <w:vAlign w:val="center"/>
          </w:tcPr>
          <w:p>
            <w:pPr>
              <w:autoSpaceDN w:val="0"/>
              <w:jc w:val="center"/>
              <w:textAlignment w:val="center"/>
              <w:rPr>
                <w:rFonts w:hint="default" w:ascii="Calibri" w:hAnsi="Calibri" w:eastAsia="华文细黑"/>
                <w:color w:val="000000"/>
                <w:sz w:val="21"/>
                <w:szCs w:val="24"/>
                <w:lang w:val="en-US" w:eastAsia="zh-CN"/>
              </w:rPr>
            </w:pPr>
            <w:r>
              <w:rPr>
                <w:rFonts w:hint="eastAsia" w:ascii="Calibri" w:hAnsi="Calibri" w:eastAsia="华文细黑"/>
                <w:color w:val="000000"/>
                <w:sz w:val="16"/>
                <w:szCs w:val="20"/>
                <w:lang w:val="en-US" w:eastAsia="zh-CN"/>
              </w:rPr>
              <w:t>通榆县园林管理处</w:t>
            </w:r>
          </w:p>
        </w:tc>
        <w:tc>
          <w:tcPr>
            <w:tcW w:w="675"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106.92</w:t>
            </w:r>
          </w:p>
        </w:tc>
        <w:tc>
          <w:tcPr>
            <w:tcW w:w="705" w:type="dxa"/>
            <w:noWrap w:val="0"/>
            <w:vAlign w:val="center"/>
          </w:tcPr>
          <w:p>
            <w:pPr>
              <w:autoSpaceDN w:val="0"/>
              <w:jc w:val="center"/>
              <w:textAlignment w:val="center"/>
              <w:rPr>
                <w:rFonts w:hint="eastAsia" w:ascii="Calibri" w:hAnsi="Calibri" w:eastAsia="华文细黑" w:cs="Times New Roman"/>
                <w:color w:val="000000"/>
                <w:kern w:val="2"/>
                <w:sz w:val="16"/>
                <w:szCs w:val="16"/>
                <w:lang w:val="en-US" w:eastAsia="zh-CN" w:bidi="ar-SA"/>
              </w:rPr>
            </w:pPr>
            <w:r>
              <w:rPr>
                <w:rFonts w:hint="eastAsia" w:ascii="Calibri" w:hAnsi="Calibri" w:eastAsia="华文细黑"/>
                <w:color w:val="000000"/>
                <w:sz w:val="16"/>
                <w:szCs w:val="16"/>
                <w:lang w:val="en-US" w:eastAsia="zh-CN"/>
              </w:rPr>
              <w:t>106.92</w:t>
            </w:r>
          </w:p>
        </w:tc>
        <w:tc>
          <w:tcPr>
            <w:tcW w:w="405" w:type="dxa"/>
            <w:noWrap w:val="0"/>
            <w:vAlign w:val="center"/>
          </w:tcPr>
          <w:p>
            <w:pPr>
              <w:autoSpaceDN w:val="0"/>
              <w:jc w:val="center"/>
              <w:textAlignment w:val="center"/>
              <w:rPr>
                <w:rFonts w:hint="eastAsia" w:ascii="Calibri" w:hAnsi="Calibri" w:eastAsia="华文细黑"/>
                <w:color w:val="000000"/>
                <w:sz w:val="18"/>
                <w:szCs w:val="21"/>
              </w:rPr>
            </w:pPr>
          </w:p>
        </w:tc>
        <w:tc>
          <w:tcPr>
            <w:tcW w:w="463" w:type="dxa"/>
            <w:noWrap w:val="0"/>
            <w:vAlign w:val="center"/>
          </w:tcPr>
          <w:p>
            <w:pPr>
              <w:autoSpaceDN w:val="0"/>
              <w:jc w:val="center"/>
              <w:textAlignment w:val="center"/>
              <w:rPr>
                <w:rFonts w:hint="eastAsia" w:ascii="Calibri" w:hAnsi="Calibri" w:eastAsia="华文细黑"/>
                <w:color w:val="000000"/>
                <w:sz w:val="18"/>
                <w:szCs w:val="21"/>
              </w:rPr>
            </w:pPr>
          </w:p>
        </w:tc>
        <w:tc>
          <w:tcPr>
            <w:tcW w:w="564" w:type="dxa"/>
            <w:noWrap w:val="0"/>
            <w:vAlign w:val="center"/>
          </w:tcPr>
          <w:p>
            <w:pPr>
              <w:autoSpaceDN w:val="0"/>
              <w:jc w:val="center"/>
              <w:textAlignment w:val="center"/>
              <w:rPr>
                <w:rFonts w:hint="eastAsia" w:ascii="Calibri" w:hAnsi="Calibri" w:eastAsia="华文细黑"/>
                <w:color w:val="000000"/>
                <w:sz w:val="18"/>
                <w:szCs w:val="21"/>
              </w:rPr>
            </w:pPr>
          </w:p>
        </w:tc>
        <w:tc>
          <w:tcPr>
            <w:tcW w:w="532" w:type="dxa"/>
            <w:noWrap w:val="0"/>
            <w:vAlign w:val="center"/>
          </w:tcPr>
          <w:p>
            <w:pPr>
              <w:autoSpaceDN w:val="0"/>
              <w:jc w:val="center"/>
              <w:textAlignment w:val="center"/>
              <w:rPr>
                <w:rFonts w:hint="eastAsia" w:ascii="Calibri" w:hAnsi="Calibri" w:eastAsia="华文细黑"/>
                <w:color w:val="000000"/>
                <w:sz w:val="18"/>
                <w:szCs w:val="21"/>
              </w:rPr>
            </w:pPr>
          </w:p>
        </w:tc>
        <w:tc>
          <w:tcPr>
            <w:tcW w:w="598" w:type="dxa"/>
            <w:noWrap w:val="0"/>
            <w:vAlign w:val="center"/>
          </w:tcPr>
          <w:p>
            <w:pPr>
              <w:autoSpaceDN w:val="0"/>
              <w:jc w:val="center"/>
              <w:textAlignment w:val="center"/>
              <w:rPr>
                <w:rFonts w:hint="eastAsia" w:ascii="Calibri" w:hAnsi="Calibri" w:eastAsia="华文细黑"/>
                <w:color w:val="000000"/>
                <w:sz w:val="18"/>
                <w:szCs w:val="21"/>
              </w:rPr>
            </w:pPr>
          </w:p>
        </w:tc>
        <w:tc>
          <w:tcPr>
            <w:tcW w:w="443" w:type="dxa"/>
            <w:noWrap w:val="0"/>
            <w:vAlign w:val="center"/>
          </w:tcPr>
          <w:p>
            <w:pPr>
              <w:autoSpaceDN w:val="0"/>
              <w:jc w:val="center"/>
              <w:textAlignment w:val="center"/>
              <w:rPr>
                <w:rFonts w:ascii="Calibri" w:hAnsi="Calibri" w:eastAsia="华文细黑"/>
                <w:color w:val="000000"/>
                <w:sz w:val="18"/>
                <w:szCs w:val="21"/>
              </w:rPr>
            </w:pPr>
          </w:p>
        </w:tc>
        <w:tc>
          <w:tcPr>
            <w:tcW w:w="425" w:type="dxa"/>
            <w:noWrap w:val="0"/>
            <w:vAlign w:val="center"/>
          </w:tcPr>
          <w:p>
            <w:pPr>
              <w:autoSpaceDN w:val="0"/>
              <w:jc w:val="center"/>
              <w:textAlignment w:val="center"/>
              <w:rPr>
                <w:rFonts w:ascii="Calibri" w:hAnsi="Calibri" w:eastAsia="华文细黑"/>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759" w:type="dxa"/>
            <w:noWrap w:val="0"/>
            <w:vAlign w:val="center"/>
          </w:tcPr>
          <w:p>
            <w:pPr>
              <w:autoSpaceDN w:val="0"/>
              <w:jc w:val="center"/>
              <w:textAlignment w:val="center"/>
              <w:rPr>
                <w:rFonts w:hint="eastAsia" w:ascii="Calibri" w:hAnsi="Calibri" w:eastAsia="华文细黑"/>
                <w:color w:val="000000"/>
                <w:sz w:val="16"/>
                <w:szCs w:val="20"/>
                <w:lang w:val="en-US" w:eastAsia="zh-CN"/>
              </w:rPr>
            </w:pPr>
          </w:p>
        </w:tc>
        <w:tc>
          <w:tcPr>
            <w:tcW w:w="1063" w:type="dxa"/>
            <w:noWrap w:val="0"/>
            <w:vAlign w:val="center"/>
          </w:tcPr>
          <w:p>
            <w:pPr>
              <w:autoSpaceDN w:val="0"/>
              <w:jc w:val="both"/>
              <w:textAlignment w:val="center"/>
              <w:rPr>
                <w:rFonts w:hint="eastAsia" w:ascii="Calibri" w:hAnsi="Calibri" w:eastAsia="华文细黑"/>
                <w:color w:val="000000"/>
                <w:sz w:val="16"/>
                <w:szCs w:val="20"/>
                <w:lang w:val="en-US" w:eastAsia="zh-CN"/>
              </w:rPr>
            </w:pPr>
          </w:p>
        </w:tc>
        <w:tc>
          <w:tcPr>
            <w:tcW w:w="1107" w:type="dxa"/>
            <w:noWrap w:val="0"/>
            <w:vAlign w:val="center"/>
          </w:tcPr>
          <w:p>
            <w:pPr>
              <w:autoSpaceDN w:val="0"/>
              <w:jc w:val="both"/>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园林处辅助岗位人员工资228435元</w:t>
            </w:r>
          </w:p>
        </w:tc>
        <w:tc>
          <w:tcPr>
            <w:tcW w:w="742"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20"/>
                <w:lang w:val="en-US" w:eastAsia="zh-CN"/>
              </w:rPr>
              <w:t>通榆县园林管理处</w:t>
            </w:r>
          </w:p>
        </w:tc>
        <w:tc>
          <w:tcPr>
            <w:tcW w:w="675"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22.84</w:t>
            </w:r>
          </w:p>
        </w:tc>
        <w:tc>
          <w:tcPr>
            <w:tcW w:w="705" w:type="dxa"/>
            <w:noWrap w:val="0"/>
            <w:vAlign w:val="center"/>
          </w:tcPr>
          <w:p>
            <w:pPr>
              <w:autoSpaceDN w:val="0"/>
              <w:jc w:val="center"/>
              <w:textAlignment w:val="center"/>
              <w:rPr>
                <w:rFonts w:hint="default" w:ascii="Calibri" w:hAnsi="Calibri" w:eastAsia="华文细黑" w:cs="Times New Roman"/>
                <w:color w:val="000000"/>
                <w:kern w:val="2"/>
                <w:sz w:val="16"/>
                <w:szCs w:val="16"/>
                <w:lang w:val="en-US" w:eastAsia="zh-CN" w:bidi="ar-SA"/>
              </w:rPr>
            </w:pPr>
            <w:r>
              <w:rPr>
                <w:rFonts w:hint="eastAsia" w:ascii="Calibri" w:hAnsi="Calibri" w:eastAsia="华文细黑"/>
                <w:color w:val="000000"/>
                <w:sz w:val="16"/>
                <w:szCs w:val="16"/>
                <w:lang w:val="en-US" w:eastAsia="zh-CN"/>
              </w:rPr>
              <w:t>22.84</w:t>
            </w:r>
          </w:p>
        </w:tc>
        <w:tc>
          <w:tcPr>
            <w:tcW w:w="405" w:type="dxa"/>
            <w:noWrap w:val="0"/>
            <w:vAlign w:val="center"/>
          </w:tcPr>
          <w:p>
            <w:pPr>
              <w:autoSpaceDN w:val="0"/>
              <w:jc w:val="center"/>
              <w:textAlignment w:val="center"/>
              <w:rPr>
                <w:rFonts w:hint="eastAsia" w:ascii="Calibri" w:hAnsi="Calibri" w:eastAsia="华文细黑"/>
                <w:color w:val="000000"/>
                <w:sz w:val="13"/>
                <w:szCs w:val="13"/>
              </w:rPr>
            </w:pPr>
          </w:p>
        </w:tc>
        <w:tc>
          <w:tcPr>
            <w:tcW w:w="463" w:type="dxa"/>
            <w:noWrap w:val="0"/>
            <w:vAlign w:val="center"/>
          </w:tcPr>
          <w:p>
            <w:pPr>
              <w:autoSpaceDN w:val="0"/>
              <w:jc w:val="center"/>
              <w:textAlignment w:val="center"/>
              <w:rPr>
                <w:rFonts w:hint="eastAsia" w:ascii="Calibri" w:hAnsi="Calibri" w:eastAsia="华文细黑"/>
                <w:color w:val="000000"/>
                <w:sz w:val="13"/>
                <w:szCs w:val="13"/>
              </w:rPr>
            </w:pPr>
          </w:p>
        </w:tc>
        <w:tc>
          <w:tcPr>
            <w:tcW w:w="564" w:type="dxa"/>
            <w:noWrap w:val="0"/>
            <w:vAlign w:val="center"/>
          </w:tcPr>
          <w:p>
            <w:pPr>
              <w:autoSpaceDN w:val="0"/>
              <w:jc w:val="center"/>
              <w:textAlignment w:val="center"/>
              <w:rPr>
                <w:rFonts w:hint="eastAsia" w:ascii="Calibri" w:hAnsi="Calibri" w:eastAsia="华文细黑"/>
                <w:color w:val="000000"/>
                <w:sz w:val="13"/>
                <w:szCs w:val="13"/>
              </w:rPr>
            </w:pPr>
          </w:p>
        </w:tc>
        <w:tc>
          <w:tcPr>
            <w:tcW w:w="532" w:type="dxa"/>
            <w:noWrap w:val="0"/>
            <w:vAlign w:val="center"/>
          </w:tcPr>
          <w:p>
            <w:pPr>
              <w:autoSpaceDN w:val="0"/>
              <w:jc w:val="center"/>
              <w:textAlignment w:val="center"/>
              <w:rPr>
                <w:rFonts w:hint="eastAsia" w:ascii="Calibri" w:hAnsi="Calibri" w:eastAsia="华文细黑"/>
                <w:color w:val="000000"/>
                <w:sz w:val="13"/>
                <w:szCs w:val="13"/>
              </w:rPr>
            </w:pPr>
          </w:p>
        </w:tc>
        <w:tc>
          <w:tcPr>
            <w:tcW w:w="598" w:type="dxa"/>
            <w:noWrap w:val="0"/>
            <w:vAlign w:val="center"/>
          </w:tcPr>
          <w:p>
            <w:pPr>
              <w:autoSpaceDN w:val="0"/>
              <w:jc w:val="center"/>
              <w:textAlignment w:val="center"/>
              <w:rPr>
                <w:rFonts w:hint="eastAsia" w:ascii="Calibri" w:hAnsi="Calibri" w:eastAsia="华文细黑"/>
                <w:color w:val="000000"/>
                <w:sz w:val="13"/>
                <w:szCs w:val="13"/>
              </w:rPr>
            </w:pPr>
          </w:p>
        </w:tc>
        <w:tc>
          <w:tcPr>
            <w:tcW w:w="443" w:type="dxa"/>
            <w:noWrap w:val="0"/>
            <w:vAlign w:val="center"/>
          </w:tcPr>
          <w:p>
            <w:pPr>
              <w:autoSpaceDN w:val="0"/>
              <w:jc w:val="center"/>
              <w:textAlignment w:val="center"/>
              <w:rPr>
                <w:rFonts w:ascii="Calibri" w:hAnsi="Calibri" w:eastAsia="华文细黑"/>
                <w:color w:val="000000"/>
                <w:sz w:val="13"/>
                <w:szCs w:val="13"/>
              </w:rPr>
            </w:pPr>
          </w:p>
        </w:tc>
        <w:tc>
          <w:tcPr>
            <w:tcW w:w="425" w:type="dxa"/>
            <w:noWrap w:val="0"/>
            <w:vAlign w:val="center"/>
          </w:tcPr>
          <w:p>
            <w:pPr>
              <w:autoSpaceDN w:val="0"/>
              <w:jc w:val="center"/>
              <w:textAlignment w:val="center"/>
              <w:rPr>
                <w:rFonts w:ascii="Calibri" w:hAnsi="Calibri" w:eastAsia="华文细黑"/>
                <w:color w:val="000000"/>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59" w:type="dxa"/>
            <w:noWrap w:val="0"/>
            <w:vAlign w:val="center"/>
          </w:tcPr>
          <w:p>
            <w:pPr>
              <w:autoSpaceDN w:val="0"/>
              <w:jc w:val="center"/>
              <w:textAlignment w:val="center"/>
              <w:rPr>
                <w:rFonts w:hint="eastAsia" w:ascii="Calibri" w:hAnsi="Calibri" w:eastAsia="华文细黑"/>
                <w:color w:val="000000"/>
                <w:sz w:val="16"/>
                <w:szCs w:val="20"/>
                <w:lang w:val="en-US" w:eastAsia="zh-CN"/>
              </w:rPr>
            </w:pPr>
          </w:p>
        </w:tc>
        <w:tc>
          <w:tcPr>
            <w:tcW w:w="1063" w:type="dxa"/>
            <w:noWrap w:val="0"/>
            <w:vAlign w:val="center"/>
          </w:tcPr>
          <w:p>
            <w:pPr>
              <w:autoSpaceDN w:val="0"/>
              <w:jc w:val="both"/>
              <w:textAlignment w:val="center"/>
              <w:rPr>
                <w:rFonts w:hint="eastAsia" w:ascii="Calibri" w:hAnsi="Calibri" w:eastAsia="华文细黑"/>
                <w:color w:val="000000"/>
                <w:sz w:val="16"/>
                <w:szCs w:val="20"/>
                <w:lang w:val="en-US" w:eastAsia="zh-CN"/>
              </w:rPr>
            </w:pPr>
          </w:p>
        </w:tc>
        <w:tc>
          <w:tcPr>
            <w:tcW w:w="1107"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园林处运行费24万元</w:t>
            </w:r>
          </w:p>
        </w:tc>
        <w:tc>
          <w:tcPr>
            <w:tcW w:w="742" w:type="dxa"/>
            <w:noWrap w:val="0"/>
            <w:vAlign w:val="center"/>
          </w:tcPr>
          <w:p>
            <w:pPr>
              <w:autoSpaceDN w:val="0"/>
              <w:jc w:val="center"/>
              <w:textAlignment w:val="center"/>
              <w:rPr>
                <w:rFonts w:ascii="Calibri" w:hAnsi="Calibri" w:eastAsia="华文细黑"/>
                <w:color w:val="000000"/>
                <w:sz w:val="16"/>
                <w:szCs w:val="16"/>
              </w:rPr>
            </w:pPr>
            <w:r>
              <w:rPr>
                <w:rFonts w:hint="eastAsia" w:ascii="Calibri" w:hAnsi="Calibri" w:eastAsia="华文细黑"/>
                <w:color w:val="000000"/>
                <w:sz w:val="16"/>
                <w:szCs w:val="20"/>
                <w:lang w:val="en-US" w:eastAsia="zh-CN"/>
              </w:rPr>
              <w:t>通榆县园林管理处</w:t>
            </w:r>
          </w:p>
        </w:tc>
        <w:tc>
          <w:tcPr>
            <w:tcW w:w="675"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24</w:t>
            </w:r>
          </w:p>
        </w:tc>
        <w:tc>
          <w:tcPr>
            <w:tcW w:w="705" w:type="dxa"/>
            <w:noWrap w:val="0"/>
            <w:vAlign w:val="center"/>
          </w:tcPr>
          <w:p>
            <w:pPr>
              <w:autoSpaceDN w:val="0"/>
              <w:jc w:val="center"/>
              <w:textAlignment w:val="center"/>
              <w:rPr>
                <w:rFonts w:hint="default" w:ascii="Calibri" w:hAnsi="Calibri" w:eastAsia="华文细黑" w:cs="Times New Roman"/>
                <w:color w:val="000000"/>
                <w:kern w:val="2"/>
                <w:sz w:val="16"/>
                <w:szCs w:val="16"/>
                <w:lang w:val="en-US" w:eastAsia="zh-CN" w:bidi="ar-SA"/>
              </w:rPr>
            </w:pPr>
            <w:r>
              <w:rPr>
                <w:rFonts w:hint="eastAsia" w:ascii="Calibri" w:hAnsi="Calibri" w:eastAsia="华文细黑"/>
                <w:color w:val="000000"/>
                <w:sz w:val="16"/>
                <w:szCs w:val="16"/>
                <w:lang w:val="en-US" w:eastAsia="zh-CN"/>
              </w:rPr>
              <w:t>24</w:t>
            </w:r>
          </w:p>
        </w:tc>
        <w:tc>
          <w:tcPr>
            <w:tcW w:w="405" w:type="dxa"/>
            <w:noWrap w:val="0"/>
            <w:vAlign w:val="center"/>
          </w:tcPr>
          <w:p>
            <w:pPr>
              <w:autoSpaceDN w:val="0"/>
              <w:jc w:val="center"/>
              <w:textAlignment w:val="center"/>
              <w:rPr>
                <w:rFonts w:hint="eastAsia" w:ascii="Calibri" w:hAnsi="Calibri" w:eastAsia="华文细黑"/>
                <w:color w:val="000000"/>
                <w:sz w:val="13"/>
                <w:szCs w:val="13"/>
              </w:rPr>
            </w:pPr>
          </w:p>
        </w:tc>
        <w:tc>
          <w:tcPr>
            <w:tcW w:w="463" w:type="dxa"/>
            <w:noWrap w:val="0"/>
            <w:vAlign w:val="center"/>
          </w:tcPr>
          <w:p>
            <w:pPr>
              <w:autoSpaceDN w:val="0"/>
              <w:jc w:val="center"/>
              <w:textAlignment w:val="center"/>
              <w:rPr>
                <w:rFonts w:hint="eastAsia" w:ascii="Calibri" w:hAnsi="Calibri" w:eastAsia="华文细黑"/>
                <w:color w:val="000000"/>
                <w:sz w:val="13"/>
                <w:szCs w:val="13"/>
              </w:rPr>
            </w:pPr>
          </w:p>
        </w:tc>
        <w:tc>
          <w:tcPr>
            <w:tcW w:w="564" w:type="dxa"/>
            <w:noWrap w:val="0"/>
            <w:vAlign w:val="center"/>
          </w:tcPr>
          <w:p>
            <w:pPr>
              <w:autoSpaceDN w:val="0"/>
              <w:jc w:val="center"/>
              <w:textAlignment w:val="center"/>
              <w:rPr>
                <w:rFonts w:hint="eastAsia" w:ascii="Calibri" w:hAnsi="Calibri" w:eastAsia="华文细黑"/>
                <w:color w:val="000000"/>
                <w:sz w:val="13"/>
                <w:szCs w:val="13"/>
              </w:rPr>
            </w:pPr>
          </w:p>
        </w:tc>
        <w:tc>
          <w:tcPr>
            <w:tcW w:w="532" w:type="dxa"/>
            <w:noWrap w:val="0"/>
            <w:vAlign w:val="center"/>
          </w:tcPr>
          <w:p>
            <w:pPr>
              <w:autoSpaceDN w:val="0"/>
              <w:jc w:val="center"/>
              <w:textAlignment w:val="center"/>
              <w:rPr>
                <w:rFonts w:hint="eastAsia" w:ascii="Calibri" w:hAnsi="Calibri" w:eastAsia="华文细黑"/>
                <w:color w:val="000000"/>
                <w:sz w:val="13"/>
                <w:szCs w:val="13"/>
              </w:rPr>
            </w:pPr>
          </w:p>
        </w:tc>
        <w:tc>
          <w:tcPr>
            <w:tcW w:w="598" w:type="dxa"/>
            <w:noWrap w:val="0"/>
            <w:vAlign w:val="center"/>
          </w:tcPr>
          <w:p>
            <w:pPr>
              <w:autoSpaceDN w:val="0"/>
              <w:jc w:val="center"/>
              <w:textAlignment w:val="center"/>
              <w:rPr>
                <w:rFonts w:hint="eastAsia" w:ascii="Calibri" w:hAnsi="Calibri" w:eastAsia="华文细黑"/>
                <w:color w:val="000000"/>
                <w:sz w:val="13"/>
                <w:szCs w:val="13"/>
              </w:rPr>
            </w:pPr>
          </w:p>
        </w:tc>
        <w:tc>
          <w:tcPr>
            <w:tcW w:w="443" w:type="dxa"/>
            <w:noWrap w:val="0"/>
            <w:vAlign w:val="center"/>
          </w:tcPr>
          <w:p>
            <w:pPr>
              <w:autoSpaceDN w:val="0"/>
              <w:jc w:val="center"/>
              <w:textAlignment w:val="center"/>
              <w:rPr>
                <w:rFonts w:ascii="Calibri" w:hAnsi="Calibri" w:eastAsia="华文细黑"/>
                <w:color w:val="000000"/>
                <w:sz w:val="13"/>
                <w:szCs w:val="13"/>
              </w:rPr>
            </w:pPr>
          </w:p>
        </w:tc>
        <w:tc>
          <w:tcPr>
            <w:tcW w:w="425" w:type="dxa"/>
            <w:noWrap w:val="0"/>
            <w:vAlign w:val="center"/>
          </w:tcPr>
          <w:p>
            <w:pPr>
              <w:autoSpaceDN w:val="0"/>
              <w:jc w:val="center"/>
              <w:textAlignment w:val="center"/>
              <w:rPr>
                <w:rFonts w:ascii="Calibri" w:hAnsi="Calibri" w:eastAsia="华文细黑"/>
                <w:color w:val="000000"/>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759" w:type="dxa"/>
            <w:noWrap w:val="0"/>
            <w:vAlign w:val="center"/>
          </w:tcPr>
          <w:p>
            <w:pPr>
              <w:autoSpaceDN w:val="0"/>
              <w:jc w:val="center"/>
              <w:textAlignment w:val="center"/>
              <w:rPr>
                <w:rFonts w:hint="eastAsia" w:ascii="Calibri" w:hAnsi="Calibri" w:eastAsia="华文细黑"/>
                <w:color w:val="000000"/>
                <w:sz w:val="16"/>
                <w:szCs w:val="20"/>
                <w:lang w:val="en-US" w:eastAsia="zh-CN"/>
              </w:rPr>
            </w:pPr>
          </w:p>
        </w:tc>
        <w:tc>
          <w:tcPr>
            <w:tcW w:w="1063" w:type="dxa"/>
            <w:noWrap w:val="0"/>
            <w:vAlign w:val="center"/>
          </w:tcPr>
          <w:p>
            <w:pPr>
              <w:autoSpaceDN w:val="0"/>
              <w:jc w:val="both"/>
              <w:textAlignment w:val="center"/>
              <w:rPr>
                <w:rFonts w:hint="eastAsia" w:ascii="Calibri" w:hAnsi="Calibri" w:eastAsia="华文细黑"/>
                <w:color w:val="000000"/>
                <w:sz w:val="16"/>
                <w:szCs w:val="20"/>
                <w:lang w:val="en-US" w:eastAsia="zh-CN"/>
              </w:rPr>
            </w:pPr>
          </w:p>
        </w:tc>
        <w:tc>
          <w:tcPr>
            <w:tcW w:w="1107"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园林处退役士兵安置工资65532元</w:t>
            </w:r>
          </w:p>
        </w:tc>
        <w:tc>
          <w:tcPr>
            <w:tcW w:w="742" w:type="dxa"/>
            <w:noWrap w:val="0"/>
            <w:vAlign w:val="center"/>
          </w:tcPr>
          <w:p>
            <w:pPr>
              <w:autoSpaceDN w:val="0"/>
              <w:jc w:val="center"/>
              <w:textAlignment w:val="center"/>
              <w:rPr>
                <w:rFonts w:hint="eastAsia" w:ascii="Calibri" w:hAnsi="Calibri" w:eastAsia="华文细黑"/>
                <w:color w:val="000000"/>
                <w:sz w:val="16"/>
                <w:szCs w:val="16"/>
                <w:lang w:val="en-US" w:eastAsia="zh-CN"/>
              </w:rPr>
            </w:pPr>
            <w:r>
              <w:rPr>
                <w:rFonts w:hint="eastAsia" w:ascii="Calibri" w:hAnsi="Calibri" w:eastAsia="华文细黑"/>
                <w:color w:val="000000"/>
                <w:sz w:val="16"/>
                <w:szCs w:val="20"/>
                <w:lang w:val="en-US" w:eastAsia="zh-CN"/>
              </w:rPr>
              <w:t>通榆县园林管理处</w:t>
            </w:r>
          </w:p>
        </w:tc>
        <w:tc>
          <w:tcPr>
            <w:tcW w:w="675"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6.55</w:t>
            </w:r>
          </w:p>
        </w:tc>
        <w:tc>
          <w:tcPr>
            <w:tcW w:w="705" w:type="dxa"/>
            <w:noWrap w:val="0"/>
            <w:vAlign w:val="center"/>
          </w:tcPr>
          <w:p>
            <w:pPr>
              <w:autoSpaceDN w:val="0"/>
              <w:jc w:val="center"/>
              <w:textAlignment w:val="center"/>
              <w:rPr>
                <w:rFonts w:hint="eastAsia" w:ascii="Calibri" w:hAnsi="Calibri" w:eastAsia="华文细黑" w:cs="Times New Roman"/>
                <w:color w:val="000000"/>
                <w:kern w:val="2"/>
                <w:sz w:val="16"/>
                <w:szCs w:val="16"/>
                <w:lang w:val="en-US" w:eastAsia="zh-CN" w:bidi="ar-SA"/>
              </w:rPr>
            </w:pPr>
            <w:r>
              <w:rPr>
                <w:rFonts w:hint="eastAsia" w:ascii="Calibri" w:hAnsi="Calibri" w:eastAsia="华文细黑"/>
                <w:color w:val="000000"/>
                <w:sz w:val="16"/>
                <w:szCs w:val="16"/>
                <w:lang w:val="en-US" w:eastAsia="zh-CN"/>
              </w:rPr>
              <w:t>6.55</w:t>
            </w:r>
          </w:p>
        </w:tc>
        <w:tc>
          <w:tcPr>
            <w:tcW w:w="405" w:type="dxa"/>
            <w:noWrap w:val="0"/>
            <w:vAlign w:val="center"/>
          </w:tcPr>
          <w:p>
            <w:pPr>
              <w:autoSpaceDN w:val="0"/>
              <w:jc w:val="center"/>
              <w:textAlignment w:val="center"/>
              <w:rPr>
                <w:rFonts w:hint="eastAsia" w:ascii="Calibri" w:hAnsi="Calibri" w:eastAsia="华文细黑"/>
                <w:color w:val="000000"/>
                <w:sz w:val="13"/>
                <w:szCs w:val="13"/>
              </w:rPr>
            </w:pPr>
          </w:p>
        </w:tc>
        <w:tc>
          <w:tcPr>
            <w:tcW w:w="463" w:type="dxa"/>
            <w:noWrap w:val="0"/>
            <w:vAlign w:val="center"/>
          </w:tcPr>
          <w:p>
            <w:pPr>
              <w:autoSpaceDN w:val="0"/>
              <w:jc w:val="center"/>
              <w:textAlignment w:val="center"/>
              <w:rPr>
                <w:rFonts w:hint="eastAsia" w:ascii="Calibri" w:hAnsi="Calibri" w:eastAsia="华文细黑"/>
                <w:color w:val="000000"/>
                <w:sz w:val="13"/>
                <w:szCs w:val="13"/>
              </w:rPr>
            </w:pPr>
          </w:p>
        </w:tc>
        <w:tc>
          <w:tcPr>
            <w:tcW w:w="564" w:type="dxa"/>
            <w:noWrap w:val="0"/>
            <w:vAlign w:val="center"/>
          </w:tcPr>
          <w:p>
            <w:pPr>
              <w:autoSpaceDN w:val="0"/>
              <w:jc w:val="center"/>
              <w:textAlignment w:val="center"/>
              <w:rPr>
                <w:rFonts w:hint="eastAsia" w:ascii="Calibri" w:hAnsi="Calibri" w:eastAsia="华文细黑"/>
                <w:color w:val="000000"/>
                <w:sz w:val="13"/>
                <w:szCs w:val="13"/>
              </w:rPr>
            </w:pPr>
          </w:p>
        </w:tc>
        <w:tc>
          <w:tcPr>
            <w:tcW w:w="532" w:type="dxa"/>
            <w:noWrap w:val="0"/>
            <w:vAlign w:val="center"/>
          </w:tcPr>
          <w:p>
            <w:pPr>
              <w:autoSpaceDN w:val="0"/>
              <w:jc w:val="center"/>
              <w:textAlignment w:val="center"/>
              <w:rPr>
                <w:rFonts w:hint="eastAsia" w:ascii="Calibri" w:hAnsi="Calibri" w:eastAsia="华文细黑"/>
                <w:color w:val="000000"/>
                <w:sz w:val="13"/>
                <w:szCs w:val="13"/>
              </w:rPr>
            </w:pPr>
          </w:p>
        </w:tc>
        <w:tc>
          <w:tcPr>
            <w:tcW w:w="598" w:type="dxa"/>
            <w:noWrap w:val="0"/>
            <w:vAlign w:val="center"/>
          </w:tcPr>
          <w:p>
            <w:pPr>
              <w:autoSpaceDN w:val="0"/>
              <w:jc w:val="center"/>
              <w:textAlignment w:val="center"/>
              <w:rPr>
                <w:rFonts w:hint="eastAsia" w:ascii="Calibri" w:hAnsi="Calibri" w:eastAsia="华文细黑"/>
                <w:color w:val="000000"/>
                <w:sz w:val="13"/>
                <w:szCs w:val="13"/>
              </w:rPr>
            </w:pPr>
          </w:p>
        </w:tc>
        <w:tc>
          <w:tcPr>
            <w:tcW w:w="443" w:type="dxa"/>
            <w:noWrap w:val="0"/>
            <w:vAlign w:val="center"/>
          </w:tcPr>
          <w:p>
            <w:pPr>
              <w:autoSpaceDN w:val="0"/>
              <w:jc w:val="center"/>
              <w:textAlignment w:val="center"/>
              <w:rPr>
                <w:rFonts w:ascii="Calibri" w:hAnsi="Calibri" w:eastAsia="华文细黑"/>
                <w:color w:val="000000"/>
                <w:sz w:val="13"/>
                <w:szCs w:val="13"/>
              </w:rPr>
            </w:pPr>
          </w:p>
        </w:tc>
        <w:tc>
          <w:tcPr>
            <w:tcW w:w="425" w:type="dxa"/>
            <w:noWrap w:val="0"/>
            <w:vAlign w:val="center"/>
          </w:tcPr>
          <w:p>
            <w:pPr>
              <w:autoSpaceDN w:val="0"/>
              <w:jc w:val="center"/>
              <w:textAlignment w:val="center"/>
              <w:rPr>
                <w:rFonts w:ascii="Calibri" w:hAnsi="Calibri" w:eastAsia="华文细黑"/>
                <w:color w:val="000000"/>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759" w:type="dxa"/>
            <w:noWrap w:val="0"/>
            <w:vAlign w:val="center"/>
          </w:tcPr>
          <w:p>
            <w:pPr>
              <w:numPr>
                <w:ilvl w:val="-1"/>
                <w:numId w:val="0"/>
              </w:numPr>
              <w:spacing w:line="700" w:lineRule="exact"/>
              <w:ind w:left="0" w:leftChars="0" w:firstLine="0" w:firstLineChars="0"/>
              <w:jc w:val="both"/>
              <w:rPr>
                <w:rFonts w:hint="eastAsia" w:ascii="Calibri" w:hAnsi="Calibri" w:eastAsia="华文细黑" w:cs="Times New Roman"/>
                <w:color w:val="000000"/>
                <w:kern w:val="2"/>
                <w:sz w:val="16"/>
                <w:szCs w:val="20"/>
                <w:lang w:val="en-US" w:eastAsia="zh-CN" w:bidi="ar-SA"/>
              </w:rPr>
            </w:pPr>
            <w:r>
              <w:rPr>
                <w:rFonts w:hint="eastAsia" w:ascii="Calibri" w:hAnsi="Calibri" w:eastAsia="华文细黑"/>
                <w:color w:val="000000"/>
                <w:sz w:val="16"/>
                <w:szCs w:val="20"/>
                <w:lang w:val="en-US" w:eastAsia="zh-CN"/>
              </w:rPr>
              <w:t>专项业务支出</w:t>
            </w:r>
          </w:p>
        </w:tc>
        <w:tc>
          <w:tcPr>
            <w:tcW w:w="1063" w:type="dxa"/>
            <w:noWrap w:val="0"/>
            <w:vAlign w:val="center"/>
          </w:tcPr>
          <w:p>
            <w:pPr>
              <w:autoSpaceDN w:val="0"/>
              <w:jc w:val="both"/>
              <w:textAlignment w:val="center"/>
              <w:rPr>
                <w:rFonts w:hint="default" w:ascii="Calibri" w:hAnsi="Calibri" w:eastAsia="华文细黑"/>
                <w:color w:val="000000"/>
                <w:sz w:val="16"/>
                <w:szCs w:val="20"/>
                <w:lang w:val="en-US" w:eastAsia="zh-CN"/>
              </w:rPr>
            </w:pPr>
            <w:r>
              <w:rPr>
                <w:rFonts w:hint="eastAsia" w:ascii="Calibri" w:hAnsi="Calibri" w:eastAsia="华文细黑"/>
                <w:color w:val="000000"/>
                <w:sz w:val="16"/>
                <w:szCs w:val="20"/>
                <w:lang w:val="en-US" w:eastAsia="zh-CN"/>
              </w:rPr>
              <w:t>城管大队综合管理资金</w:t>
            </w:r>
          </w:p>
        </w:tc>
        <w:tc>
          <w:tcPr>
            <w:tcW w:w="1107" w:type="dxa"/>
            <w:noWrap w:val="0"/>
            <w:vAlign w:val="center"/>
          </w:tcPr>
          <w:p>
            <w:pPr>
              <w:autoSpaceDN w:val="0"/>
              <w:jc w:val="center"/>
              <w:textAlignment w:val="center"/>
              <w:rPr>
                <w:rFonts w:hint="eastAsia" w:ascii="Calibri" w:hAnsi="Calibri" w:eastAsia="华文细黑"/>
                <w:color w:val="000000"/>
                <w:sz w:val="16"/>
                <w:szCs w:val="16"/>
                <w:lang w:val="en-US" w:eastAsia="zh-CN"/>
              </w:rPr>
            </w:pPr>
          </w:p>
        </w:tc>
        <w:tc>
          <w:tcPr>
            <w:tcW w:w="742" w:type="dxa"/>
            <w:noWrap w:val="0"/>
            <w:vAlign w:val="center"/>
          </w:tcPr>
          <w:p>
            <w:pPr>
              <w:autoSpaceDN w:val="0"/>
              <w:jc w:val="center"/>
              <w:textAlignment w:val="center"/>
              <w:rPr>
                <w:rFonts w:hint="eastAsia" w:ascii="Calibri" w:hAnsi="Calibri" w:eastAsia="华文细黑"/>
                <w:color w:val="000000"/>
                <w:sz w:val="16"/>
                <w:szCs w:val="16"/>
                <w:lang w:val="en-US" w:eastAsia="zh-CN"/>
              </w:rPr>
            </w:pPr>
          </w:p>
        </w:tc>
        <w:tc>
          <w:tcPr>
            <w:tcW w:w="675"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0.66</w:t>
            </w:r>
          </w:p>
        </w:tc>
        <w:tc>
          <w:tcPr>
            <w:tcW w:w="705" w:type="dxa"/>
            <w:noWrap w:val="0"/>
            <w:vAlign w:val="center"/>
          </w:tcPr>
          <w:p>
            <w:pPr>
              <w:autoSpaceDN w:val="0"/>
              <w:jc w:val="center"/>
              <w:textAlignment w:val="center"/>
              <w:rPr>
                <w:rFonts w:hint="eastAsia" w:ascii="Calibri" w:hAnsi="Calibri" w:eastAsia="华文细黑"/>
                <w:color w:val="000000"/>
                <w:sz w:val="16"/>
                <w:szCs w:val="16"/>
                <w:lang w:val="en-US" w:eastAsia="zh-CN"/>
              </w:rPr>
            </w:pPr>
          </w:p>
        </w:tc>
        <w:tc>
          <w:tcPr>
            <w:tcW w:w="405" w:type="dxa"/>
            <w:noWrap w:val="0"/>
            <w:vAlign w:val="center"/>
          </w:tcPr>
          <w:p>
            <w:pPr>
              <w:autoSpaceDN w:val="0"/>
              <w:jc w:val="center"/>
              <w:textAlignment w:val="center"/>
              <w:rPr>
                <w:rFonts w:hint="eastAsia" w:ascii="Calibri" w:hAnsi="Calibri" w:eastAsia="华文细黑"/>
                <w:color w:val="000000"/>
                <w:sz w:val="13"/>
                <w:szCs w:val="13"/>
              </w:rPr>
            </w:pPr>
          </w:p>
        </w:tc>
        <w:tc>
          <w:tcPr>
            <w:tcW w:w="463" w:type="dxa"/>
            <w:noWrap w:val="0"/>
            <w:vAlign w:val="center"/>
          </w:tcPr>
          <w:p>
            <w:pPr>
              <w:autoSpaceDN w:val="0"/>
              <w:jc w:val="center"/>
              <w:textAlignment w:val="center"/>
              <w:rPr>
                <w:rFonts w:hint="eastAsia" w:ascii="Calibri" w:hAnsi="Calibri" w:eastAsia="华文细黑"/>
                <w:color w:val="000000"/>
                <w:sz w:val="13"/>
                <w:szCs w:val="13"/>
              </w:rPr>
            </w:pPr>
          </w:p>
        </w:tc>
        <w:tc>
          <w:tcPr>
            <w:tcW w:w="564" w:type="dxa"/>
            <w:noWrap w:val="0"/>
            <w:vAlign w:val="center"/>
          </w:tcPr>
          <w:p>
            <w:pPr>
              <w:autoSpaceDN w:val="0"/>
              <w:jc w:val="center"/>
              <w:textAlignment w:val="center"/>
              <w:rPr>
                <w:rFonts w:hint="default" w:ascii="Calibri" w:hAnsi="Calibri" w:eastAsia="华文细黑"/>
                <w:color w:val="000000"/>
                <w:sz w:val="13"/>
                <w:szCs w:val="13"/>
                <w:lang w:val="en-US" w:eastAsia="zh-CN"/>
              </w:rPr>
            </w:pPr>
            <w:r>
              <w:rPr>
                <w:rFonts w:hint="eastAsia" w:ascii="Calibri" w:hAnsi="Calibri" w:eastAsia="华文细黑"/>
                <w:color w:val="000000"/>
                <w:sz w:val="13"/>
                <w:szCs w:val="13"/>
                <w:lang w:val="en-US" w:eastAsia="zh-CN"/>
              </w:rPr>
              <w:t>0.66</w:t>
            </w:r>
          </w:p>
        </w:tc>
        <w:tc>
          <w:tcPr>
            <w:tcW w:w="532" w:type="dxa"/>
            <w:noWrap w:val="0"/>
            <w:vAlign w:val="center"/>
          </w:tcPr>
          <w:p>
            <w:pPr>
              <w:autoSpaceDN w:val="0"/>
              <w:jc w:val="center"/>
              <w:textAlignment w:val="center"/>
              <w:rPr>
                <w:rFonts w:hint="eastAsia" w:ascii="Calibri" w:hAnsi="Calibri" w:eastAsia="华文细黑"/>
                <w:color w:val="000000"/>
                <w:sz w:val="13"/>
                <w:szCs w:val="13"/>
              </w:rPr>
            </w:pPr>
          </w:p>
        </w:tc>
        <w:tc>
          <w:tcPr>
            <w:tcW w:w="598" w:type="dxa"/>
            <w:noWrap w:val="0"/>
            <w:vAlign w:val="center"/>
          </w:tcPr>
          <w:p>
            <w:pPr>
              <w:autoSpaceDN w:val="0"/>
              <w:jc w:val="center"/>
              <w:textAlignment w:val="center"/>
              <w:rPr>
                <w:rFonts w:hint="eastAsia" w:ascii="Calibri" w:hAnsi="Calibri" w:eastAsia="华文细黑"/>
                <w:color w:val="000000"/>
                <w:sz w:val="13"/>
                <w:szCs w:val="13"/>
              </w:rPr>
            </w:pPr>
          </w:p>
        </w:tc>
        <w:tc>
          <w:tcPr>
            <w:tcW w:w="443" w:type="dxa"/>
            <w:noWrap w:val="0"/>
            <w:vAlign w:val="center"/>
          </w:tcPr>
          <w:p>
            <w:pPr>
              <w:autoSpaceDN w:val="0"/>
              <w:jc w:val="center"/>
              <w:textAlignment w:val="center"/>
              <w:rPr>
                <w:rFonts w:ascii="Calibri" w:hAnsi="Calibri" w:eastAsia="华文细黑"/>
                <w:color w:val="000000"/>
                <w:sz w:val="13"/>
                <w:szCs w:val="13"/>
              </w:rPr>
            </w:pPr>
          </w:p>
        </w:tc>
        <w:tc>
          <w:tcPr>
            <w:tcW w:w="425" w:type="dxa"/>
            <w:noWrap w:val="0"/>
            <w:vAlign w:val="center"/>
          </w:tcPr>
          <w:p>
            <w:pPr>
              <w:autoSpaceDN w:val="0"/>
              <w:jc w:val="center"/>
              <w:textAlignment w:val="center"/>
              <w:rPr>
                <w:rFonts w:ascii="Calibri" w:hAnsi="Calibri" w:eastAsia="华文细黑"/>
                <w:color w:val="000000"/>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759" w:type="dxa"/>
            <w:noWrap w:val="0"/>
            <w:vAlign w:val="center"/>
          </w:tcPr>
          <w:p>
            <w:pPr>
              <w:autoSpaceDN w:val="0"/>
              <w:jc w:val="center"/>
              <w:textAlignment w:val="center"/>
              <w:rPr>
                <w:rFonts w:hint="eastAsia" w:ascii="Calibri" w:hAnsi="Calibri" w:eastAsia="华文细黑"/>
                <w:color w:val="000000"/>
                <w:sz w:val="16"/>
                <w:szCs w:val="20"/>
                <w:lang w:val="en-US" w:eastAsia="zh-CN"/>
              </w:rPr>
            </w:pPr>
          </w:p>
        </w:tc>
        <w:tc>
          <w:tcPr>
            <w:tcW w:w="1063" w:type="dxa"/>
            <w:noWrap w:val="0"/>
            <w:vAlign w:val="center"/>
          </w:tcPr>
          <w:p>
            <w:pPr>
              <w:autoSpaceDN w:val="0"/>
              <w:jc w:val="both"/>
              <w:textAlignment w:val="center"/>
              <w:rPr>
                <w:rFonts w:hint="eastAsia" w:ascii="Calibri" w:hAnsi="Calibri" w:eastAsia="华文细黑"/>
                <w:color w:val="000000"/>
                <w:sz w:val="16"/>
                <w:szCs w:val="20"/>
                <w:lang w:val="en-US" w:eastAsia="zh-CN"/>
              </w:rPr>
            </w:pPr>
          </w:p>
        </w:tc>
        <w:tc>
          <w:tcPr>
            <w:tcW w:w="1107"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园林处车辆保险资金49350元</w:t>
            </w:r>
          </w:p>
        </w:tc>
        <w:tc>
          <w:tcPr>
            <w:tcW w:w="742" w:type="dxa"/>
            <w:noWrap w:val="0"/>
            <w:vAlign w:val="center"/>
          </w:tcPr>
          <w:p>
            <w:pPr>
              <w:autoSpaceDN w:val="0"/>
              <w:jc w:val="center"/>
              <w:textAlignment w:val="center"/>
              <w:rPr>
                <w:rFonts w:hint="eastAsia" w:ascii="Calibri" w:hAnsi="Calibri" w:eastAsia="华文细黑"/>
                <w:color w:val="000000"/>
                <w:sz w:val="16"/>
                <w:szCs w:val="16"/>
                <w:lang w:val="en-US" w:eastAsia="zh-CN"/>
              </w:rPr>
            </w:pPr>
            <w:r>
              <w:rPr>
                <w:rFonts w:hint="eastAsia" w:ascii="Calibri" w:hAnsi="Calibri" w:eastAsia="华文细黑"/>
                <w:color w:val="000000"/>
                <w:sz w:val="16"/>
                <w:szCs w:val="20"/>
                <w:lang w:val="en-US" w:eastAsia="zh-CN"/>
              </w:rPr>
              <w:t>通榆县园林管理处</w:t>
            </w:r>
          </w:p>
        </w:tc>
        <w:tc>
          <w:tcPr>
            <w:tcW w:w="675"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0.66</w:t>
            </w:r>
          </w:p>
        </w:tc>
        <w:tc>
          <w:tcPr>
            <w:tcW w:w="705" w:type="dxa"/>
            <w:noWrap w:val="0"/>
            <w:vAlign w:val="center"/>
          </w:tcPr>
          <w:p>
            <w:pPr>
              <w:autoSpaceDN w:val="0"/>
              <w:jc w:val="center"/>
              <w:textAlignment w:val="center"/>
              <w:rPr>
                <w:rFonts w:hint="eastAsia" w:ascii="Calibri" w:hAnsi="Calibri" w:eastAsia="华文细黑"/>
                <w:color w:val="000000"/>
                <w:sz w:val="16"/>
                <w:szCs w:val="16"/>
                <w:lang w:val="en-US" w:eastAsia="zh-CN"/>
              </w:rPr>
            </w:pPr>
          </w:p>
        </w:tc>
        <w:tc>
          <w:tcPr>
            <w:tcW w:w="405" w:type="dxa"/>
            <w:noWrap w:val="0"/>
            <w:vAlign w:val="center"/>
          </w:tcPr>
          <w:p>
            <w:pPr>
              <w:autoSpaceDN w:val="0"/>
              <w:jc w:val="center"/>
              <w:textAlignment w:val="center"/>
              <w:rPr>
                <w:rFonts w:hint="eastAsia" w:ascii="Calibri" w:hAnsi="Calibri" w:eastAsia="华文细黑"/>
                <w:color w:val="000000"/>
                <w:sz w:val="13"/>
                <w:szCs w:val="13"/>
              </w:rPr>
            </w:pPr>
          </w:p>
        </w:tc>
        <w:tc>
          <w:tcPr>
            <w:tcW w:w="463" w:type="dxa"/>
            <w:noWrap w:val="0"/>
            <w:vAlign w:val="center"/>
          </w:tcPr>
          <w:p>
            <w:pPr>
              <w:autoSpaceDN w:val="0"/>
              <w:jc w:val="center"/>
              <w:textAlignment w:val="center"/>
              <w:rPr>
                <w:rFonts w:hint="eastAsia" w:ascii="Calibri" w:hAnsi="Calibri" w:eastAsia="华文细黑"/>
                <w:color w:val="000000"/>
                <w:sz w:val="13"/>
                <w:szCs w:val="13"/>
              </w:rPr>
            </w:pPr>
          </w:p>
        </w:tc>
        <w:tc>
          <w:tcPr>
            <w:tcW w:w="564" w:type="dxa"/>
            <w:noWrap w:val="0"/>
            <w:vAlign w:val="center"/>
          </w:tcPr>
          <w:p>
            <w:pPr>
              <w:autoSpaceDN w:val="0"/>
              <w:jc w:val="center"/>
              <w:textAlignment w:val="center"/>
              <w:rPr>
                <w:rFonts w:hint="default" w:ascii="Calibri" w:hAnsi="Calibri" w:eastAsia="华文细黑"/>
                <w:color w:val="000000"/>
                <w:sz w:val="13"/>
                <w:szCs w:val="13"/>
                <w:lang w:val="en-US" w:eastAsia="zh-CN"/>
              </w:rPr>
            </w:pPr>
            <w:r>
              <w:rPr>
                <w:rFonts w:hint="eastAsia" w:ascii="Calibri" w:hAnsi="Calibri" w:eastAsia="华文细黑"/>
                <w:color w:val="000000"/>
                <w:sz w:val="13"/>
                <w:szCs w:val="13"/>
                <w:lang w:val="en-US" w:eastAsia="zh-CN"/>
              </w:rPr>
              <w:t>0.66</w:t>
            </w:r>
          </w:p>
        </w:tc>
        <w:tc>
          <w:tcPr>
            <w:tcW w:w="532" w:type="dxa"/>
            <w:noWrap w:val="0"/>
            <w:vAlign w:val="center"/>
          </w:tcPr>
          <w:p>
            <w:pPr>
              <w:autoSpaceDN w:val="0"/>
              <w:jc w:val="center"/>
              <w:textAlignment w:val="center"/>
              <w:rPr>
                <w:rFonts w:hint="eastAsia" w:ascii="Calibri" w:hAnsi="Calibri" w:eastAsia="华文细黑"/>
                <w:color w:val="000000"/>
                <w:sz w:val="13"/>
                <w:szCs w:val="13"/>
              </w:rPr>
            </w:pPr>
          </w:p>
        </w:tc>
        <w:tc>
          <w:tcPr>
            <w:tcW w:w="598" w:type="dxa"/>
            <w:noWrap w:val="0"/>
            <w:vAlign w:val="center"/>
          </w:tcPr>
          <w:p>
            <w:pPr>
              <w:autoSpaceDN w:val="0"/>
              <w:jc w:val="center"/>
              <w:textAlignment w:val="center"/>
              <w:rPr>
                <w:rFonts w:hint="eastAsia" w:ascii="Calibri" w:hAnsi="Calibri" w:eastAsia="华文细黑"/>
                <w:color w:val="000000"/>
                <w:sz w:val="13"/>
                <w:szCs w:val="13"/>
              </w:rPr>
            </w:pPr>
          </w:p>
        </w:tc>
        <w:tc>
          <w:tcPr>
            <w:tcW w:w="443" w:type="dxa"/>
            <w:noWrap w:val="0"/>
            <w:vAlign w:val="center"/>
          </w:tcPr>
          <w:p>
            <w:pPr>
              <w:autoSpaceDN w:val="0"/>
              <w:jc w:val="center"/>
              <w:textAlignment w:val="center"/>
              <w:rPr>
                <w:rFonts w:ascii="Calibri" w:hAnsi="Calibri" w:eastAsia="华文细黑"/>
                <w:color w:val="000000"/>
                <w:sz w:val="13"/>
                <w:szCs w:val="13"/>
              </w:rPr>
            </w:pPr>
          </w:p>
        </w:tc>
        <w:tc>
          <w:tcPr>
            <w:tcW w:w="425" w:type="dxa"/>
            <w:noWrap w:val="0"/>
            <w:vAlign w:val="center"/>
          </w:tcPr>
          <w:p>
            <w:pPr>
              <w:autoSpaceDN w:val="0"/>
              <w:jc w:val="center"/>
              <w:textAlignment w:val="center"/>
              <w:rPr>
                <w:rFonts w:ascii="Calibri" w:hAnsi="Calibri" w:eastAsia="华文细黑"/>
                <w:color w:val="000000"/>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759" w:type="dxa"/>
            <w:noWrap w:val="0"/>
            <w:vAlign w:val="center"/>
          </w:tcPr>
          <w:p>
            <w:pPr>
              <w:autoSpaceDN w:val="0"/>
              <w:jc w:val="center"/>
              <w:textAlignment w:val="center"/>
              <w:rPr>
                <w:rFonts w:hint="default" w:ascii="Calibri" w:hAnsi="Calibri" w:eastAsia="华文细黑"/>
                <w:color w:val="000000"/>
                <w:sz w:val="16"/>
                <w:szCs w:val="20"/>
                <w:lang w:val="en-US" w:eastAsia="zh-CN"/>
              </w:rPr>
            </w:pPr>
            <w:r>
              <w:rPr>
                <w:rFonts w:hint="eastAsia" w:ascii="Calibri" w:hAnsi="Calibri" w:eastAsia="华文细黑"/>
                <w:color w:val="000000"/>
                <w:sz w:val="16"/>
                <w:szCs w:val="20"/>
                <w:lang w:val="en-US" w:eastAsia="zh-CN"/>
              </w:rPr>
              <w:t>合计</w:t>
            </w:r>
          </w:p>
        </w:tc>
        <w:tc>
          <w:tcPr>
            <w:tcW w:w="1063" w:type="dxa"/>
            <w:noWrap w:val="0"/>
            <w:vAlign w:val="center"/>
          </w:tcPr>
          <w:p>
            <w:pPr>
              <w:autoSpaceDN w:val="0"/>
              <w:jc w:val="both"/>
              <w:textAlignment w:val="center"/>
              <w:rPr>
                <w:rFonts w:hint="eastAsia" w:ascii="Calibri" w:hAnsi="Calibri" w:eastAsia="华文细黑"/>
                <w:color w:val="000000"/>
                <w:sz w:val="16"/>
                <w:szCs w:val="20"/>
                <w:lang w:val="en-US" w:eastAsia="zh-CN"/>
              </w:rPr>
            </w:pPr>
          </w:p>
        </w:tc>
        <w:tc>
          <w:tcPr>
            <w:tcW w:w="1107" w:type="dxa"/>
            <w:noWrap w:val="0"/>
            <w:vAlign w:val="center"/>
          </w:tcPr>
          <w:p>
            <w:pPr>
              <w:autoSpaceDN w:val="0"/>
              <w:jc w:val="center"/>
              <w:textAlignment w:val="center"/>
              <w:rPr>
                <w:rFonts w:hint="eastAsia" w:ascii="Calibri" w:hAnsi="Calibri" w:eastAsia="华文细黑"/>
                <w:color w:val="000000"/>
                <w:sz w:val="16"/>
                <w:szCs w:val="16"/>
                <w:lang w:val="en-US" w:eastAsia="zh-CN"/>
              </w:rPr>
            </w:pPr>
          </w:p>
        </w:tc>
        <w:tc>
          <w:tcPr>
            <w:tcW w:w="742" w:type="dxa"/>
            <w:noWrap w:val="0"/>
            <w:vAlign w:val="center"/>
          </w:tcPr>
          <w:p>
            <w:pPr>
              <w:autoSpaceDN w:val="0"/>
              <w:jc w:val="center"/>
              <w:textAlignment w:val="center"/>
              <w:rPr>
                <w:rFonts w:hint="eastAsia" w:ascii="Calibri" w:hAnsi="Calibri" w:eastAsia="华文细黑"/>
                <w:color w:val="000000"/>
                <w:sz w:val="16"/>
                <w:szCs w:val="20"/>
                <w:lang w:val="en-US" w:eastAsia="zh-CN"/>
              </w:rPr>
            </w:pPr>
          </w:p>
        </w:tc>
        <w:tc>
          <w:tcPr>
            <w:tcW w:w="675"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160.98</w:t>
            </w:r>
          </w:p>
        </w:tc>
        <w:tc>
          <w:tcPr>
            <w:tcW w:w="705" w:type="dxa"/>
            <w:noWrap w:val="0"/>
            <w:vAlign w:val="center"/>
          </w:tcPr>
          <w:p>
            <w:pPr>
              <w:autoSpaceDN w:val="0"/>
              <w:jc w:val="center"/>
              <w:textAlignment w:val="center"/>
              <w:rPr>
                <w:rFonts w:hint="default" w:ascii="Calibri" w:hAnsi="Calibri" w:eastAsia="华文细黑"/>
                <w:color w:val="000000"/>
                <w:sz w:val="16"/>
                <w:szCs w:val="16"/>
                <w:lang w:val="en-US" w:eastAsia="zh-CN"/>
              </w:rPr>
            </w:pPr>
            <w:r>
              <w:rPr>
                <w:rFonts w:hint="eastAsia" w:ascii="Calibri" w:hAnsi="Calibri" w:eastAsia="华文细黑"/>
                <w:color w:val="000000"/>
                <w:sz w:val="16"/>
                <w:szCs w:val="16"/>
                <w:lang w:val="en-US" w:eastAsia="zh-CN"/>
              </w:rPr>
              <w:t>160.32</w:t>
            </w:r>
          </w:p>
        </w:tc>
        <w:tc>
          <w:tcPr>
            <w:tcW w:w="405" w:type="dxa"/>
            <w:noWrap w:val="0"/>
            <w:vAlign w:val="center"/>
          </w:tcPr>
          <w:p>
            <w:pPr>
              <w:autoSpaceDN w:val="0"/>
              <w:jc w:val="center"/>
              <w:textAlignment w:val="center"/>
              <w:rPr>
                <w:rFonts w:hint="eastAsia" w:ascii="Calibri" w:hAnsi="Calibri" w:eastAsia="华文细黑"/>
                <w:color w:val="000000"/>
                <w:sz w:val="13"/>
                <w:szCs w:val="13"/>
              </w:rPr>
            </w:pPr>
          </w:p>
        </w:tc>
        <w:tc>
          <w:tcPr>
            <w:tcW w:w="463" w:type="dxa"/>
            <w:noWrap w:val="0"/>
            <w:vAlign w:val="center"/>
          </w:tcPr>
          <w:p>
            <w:pPr>
              <w:autoSpaceDN w:val="0"/>
              <w:jc w:val="center"/>
              <w:textAlignment w:val="center"/>
              <w:rPr>
                <w:rFonts w:hint="eastAsia" w:ascii="Calibri" w:hAnsi="Calibri" w:eastAsia="华文细黑"/>
                <w:color w:val="000000"/>
                <w:sz w:val="13"/>
                <w:szCs w:val="13"/>
              </w:rPr>
            </w:pPr>
          </w:p>
        </w:tc>
        <w:tc>
          <w:tcPr>
            <w:tcW w:w="564" w:type="dxa"/>
            <w:noWrap w:val="0"/>
            <w:vAlign w:val="center"/>
          </w:tcPr>
          <w:p>
            <w:pPr>
              <w:autoSpaceDN w:val="0"/>
              <w:jc w:val="center"/>
              <w:textAlignment w:val="center"/>
              <w:rPr>
                <w:rFonts w:hint="default" w:ascii="Calibri" w:hAnsi="Calibri" w:eastAsia="华文细黑"/>
                <w:color w:val="000000"/>
                <w:sz w:val="13"/>
                <w:szCs w:val="13"/>
                <w:lang w:val="en-US" w:eastAsia="zh-CN"/>
              </w:rPr>
            </w:pPr>
            <w:r>
              <w:rPr>
                <w:rFonts w:hint="eastAsia" w:ascii="Calibri" w:hAnsi="Calibri" w:eastAsia="华文细黑"/>
                <w:color w:val="000000"/>
                <w:sz w:val="13"/>
                <w:szCs w:val="13"/>
                <w:lang w:val="en-US" w:eastAsia="zh-CN"/>
              </w:rPr>
              <w:t>0.66</w:t>
            </w:r>
          </w:p>
        </w:tc>
        <w:tc>
          <w:tcPr>
            <w:tcW w:w="532" w:type="dxa"/>
            <w:noWrap w:val="0"/>
            <w:vAlign w:val="center"/>
          </w:tcPr>
          <w:p>
            <w:pPr>
              <w:autoSpaceDN w:val="0"/>
              <w:jc w:val="center"/>
              <w:textAlignment w:val="center"/>
              <w:rPr>
                <w:rFonts w:hint="eastAsia" w:ascii="Calibri" w:hAnsi="Calibri" w:eastAsia="华文细黑"/>
                <w:color w:val="000000"/>
                <w:sz w:val="13"/>
                <w:szCs w:val="13"/>
              </w:rPr>
            </w:pPr>
          </w:p>
        </w:tc>
        <w:tc>
          <w:tcPr>
            <w:tcW w:w="598" w:type="dxa"/>
            <w:noWrap w:val="0"/>
            <w:vAlign w:val="center"/>
          </w:tcPr>
          <w:p>
            <w:pPr>
              <w:autoSpaceDN w:val="0"/>
              <w:jc w:val="center"/>
              <w:textAlignment w:val="center"/>
              <w:rPr>
                <w:rFonts w:hint="eastAsia" w:ascii="Calibri" w:hAnsi="Calibri" w:eastAsia="华文细黑"/>
                <w:color w:val="000000"/>
                <w:sz w:val="13"/>
                <w:szCs w:val="13"/>
              </w:rPr>
            </w:pPr>
          </w:p>
        </w:tc>
        <w:tc>
          <w:tcPr>
            <w:tcW w:w="443" w:type="dxa"/>
            <w:noWrap w:val="0"/>
            <w:vAlign w:val="center"/>
          </w:tcPr>
          <w:p>
            <w:pPr>
              <w:autoSpaceDN w:val="0"/>
              <w:jc w:val="center"/>
              <w:textAlignment w:val="center"/>
              <w:rPr>
                <w:rFonts w:ascii="Calibri" w:hAnsi="Calibri" w:eastAsia="华文细黑"/>
                <w:color w:val="000000"/>
                <w:sz w:val="13"/>
                <w:szCs w:val="13"/>
              </w:rPr>
            </w:pPr>
          </w:p>
        </w:tc>
        <w:tc>
          <w:tcPr>
            <w:tcW w:w="425" w:type="dxa"/>
            <w:noWrap w:val="0"/>
            <w:vAlign w:val="center"/>
          </w:tcPr>
          <w:p>
            <w:pPr>
              <w:autoSpaceDN w:val="0"/>
              <w:jc w:val="center"/>
              <w:textAlignment w:val="center"/>
              <w:rPr>
                <w:rFonts w:ascii="Calibri" w:hAnsi="Calibri" w:eastAsia="华文细黑"/>
                <w:color w:val="000000"/>
                <w:sz w:val="13"/>
                <w:szCs w:val="13"/>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园林处辅助岗位人员工资228435元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22.84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22.84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82"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保障辅助岗位人员工资按时发放</w:t>
            </w:r>
          </w:p>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辅助岗位人员工作完成合格率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辅助岗位人员每月工资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18"/>
                <w:szCs w:val="18"/>
                <w:lang w:val="en-US" w:eastAsia="zh-CN"/>
              </w:rPr>
              <w:t>2000元/人/月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eastAsia="华文细黑"/>
                <w:color w:val="000000"/>
                <w:sz w:val="20"/>
                <w:highlight w:val="none"/>
              </w:rPr>
              <w:t>≥</w:t>
            </w:r>
            <w:r>
              <w:rPr>
                <w:rFonts w:hint="eastAsia" w:ascii="宋体" w:hAnsi="宋体" w:eastAsia="宋体" w:cs="宋体"/>
                <w:color w:val="000000"/>
                <w:sz w:val="20"/>
                <w:lang w:val="en-US" w:eastAsia="zh-CN"/>
              </w:rPr>
              <w:t>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招录辅助岗位人员提高社会就业率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群众对辅助岗位人员工作的满意度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20"/>
                <w:lang w:val="en-US" w:eastAsia="zh-CN"/>
              </w:rPr>
              <w:t>园林处临时工工资1069200元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106.92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106.92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82"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保障临时工工资按时发放</w:t>
            </w:r>
          </w:p>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临时工人数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临时工工作完成合格率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临时工每月工资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lang w:val="en-US" w:eastAsia="zh-CN"/>
              </w:rPr>
              <w:t>普工900</w:t>
            </w:r>
            <w:r>
              <w:rPr>
                <w:rFonts w:hint="eastAsia" w:ascii="宋体" w:hAnsi="宋体" w:eastAsia="宋体" w:cs="宋体"/>
                <w:color w:val="000000"/>
                <w:sz w:val="18"/>
                <w:szCs w:val="18"/>
                <w:highlight w:val="none"/>
                <w:lang w:val="en-US" w:eastAsia="zh-CN"/>
              </w:rPr>
              <w:t>元/人/月</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18"/>
                <w:szCs w:val="18"/>
                <w:highlight w:val="none"/>
                <w:lang w:val="en-US" w:eastAsia="zh-CN"/>
              </w:rPr>
              <w:t>技工1200元/人/月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临时工工资发放及时率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eastAsia="华文细黑"/>
                <w:color w:val="000000"/>
                <w:sz w:val="20"/>
                <w:highlight w:val="none"/>
              </w:rPr>
              <w:t>≥</w:t>
            </w:r>
            <w:r>
              <w:rPr>
                <w:rFonts w:hint="eastAsia" w:ascii="宋体" w:hAnsi="宋体" w:eastAsia="宋体" w:cs="宋体"/>
                <w:color w:val="000000"/>
                <w:sz w:val="20"/>
                <w:lang w:val="en-US" w:eastAsia="zh-CN"/>
              </w:rPr>
              <w:t>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招录临时工提高社会就业率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群众对临时工工作的满意度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园林处退役士兵安置工资65532元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6.55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6.55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82"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保障</w:t>
            </w:r>
            <w:r>
              <w:rPr>
                <w:rFonts w:hint="eastAsia" w:ascii="Calibri" w:hAnsi="Calibri" w:eastAsia="华文细黑"/>
                <w:color w:val="000000"/>
                <w:sz w:val="16"/>
                <w:szCs w:val="16"/>
                <w:lang w:val="en-US" w:eastAsia="zh-CN"/>
              </w:rPr>
              <w:t>退役士兵</w:t>
            </w:r>
            <w:r>
              <w:rPr>
                <w:rFonts w:hint="eastAsia" w:ascii="宋体" w:hAnsi="宋体" w:eastAsia="宋体" w:cs="宋体"/>
                <w:color w:val="000000"/>
                <w:sz w:val="20"/>
                <w:lang w:val="en-US" w:eastAsia="zh-CN"/>
              </w:rPr>
              <w:t>工资按时发放</w:t>
            </w:r>
          </w:p>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退役士兵</w:t>
            </w:r>
            <w:r>
              <w:rPr>
                <w:rFonts w:hint="eastAsia" w:ascii="宋体" w:hAnsi="宋体" w:eastAsia="宋体" w:cs="宋体"/>
                <w:color w:val="000000"/>
                <w:sz w:val="20"/>
                <w:lang w:val="en-US" w:eastAsia="zh-CN"/>
              </w:rPr>
              <w:t>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退役士兵</w:t>
            </w:r>
            <w:r>
              <w:rPr>
                <w:rFonts w:hint="eastAsia" w:ascii="宋体" w:hAnsi="宋体" w:eastAsia="宋体" w:cs="宋体"/>
                <w:color w:val="000000"/>
                <w:sz w:val="20"/>
                <w:lang w:val="en-US" w:eastAsia="zh-CN"/>
              </w:rPr>
              <w:t>工作完成合格率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退役士兵</w:t>
            </w:r>
            <w:r>
              <w:rPr>
                <w:rFonts w:hint="eastAsia" w:ascii="宋体" w:hAnsi="宋体" w:eastAsia="宋体" w:cs="宋体"/>
                <w:color w:val="000000"/>
                <w:sz w:val="20"/>
                <w:lang w:val="en-US" w:eastAsia="zh-CN"/>
              </w:rPr>
              <w:t>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18"/>
                <w:szCs w:val="18"/>
                <w:lang w:val="en-US" w:eastAsia="zh-CN"/>
              </w:rPr>
              <w:t>5461元/月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退役士兵</w:t>
            </w:r>
            <w:r>
              <w:rPr>
                <w:rFonts w:hint="eastAsia" w:ascii="宋体" w:hAnsi="宋体" w:eastAsia="宋体" w:cs="宋体"/>
                <w:color w:val="000000"/>
                <w:sz w:val="20"/>
                <w:lang w:val="en-US"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eastAsia="华文细黑"/>
                <w:color w:val="000000"/>
                <w:sz w:val="20"/>
                <w:highlight w:val="none"/>
              </w:rPr>
              <w:t>≥</w:t>
            </w:r>
            <w:r>
              <w:rPr>
                <w:rFonts w:hint="eastAsia" w:ascii="宋体" w:hAnsi="宋体" w:eastAsia="宋体" w:cs="宋体"/>
                <w:color w:val="000000"/>
                <w:sz w:val="20"/>
                <w:lang w:val="en-US" w:eastAsia="zh-CN"/>
              </w:rPr>
              <w:t>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招录</w:t>
            </w:r>
            <w:r>
              <w:rPr>
                <w:rFonts w:hint="eastAsia" w:ascii="Calibri" w:hAnsi="Calibri" w:eastAsia="华文细黑"/>
                <w:color w:val="000000"/>
                <w:sz w:val="16"/>
                <w:szCs w:val="16"/>
                <w:lang w:val="en-US" w:eastAsia="zh-CN"/>
              </w:rPr>
              <w:t>退役士兵</w:t>
            </w:r>
            <w:r>
              <w:rPr>
                <w:rFonts w:hint="eastAsia" w:ascii="宋体" w:hAnsi="宋体" w:eastAsia="宋体" w:cs="宋体"/>
                <w:color w:val="000000"/>
                <w:sz w:val="20"/>
                <w:lang w:val="en-US" w:eastAsia="zh-CN"/>
              </w:rPr>
              <w:t>提高社会就业率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w:t>
            </w:r>
            <w:r>
              <w:rPr>
                <w:rFonts w:hint="eastAsia" w:ascii="Calibri" w:hAnsi="Calibri" w:eastAsia="华文细黑"/>
                <w:color w:val="000000"/>
                <w:sz w:val="16"/>
                <w:szCs w:val="16"/>
                <w:lang w:val="en-US" w:eastAsia="zh-CN"/>
              </w:rPr>
              <w:t>退役士兵</w:t>
            </w:r>
            <w:r>
              <w:rPr>
                <w:rFonts w:hint="eastAsia" w:ascii="宋体" w:hAnsi="宋体" w:eastAsia="宋体" w:cs="宋体"/>
                <w:color w:val="000000"/>
                <w:sz w:val="20"/>
                <w:lang w:val="en-US" w:eastAsia="zh-CN"/>
              </w:rPr>
              <w:t>工作的满意度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园林处运行费24万元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82"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w:t>
            </w:r>
            <w:r>
              <w:rPr>
                <w:rFonts w:hint="eastAsia" w:ascii="Calibri" w:hAnsi="Calibri" w:eastAsia="华文细黑"/>
                <w:color w:val="000000"/>
                <w:sz w:val="16"/>
                <w:szCs w:val="16"/>
                <w:lang w:val="en-US" w:eastAsia="zh-CN"/>
              </w:rPr>
              <w:t>日常工作有序开展</w:t>
            </w:r>
          </w:p>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美化管护区域数量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8处</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日常管护工作合格率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每处绿化管护区域所需金额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18"/>
                <w:szCs w:val="18"/>
                <w:lang w:val="en-US" w:eastAsia="zh-CN"/>
              </w:rPr>
              <w:t>30000元/处</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日常管护工作完成及时率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美化管护工作提高城市绿化覆盖率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eastAsia="华文细黑"/>
                <w:color w:val="000000"/>
                <w:sz w:val="20"/>
                <w:highlight w:val="none"/>
              </w:rPr>
              <w:t>≥</w:t>
            </w:r>
            <w:r>
              <w:rPr>
                <w:rFonts w:hint="eastAsia" w:ascii="宋体" w:hAnsi="宋体" w:eastAsia="宋体" w:cs="宋体"/>
                <w:color w:val="000000"/>
                <w:sz w:val="20"/>
                <w:lang w:val="en-US" w:eastAsia="zh-CN"/>
              </w:rPr>
              <w:t>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群众对美化管护区域日常工作的满意度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Calibri" w:hAnsi="Calibri" w:eastAsia="华文细黑" w:cs="Times New Roman"/>
                <w:color w:val="000000"/>
                <w:kern w:val="2"/>
                <w:sz w:val="16"/>
                <w:szCs w:val="16"/>
                <w:lang w:val="en-US" w:eastAsia="zh-CN" w:bidi="ar-SA"/>
              </w:rPr>
            </w:pPr>
            <w:r>
              <w:rPr>
                <w:rFonts w:hint="eastAsia" w:ascii="Calibri" w:hAnsi="Calibri" w:eastAsia="华文细黑"/>
                <w:color w:val="000000"/>
                <w:sz w:val="16"/>
                <w:szCs w:val="16"/>
                <w:lang w:val="en-US" w:eastAsia="zh-CN"/>
              </w:rPr>
              <w:t>园林处车辆保险资金49350元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0.66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0.66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82"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w:t>
            </w:r>
            <w:r>
              <w:rPr>
                <w:rFonts w:hint="eastAsia" w:ascii="Calibri" w:hAnsi="Calibri" w:eastAsia="华文细黑"/>
                <w:color w:val="000000"/>
                <w:sz w:val="16"/>
                <w:szCs w:val="16"/>
                <w:lang w:val="en-US" w:eastAsia="zh-CN"/>
              </w:rPr>
              <w:t>作业车辆保险及时缴纳</w:t>
            </w:r>
          </w:p>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需要保险车辆数量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1辆</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车辆保险服务质量合格率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作业车辆保费金额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18"/>
                <w:szCs w:val="18"/>
                <w:lang w:val="en-US" w:eastAsia="zh-CN"/>
              </w:rPr>
              <w:t>6596.55元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Calibri" w:hAnsi="Calibri" w:eastAsia="华文细黑"/>
                <w:color w:val="000000"/>
                <w:sz w:val="16"/>
                <w:szCs w:val="16"/>
                <w:lang w:val="en-US" w:eastAsia="zh-CN"/>
              </w:rPr>
              <w:t>缴纳车辆保险费用及时率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车辆保险服务保障作业车辆安全性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司机对车辆保险服务的满意度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eastAsia="华文细黑"/>
                <w:color w:val="000000"/>
                <w:sz w:val="20"/>
                <w:highlight w:val="none"/>
              </w:rPr>
              <w:t>≥</w:t>
            </w:r>
            <w:r>
              <w:rPr>
                <w:rFonts w:hint="eastAsia" w:ascii="宋体" w:hAnsi="宋体" w:eastAsia="宋体" w:cs="宋体"/>
                <w:color w:val="000000"/>
                <w:sz w:val="20"/>
                <w:lang w:val="en-US" w:eastAsia="zh-CN"/>
              </w:rPr>
              <w:t>95%</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463.10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462.44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0.66</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61</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人员减少、日常工作节省开支</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463.10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462.44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99.86</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0.66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0.14</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462.44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_%；附属单位上缴收入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 xml:space="preserve"> 0 万</w:t>
      </w:r>
      <w:r>
        <w:rPr>
          <w:rFonts w:hint="eastAsia" w:ascii="仿宋_GB2312" w:hAnsi="仿宋_GB2312" w:eastAsia="仿宋_GB2312" w:cs="仿宋_GB2312"/>
          <w:szCs w:val="32"/>
        </w:rPr>
        <w:t>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0.66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463.10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302.12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65.24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160.98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34.76</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463.10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462.44</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0.66</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39.27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12.57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388.39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22.86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463.10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302.12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65.24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160.98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34.76</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281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93.01</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21.12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6.99</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39.27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8.48</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职工基本养老失业、职业年金等缴费</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u w:val="none"/>
          <w:lang w:val="en-US" w:eastAsia="zh-CN"/>
        </w:rPr>
      </w:pP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12.57</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占</w:t>
      </w:r>
      <w:r>
        <w:rPr>
          <w:rFonts w:hint="eastAsia" w:ascii="仿宋_GB2312" w:hAnsi="仿宋_GB2312" w:cs="仿宋_GB2312"/>
          <w:szCs w:val="32"/>
          <w:u w:val="single"/>
          <w:lang w:val="en-US" w:eastAsia="zh-CN"/>
        </w:rPr>
        <w:t>2.71</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职工医疗保险.工伤保险缴费</w:t>
      </w:r>
      <w:r>
        <w:rPr>
          <w:rFonts w:hint="eastAsia" w:ascii="仿宋_GB2312" w:hAnsi="仿宋_GB2312" w:eastAsia="仿宋_GB2312" w:cs="仿宋_GB2312"/>
          <w:szCs w:val="32"/>
          <w:u w:val="single"/>
        </w:rPr>
        <w:t>。</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22.86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4.94</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职工住房公积金缴费</w:t>
      </w:r>
      <w:r>
        <w:rPr>
          <w:rFonts w:hint="eastAsia" w:ascii="仿宋_GB2312" w:hAnsi="仿宋_GB2312" w:eastAsia="仿宋_GB2312" w:cs="仿宋_GB2312"/>
          <w:szCs w:val="32"/>
          <w:u w:val="single"/>
        </w:rPr>
        <w:t>。</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cs="仿宋_GB2312"/>
          <w:szCs w:val="32"/>
          <w:lang w:val="en-US" w:eastAsia="zh-CN"/>
        </w:rPr>
        <w:t>城乡社区</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388.39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83.87</w:t>
      </w:r>
      <w:r>
        <w:rPr>
          <w:rFonts w:hint="eastAsia" w:ascii="仿宋_GB2312" w:hAnsi="仿宋_GB2312" w:eastAsia="仿宋_GB2312" w:cs="仿宋_GB2312"/>
          <w:szCs w:val="32"/>
        </w:rPr>
        <w:t>%，主要用于</w:t>
      </w:r>
      <w:r>
        <w:rPr>
          <w:rFonts w:hint="eastAsia" w:ascii="仿宋_GB2312" w:hAnsi="仿宋_GB2312" w:cs="仿宋_GB2312"/>
          <w:i w:val="0"/>
          <w:iCs w:val="0"/>
          <w:szCs w:val="32"/>
          <w:u w:val="single"/>
          <w:lang w:val="en-US" w:eastAsia="zh-CN"/>
        </w:rPr>
        <w:t>人员经费、公用经费、项目支出等</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302.12</w:t>
      </w:r>
      <w:r>
        <w:rPr>
          <w:rFonts w:hint="eastAsia" w:ascii="仿宋_GB2312" w:hAnsi="仿宋_GB2312" w:eastAsia="仿宋_GB2312" w:cs="仿宋_GB2312"/>
          <w:szCs w:val="32"/>
        </w:rPr>
        <w:t>万元，其中：</w:t>
      </w:r>
    </w:p>
    <w:p>
      <w:pPr>
        <w:ind w:firstLine="640" w:firstLineChars="200"/>
        <w:rPr>
          <w:rFonts w:hint="eastAsia" w:ascii="仿宋_GB2312" w:hAnsi="仿宋_GB2312" w:cs="仿宋_GB2312"/>
          <w:kern w:val="0"/>
          <w:szCs w:val="32"/>
          <w:lang w:val="en-US" w:eastAsia="zh-CN"/>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281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w:t>
      </w:r>
      <w:r>
        <w:rPr>
          <w:rFonts w:hint="eastAsia" w:ascii="仿宋_GB2312" w:hAnsi="仿宋_GB2312" w:cs="仿宋_GB2312"/>
          <w:kern w:val="0"/>
          <w:szCs w:val="32"/>
          <w:lang w:val="en-US" w:eastAsia="zh-CN"/>
        </w:rPr>
        <w:t>机关事业单位基本养老保险缴费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职业年金缴费、基本医疗保险缴费、</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cs="仿宋_GB2312"/>
          <w:kern w:val="0"/>
          <w:szCs w:val="32"/>
          <w:lang w:val="en-US" w:eastAsia="zh-CN"/>
        </w:rPr>
        <w:t xml:space="preserve">退休费、生活补助。  </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21.12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w:t>
      </w:r>
      <w:r>
        <w:rPr>
          <w:rFonts w:hint="eastAsia" w:ascii="仿宋_GB2312" w:hAnsi="仿宋_GB2312" w:eastAsia="仿宋_GB2312" w:cs="仿宋_GB2312"/>
          <w:kern w:val="0"/>
          <w:szCs w:val="32"/>
        </w:rPr>
        <w:t>其他交通</w:t>
      </w:r>
      <w:r>
        <w:rPr>
          <w:rFonts w:hint="eastAsia" w:ascii="仿宋_GB2312" w:hAnsi="仿宋_GB2312" w:cs="仿宋_GB2312"/>
          <w:kern w:val="0"/>
          <w:szCs w:val="32"/>
          <w:lang w:val="en-US" w:eastAsia="zh-CN"/>
        </w:rPr>
        <w:t>费用</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560" w:firstLineChars="200"/>
        <w:rPr>
          <w:rFonts w:hint="eastAsia" w:ascii="仿宋_GB2312" w:hAnsi="仿宋_GB2312" w:eastAsia="仿宋_GB2312" w:cs="仿宋_GB2312"/>
          <w:sz w:val="28"/>
          <w:szCs w:val="28"/>
        </w:rPr>
      </w:pPr>
      <w:r>
        <w:rPr>
          <w:rFonts w:hint="eastAsia" w:ascii="仿宋_GB2312" w:hAnsi="仿宋_GB2312" w:cs="仿宋_GB2312"/>
          <w:sz w:val="28"/>
          <w:szCs w:val="28"/>
          <w:lang w:eastAsia="zh-CN"/>
        </w:rPr>
        <w:t>2024</w:t>
      </w:r>
      <w:r>
        <w:rPr>
          <w:rFonts w:hint="eastAsia" w:ascii="仿宋_GB2312" w:hAnsi="仿宋_GB2312" w:eastAsia="仿宋_GB2312" w:cs="仿宋_GB2312"/>
          <w:sz w:val="28"/>
          <w:szCs w:val="28"/>
        </w:rPr>
        <w:t>年“三公”经费预算数为_______万元，</w:t>
      </w:r>
      <w:r>
        <w:rPr>
          <w:rFonts w:hint="eastAsia" w:ascii="仿宋_GB2312" w:hAnsi="仿宋_GB2312" w:eastAsia="仿宋_GB2312" w:cs="仿宋_GB2312"/>
          <w:sz w:val="28"/>
          <w:szCs w:val="28"/>
          <w:lang w:eastAsia="zh-CN"/>
        </w:rPr>
        <w:t>其中</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eastAsia="zh-CN"/>
        </w:rPr>
        <w:t>当年预算</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万元；上年结转</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w:t>
      </w:r>
      <w:r>
        <w:rPr>
          <w:rFonts w:hint="eastAsia" w:ascii="仿宋_GB2312" w:hAnsi="仿宋_GB2312" w:cs="仿宋_GB2312"/>
          <w:sz w:val="28"/>
          <w:szCs w:val="28"/>
          <w:lang w:val="en-US" w:eastAsia="zh-CN"/>
        </w:rPr>
        <w:t>2024</w:t>
      </w:r>
      <w:r>
        <w:rPr>
          <w:rFonts w:hint="eastAsia" w:ascii="仿宋_GB2312" w:hAnsi="仿宋_GB2312" w:eastAsia="仿宋_GB2312" w:cs="仿宋_GB2312"/>
          <w:sz w:val="28"/>
          <w:szCs w:val="28"/>
          <w:lang w:val="en-US" w:eastAsia="zh-CN"/>
        </w:rPr>
        <w:t>年当年预算数</w:t>
      </w:r>
      <w:r>
        <w:rPr>
          <w:rFonts w:hint="eastAsia" w:ascii="仿宋_GB2312" w:hAnsi="仿宋_GB2312" w:eastAsia="仿宋_GB2312" w:cs="仿宋_GB2312"/>
          <w:sz w:val="28"/>
          <w:szCs w:val="28"/>
        </w:rPr>
        <w:t>比</w:t>
      </w:r>
      <w:r>
        <w:rPr>
          <w:rFonts w:hint="eastAsia" w:ascii="仿宋_GB2312" w:hAnsi="仿宋_GB2312" w:cs="仿宋_GB2312"/>
          <w:sz w:val="28"/>
          <w:szCs w:val="28"/>
          <w:lang w:eastAsia="zh-CN"/>
        </w:rPr>
        <w:t>2022</w:t>
      </w:r>
      <w:r>
        <w:rPr>
          <w:rFonts w:hint="eastAsia" w:ascii="仿宋_GB2312" w:hAnsi="仿宋_GB2312" w:eastAsia="仿宋_GB2312" w:cs="仿宋_GB2312"/>
          <w:sz w:val="28"/>
          <w:szCs w:val="28"/>
        </w:rPr>
        <w:t>年预算数增加（减少）_______万元。其中：</w:t>
      </w:r>
    </w:p>
    <w:p>
      <w:pPr>
        <w:ind w:firstLine="560" w:firstLineChars="20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1.因公出国（境）费_______万元，</w:t>
      </w:r>
      <w:r>
        <w:rPr>
          <w:rFonts w:hint="eastAsia" w:ascii="仿宋_GB2312" w:hAnsi="仿宋_GB2312" w:eastAsia="仿宋_GB2312" w:cs="仿宋_GB2312"/>
          <w:sz w:val="28"/>
          <w:szCs w:val="28"/>
          <w:lang w:eastAsia="zh-CN"/>
        </w:rPr>
        <w:t>其中：当年预算</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万元；上年结转</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w:t>
      </w:r>
      <w:r>
        <w:rPr>
          <w:rFonts w:hint="eastAsia" w:ascii="仿宋_GB2312" w:hAnsi="仿宋_GB2312" w:cs="仿宋_GB2312"/>
          <w:sz w:val="28"/>
          <w:szCs w:val="28"/>
          <w:lang w:val="en-US" w:eastAsia="zh-CN"/>
        </w:rPr>
        <w:t>2024</w:t>
      </w:r>
      <w:r>
        <w:rPr>
          <w:rFonts w:hint="eastAsia" w:ascii="仿宋_GB2312" w:hAnsi="仿宋_GB2312" w:eastAsia="仿宋_GB2312" w:cs="仿宋_GB2312"/>
          <w:sz w:val="28"/>
          <w:szCs w:val="28"/>
          <w:lang w:val="en-US" w:eastAsia="zh-CN"/>
        </w:rPr>
        <w:t>年当年预算数</w:t>
      </w:r>
      <w:r>
        <w:rPr>
          <w:rFonts w:hint="eastAsia" w:ascii="仿宋_GB2312" w:hAnsi="仿宋_GB2312" w:eastAsia="仿宋_GB2312" w:cs="仿宋_GB2312"/>
          <w:sz w:val="28"/>
          <w:szCs w:val="28"/>
        </w:rPr>
        <w:t>比</w:t>
      </w:r>
      <w:r>
        <w:rPr>
          <w:rFonts w:hint="eastAsia" w:ascii="仿宋_GB2312" w:hAnsi="仿宋_GB2312" w:cs="仿宋_GB2312"/>
          <w:sz w:val="28"/>
          <w:szCs w:val="28"/>
          <w:lang w:eastAsia="zh-CN"/>
        </w:rPr>
        <w:t>2022</w:t>
      </w:r>
      <w:r>
        <w:rPr>
          <w:rFonts w:hint="eastAsia" w:ascii="仿宋_GB2312" w:hAnsi="仿宋_GB2312" w:eastAsia="仿宋_GB2312" w:cs="仿宋_GB2312"/>
          <w:sz w:val="28"/>
          <w:szCs w:val="28"/>
        </w:rPr>
        <w:t>年预算数增加（减少）_____万元，主要原因是_______________</w:t>
      </w:r>
      <w:r>
        <w:rPr>
          <w:rFonts w:hint="eastAsia" w:ascii="仿宋_GB2312" w:hAnsi="仿宋_GB2312" w:eastAsia="仿宋_GB2312" w:cs="仿宋_GB2312"/>
          <w:sz w:val="28"/>
          <w:szCs w:val="28"/>
          <w:lang w:eastAsia="zh-CN"/>
        </w:rPr>
        <w:t>。</w:t>
      </w:r>
    </w:p>
    <w:p>
      <w:pPr>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2.公务接待费_______万元，</w:t>
      </w:r>
      <w:r>
        <w:rPr>
          <w:rFonts w:hint="eastAsia" w:ascii="仿宋_GB2312" w:hAnsi="仿宋_GB2312" w:eastAsia="仿宋_GB2312" w:cs="仿宋_GB2312"/>
          <w:sz w:val="28"/>
          <w:szCs w:val="28"/>
          <w:lang w:eastAsia="zh-CN"/>
        </w:rPr>
        <w:t>其中：当年预算</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万元；上年结转</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w:t>
      </w:r>
      <w:r>
        <w:rPr>
          <w:rFonts w:hint="eastAsia" w:ascii="仿宋_GB2312" w:hAnsi="仿宋_GB2312" w:cs="仿宋_GB2312"/>
          <w:sz w:val="28"/>
          <w:szCs w:val="28"/>
          <w:lang w:val="en-US" w:eastAsia="zh-CN"/>
        </w:rPr>
        <w:t>2024</w:t>
      </w:r>
      <w:r>
        <w:rPr>
          <w:rFonts w:hint="eastAsia" w:ascii="仿宋_GB2312" w:hAnsi="仿宋_GB2312" w:eastAsia="仿宋_GB2312" w:cs="仿宋_GB2312"/>
          <w:sz w:val="28"/>
          <w:szCs w:val="28"/>
          <w:lang w:val="en-US" w:eastAsia="zh-CN"/>
        </w:rPr>
        <w:t>年当年预算数</w:t>
      </w:r>
      <w:r>
        <w:rPr>
          <w:rFonts w:hint="eastAsia" w:ascii="仿宋_GB2312" w:hAnsi="仿宋_GB2312" w:eastAsia="仿宋_GB2312" w:cs="仿宋_GB2312"/>
          <w:sz w:val="28"/>
          <w:szCs w:val="28"/>
        </w:rPr>
        <w:t>比</w:t>
      </w:r>
      <w:r>
        <w:rPr>
          <w:rFonts w:hint="eastAsia" w:ascii="仿宋_GB2312" w:hAnsi="仿宋_GB2312" w:cs="仿宋_GB2312"/>
          <w:sz w:val="28"/>
          <w:szCs w:val="28"/>
          <w:lang w:eastAsia="zh-CN"/>
        </w:rPr>
        <w:t>2022</w:t>
      </w:r>
      <w:r>
        <w:rPr>
          <w:rFonts w:hint="eastAsia" w:ascii="仿宋_GB2312" w:hAnsi="仿宋_GB2312" w:eastAsia="仿宋_GB2312" w:cs="仿宋_GB2312"/>
          <w:sz w:val="28"/>
          <w:szCs w:val="28"/>
        </w:rPr>
        <w:t>年预算数增加（减少）_______万元，主要原因是__________________</w:t>
      </w:r>
      <w:r>
        <w:rPr>
          <w:rFonts w:hint="eastAsia" w:ascii="仿宋_GB2312" w:hAnsi="仿宋_GB2312" w:eastAsia="仿宋_GB2312" w:cs="仿宋_GB2312"/>
          <w:sz w:val="28"/>
          <w:szCs w:val="28"/>
          <w:lang w:eastAsia="zh-CN"/>
        </w:rPr>
        <w:t>。</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3.公务用车购置及运行费_______万元，</w:t>
      </w:r>
      <w:r>
        <w:rPr>
          <w:rFonts w:hint="eastAsia" w:ascii="仿宋_GB2312" w:hAnsi="仿宋_GB2312" w:eastAsia="仿宋_GB2312" w:cs="仿宋_GB2312"/>
          <w:sz w:val="28"/>
          <w:szCs w:val="28"/>
          <w:lang w:eastAsia="zh-CN"/>
        </w:rPr>
        <w:t>其中：当年预算</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万元；上年结转</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w:t>
      </w:r>
      <w:r>
        <w:rPr>
          <w:rFonts w:hint="eastAsia" w:ascii="仿宋_GB2312" w:hAnsi="仿宋_GB2312" w:cs="仿宋_GB2312"/>
          <w:sz w:val="28"/>
          <w:szCs w:val="28"/>
          <w:lang w:val="en-US" w:eastAsia="zh-CN"/>
        </w:rPr>
        <w:t>2024</w:t>
      </w:r>
      <w:r>
        <w:rPr>
          <w:rFonts w:hint="eastAsia" w:ascii="仿宋_GB2312" w:hAnsi="仿宋_GB2312" w:eastAsia="仿宋_GB2312" w:cs="仿宋_GB2312"/>
          <w:sz w:val="28"/>
          <w:szCs w:val="28"/>
          <w:lang w:val="en-US" w:eastAsia="zh-CN"/>
        </w:rPr>
        <w:t>年当年预算数</w:t>
      </w:r>
      <w:r>
        <w:rPr>
          <w:rFonts w:hint="eastAsia" w:ascii="仿宋_GB2312" w:hAnsi="仿宋_GB2312" w:eastAsia="仿宋_GB2312" w:cs="仿宋_GB2312"/>
          <w:sz w:val="28"/>
          <w:szCs w:val="28"/>
        </w:rPr>
        <w:t>比</w:t>
      </w:r>
      <w:r>
        <w:rPr>
          <w:rFonts w:hint="eastAsia" w:ascii="仿宋_GB2312" w:hAnsi="仿宋_GB2312" w:cs="仿宋_GB2312"/>
          <w:sz w:val="28"/>
          <w:szCs w:val="28"/>
          <w:lang w:eastAsia="zh-CN"/>
        </w:rPr>
        <w:t>2022</w:t>
      </w:r>
      <w:r>
        <w:rPr>
          <w:rFonts w:hint="eastAsia" w:ascii="仿宋_GB2312" w:hAnsi="仿宋_GB2312" w:eastAsia="仿宋_GB2312" w:cs="仿宋_GB2312"/>
          <w:sz w:val="28"/>
          <w:szCs w:val="28"/>
        </w:rPr>
        <w:t>年预算数增加（减少）_______万元。公务用车运行维护费_____万元，</w:t>
      </w:r>
      <w:r>
        <w:rPr>
          <w:rFonts w:hint="eastAsia" w:ascii="仿宋_GB2312" w:hAnsi="仿宋_GB2312" w:eastAsia="仿宋_GB2312" w:cs="仿宋_GB2312"/>
          <w:sz w:val="28"/>
          <w:szCs w:val="28"/>
          <w:lang w:eastAsia="zh-CN"/>
        </w:rPr>
        <w:t>其中：当年预算</w:t>
      </w:r>
      <w:r>
        <w:rPr>
          <w:rFonts w:hint="eastAsia" w:ascii="仿宋_GB2312" w:hAnsi="仿宋_GB2312" w:eastAsia="仿宋_GB2312" w:cs="仿宋_GB2312"/>
          <w:sz w:val="28"/>
          <w:szCs w:val="28"/>
        </w:rPr>
        <w:t>_____</w:t>
      </w:r>
      <w:r>
        <w:rPr>
          <w:rFonts w:hint="eastAsia" w:ascii="仿宋_GB2312" w:hAnsi="仿宋_GB2312" w:eastAsia="仿宋_GB2312" w:cs="仿宋_GB2312"/>
          <w:sz w:val="28"/>
          <w:szCs w:val="28"/>
          <w:lang w:eastAsia="zh-CN"/>
        </w:rPr>
        <w:t>万元；上年结转</w:t>
      </w:r>
      <w:r>
        <w:rPr>
          <w:rFonts w:hint="eastAsia" w:ascii="仿宋_GB2312" w:hAnsi="仿宋_GB2312" w:eastAsia="仿宋_GB2312" w:cs="仿宋_GB2312"/>
          <w:sz w:val="28"/>
          <w:szCs w:val="28"/>
        </w:rPr>
        <w:t>__</w:t>
      </w:r>
      <w:r>
        <w:rPr>
          <w:rFonts w:hint="eastAsia" w:ascii="仿宋_GB2312" w:hAnsi="仿宋_GB2312" w:eastAsia="仿宋_GB2312" w:cs="仿宋_GB2312"/>
          <w:sz w:val="28"/>
          <w:szCs w:val="28"/>
          <w:lang w:eastAsia="zh-CN"/>
        </w:rPr>
        <w:t>万元。</w:t>
      </w:r>
      <w:r>
        <w:rPr>
          <w:rFonts w:hint="eastAsia" w:ascii="仿宋_GB2312" w:hAnsi="仿宋_GB2312" w:cs="仿宋_GB2312"/>
          <w:sz w:val="28"/>
          <w:szCs w:val="28"/>
          <w:lang w:val="en-US" w:eastAsia="zh-CN"/>
        </w:rPr>
        <w:t>2024</w:t>
      </w:r>
      <w:r>
        <w:rPr>
          <w:rFonts w:hint="eastAsia" w:ascii="仿宋_GB2312" w:hAnsi="仿宋_GB2312" w:eastAsia="仿宋_GB2312" w:cs="仿宋_GB2312"/>
          <w:sz w:val="28"/>
          <w:szCs w:val="28"/>
          <w:lang w:val="en-US" w:eastAsia="zh-CN"/>
        </w:rPr>
        <w:t>年当年预算数</w:t>
      </w:r>
      <w:r>
        <w:rPr>
          <w:rFonts w:hint="eastAsia" w:ascii="仿宋_GB2312" w:hAnsi="仿宋_GB2312" w:eastAsia="仿宋_GB2312" w:cs="仿宋_GB2312"/>
          <w:sz w:val="28"/>
          <w:szCs w:val="28"/>
        </w:rPr>
        <w:t>比</w:t>
      </w:r>
      <w:r>
        <w:rPr>
          <w:rFonts w:hint="eastAsia" w:ascii="仿宋_GB2312" w:hAnsi="仿宋_GB2312" w:cs="仿宋_GB2312"/>
          <w:sz w:val="28"/>
          <w:szCs w:val="28"/>
          <w:lang w:eastAsia="zh-CN"/>
        </w:rPr>
        <w:t>2022</w:t>
      </w:r>
      <w:r>
        <w:rPr>
          <w:rFonts w:hint="eastAsia" w:ascii="仿宋_GB2312" w:hAnsi="仿宋_GB2312" w:eastAsia="仿宋_GB2312" w:cs="仿宋_GB2312"/>
          <w:sz w:val="28"/>
          <w:szCs w:val="28"/>
        </w:rPr>
        <w:t>年预算数增加（减少）_____万元，主要原因是_____；公务用车购置费_____万元，</w:t>
      </w:r>
      <w:r>
        <w:rPr>
          <w:rFonts w:hint="eastAsia" w:ascii="仿宋_GB2312" w:hAnsi="仿宋_GB2312" w:eastAsia="仿宋_GB2312" w:cs="仿宋_GB2312"/>
          <w:sz w:val="28"/>
          <w:szCs w:val="28"/>
          <w:lang w:eastAsia="zh-CN"/>
        </w:rPr>
        <w:t>其中：当年预算</w:t>
      </w:r>
      <w:r>
        <w:rPr>
          <w:rFonts w:hint="eastAsia" w:ascii="仿宋_GB2312" w:hAnsi="仿宋_GB2312" w:eastAsia="仿宋_GB2312" w:cs="仿宋_GB2312"/>
          <w:sz w:val="28"/>
          <w:szCs w:val="28"/>
        </w:rPr>
        <w:t>_______</w:t>
      </w:r>
      <w:r>
        <w:rPr>
          <w:rFonts w:hint="eastAsia" w:ascii="仿宋_GB2312" w:hAnsi="仿宋_GB2312" w:eastAsia="仿宋_GB2312" w:cs="仿宋_GB2312"/>
          <w:sz w:val="28"/>
          <w:szCs w:val="28"/>
          <w:lang w:eastAsia="zh-CN"/>
        </w:rPr>
        <w:t>万元；上年结转</w:t>
      </w:r>
      <w:r>
        <w:rPr>
          <w:rFonts w:hint="eastAsia" w:ascii="仿宋_GB2312" w:hAnsi="仿宋_GB2312" w:eastAsia="仿宋_GB2312" w:cs="仿宋_GB2312"/>
          <w:sz w:val="28"/>
          <w:szCs w:val="28"/>
        </w:rPr>
        <w:t>_____</w:t>
      </w:r>
      <w:r>
        <w:rPr>
          <w:rFonts w:hint="eastAsia" w:ascii="仿宋_GB2312" w:hAnsi="仿宋_GB2312" w:eastAsia="仿宋_GB2312" w:cs="仿宋_GB2312"/>
          <w:sz w:val="28"/>
          <w:szCs w:val="28"/>
          <w:lang w:eastAsia="zh-CN"/>
        </w:rPr>
        <w:t>万元。</w:t>
      </w:r>
      <w:r>
        <w:rPr>
          <w:rFonts w:hint="eastAsia" w:ascii="仿宋_GB2312" w:hAnsi="仿宋_GB2312" w:cs="仿宋_GB2312"/>
          <w:sz w:val="28"/>
          <w:szCs w:val="28"/>
          <w:lang w:val="en-US" w:eastAsia="zh-CN"/>
        </w:rPr>
        <w:t>2024</w:t>
      </w:r>
      <w:r>
        <w:rPr>
          <w:rFonts w:hint="eastAsia" w:ascii="仿宋_GB2312" w:hAnsi="仿宋_GB2312" w:eastAsia="仿宋_GB2312" w:cs="仿宋_GB2312"/>
          <w:sz w:val="28"/>
          <w:szCs w:val="28"/>
          <w:lang w:val="en-US" w:eastAsia="zh-CN"/>
        </w:rPr>
        <w:t>年当年预算数</w:t>
      </w:r>
      <w:r>
        <w:rPr>
          <w:rFonts w:hint="eastAsia" w:ascii="仿宋_GB2312" w:hAnsi="仿宋_GB2312" w:eastAsia="仿宋_GB2312" w:cs="仿宋_GB2312"/>
          <w:sz w:val="28"/>
          <w:szCs w:val="28"/>
        </w:rPr>
        <w:t>比</w:t>
      </w:r>
      <w:r>
        <w:rPr>
          <w:rFonts w:hint="eastAsia" w:ascii="仿宋_GB2312" w:hAnsi="仿宋_GB2312" w:cs="仿宋_GB2312"/>
          <w:sz w:val="28"/>
          <w:szCs w:val="28"/>
          <w:lang w:eastAsia="zh-CN"/>
        </w:rPr>
        <w:t>2022</w:t>
      </w:r>
      <w:r>
        <w:rPr>
          <w:rFonts w:hint="eastAsia" w:ascii="仿宋_GB2312" w:hAnsi="仿宋_GB2312" w:eastAsia="仿宋_GB2312" w:cs="仿宋_GB2312"/>
          <w:sz w:val="28"/>
          <w:szCs w:val="28"/>
        </w:rPr>
        <w:t>年预算数增加（减少）_____万元，主要原因是_____________。</w:t>
      </w:r>
    </w:p>
    <w:p>
      <w:pPr>
        <w:ind w:firstLine="560" w:firstLineChars="200"/>
        <w:rPr>
          <w:rFonts w:eastAsia="楷体"/>
          <w:sz w:val="28"/>
          <w:szCs w:val="28"/>
        </w:rPr>
      </w:pPr>
      <w:r>
        <w:rPr>
          <w:rFonts w:eastAsia="楷体"/>
          <w:sz w:val="28"/>
          <w:szCs w:val="28"/>
        </w:rPr>
        <w:t>注：“三公”经费中包括的具体内容，按本部门《一般公共预算“三公”经费支出表》反映的实际情况</w:t>
      </w:r>
      <w:r>
        <w:rPr>
          <w:rFonts w:hint="eastAsia" w:eastAsia="楷体"/>
          <w:sz w:val="28"/>
          <w:szCs w:val="28"/>
        </w:rPr>
        <w:t>填写</w:t>
      </w:r>
      <w:r>
        <w:rPr>
          <w:rFonts w:eastAsia="楷体"/>
          <w:sz w:val="28"/>
          <w:szCs w:val="28"/>
        </w:rPr>
        <w:t>。</w:t>
      </w:r>
      <w:r>
        <w:rPr>
          <w:rFonts w:hint="eastAsia" w:eastAsia="楷体"/>
          <w:sz w:val="28"/>
          <w:szCs w:val="28"/>
          <w:lang w:eastAsia="zh-CN"/>
        </w:rPr>
        <w:t>2024</w:t>
      </w:r>
      <w:r>
        <w:rPr>
          <w:rFonts w:eastAsia="楷体"/>
          <w:sz w:val="28"/>
          <w:szCs w:val="28"/>
        </w:rPr>
        <w:t>年预算数要与当年公开数额保持一致。没有一般公共预算拨款的，直接表述为“本部门无一般公共预算拨款”</w:t>
      </w:r>
      <w:r>
        <w:rPr>
          <w:rFonts w:hint="eastAsia" w:eastAsia="楷体"/>
          <w:sz w:val="28"/>
          <w:szCs w:val="28"/>
        </w:rPr>
        <w:t>，不得直接删除</w:t>
      </w:r>
      <w:r>
        <w:rPr>
          <w:rFonts w:eastAsia="楷体"/>
          <w:sz w:val="28"/>
          <w:szCs w:val="28"/>
        </w:rPr>
        <w:t>。</w:t>
      </w:r>
    </w:p>
    <w:p>
      <w:pPr>
        <w:ind w:firstLine="562" w:firstLineChars="200"/>
        <w:rPr>
          <w:rFonts w:eastAsia="黑体"/>
          <w:szCs w:val="32"/>
        </w:rPr>
      </w:pPr>
      <w:r>
        <w:rPr>
          <w:rFonts w:eastAsia="楷体"/>
          <w:b/>
          <w:bCs/>
          <w:sz w:val="28"/>
          <w:szCs w:val="28"/>
        </w:rPr>
        <w:t>本部门无一般公共预算拨款</w:t>
      </w: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3" w:firstLineChars="200"/>
        <w:rPr>
          <w:rFonts w:eastAsia="楷体"/>
          <w:b/>
          <w:bCs/>
          <w:szCs w:val="32"/>
        </w:rPr>
      </w:pPr>
      <w:r>
        <w:rPr>
          <w:rFonts w:eastAsia="楷体"/>
          <w:b/>
          <w:bCs/>
          <w:szCs w:val="32"/>
        </w:rPr>
        <w:t>本部门无政府性基金预算拨款</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jc w:val="center"/>
        <w:rPr>
          <w:rFonts w:eastAsia="楷体"/>
          <w:b/>
          <w:bCs/>
          <w:szCs w:val="32"/>
        </w:rPr>
      </w:pPr>
      <w:r>
        <w:rPr>
          <w:rFonts w:eastAsia="楷体"/>
          <w:b/>
          <w:bCs/>
          <w:szCs w:val="32"/>
        </w:rPr>
        <w:t>本部门无</w:t>
      </w:r>
      <w:r>
        <w:rPr>
          <w:rFonts w:hint="eastAsia" w:eastAsia="楷体"/>
          <w:b/>
          <w:bCs/>
          <w:szCs w:val="32"/>
        </w:rPr>
        <w:t>国有资本经营</w:t>
      </w:r>
      <w:r>
        <w:rPr>
          <w:rFonts w:eastAsia="楷体"/>
          <w:b/>
          <w:bCs/>
          <w:szCs w:val="32"/>
        </w:rPr>
        <w:t>预算拨款</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14</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906</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160.98</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5</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160.32</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0.66</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5</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160.98</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rPr>
          <w:rFonts w:hint="eastAsia" w:eastAsia="楷体"/>
          <w:b/>
          <w:bCs/>
          <w:szCs w:val="32"/>
          <w:lang w:val="en-US" w:eastAsia="zh-CN"/>
        </w:rPr>
      </w:pPr>
      <w:r>
        <w:rPr>
          <w:rFonts w:hint="eastAsia" w:eastAsia="楷体"/>
          <w:b/>
          <w:bCs/>
          <w:szCs w:val="32"/>
          <w:lang w:val="en-US" w:eastAsia="zh-CN"/>
        </w:rPr>
        <w:t>本部门无机关运行经费</w:t>
      </w:r>
    </w:p>
    <w:p>
      <w:pPr>
        <w:spacing w:line="540" w:lineRule="exact"/>
        <w:rPr>
          <w:rFonts w:hint="eastAsia" w:eastAsia="楷体"/>
          <w:b/>
          <w:bCs/>
          <w:szCs w:val="32"/>
          <w:lang w:val="en-US" w:eastAsia="zh-CN"/>
        </w:rPr>
      </w:pPr>
      <w:r>
        <w:rPr>
          <w:rFonts w:hint="eastAsia" w:eastAsia="楷体"/>
          <w:b/>
          <w:bCs/>
          <w:szCs w:val="32"/>
          <w:lang w:val="en-US" w:eastAsia="zh-CN"/>
        </w:rPr>
        <w:t>本部门无政府采购情况</w:t>
      </w: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spacing w:line="540" w:lineRule="exact"/>
        <w:rPr>
          <w:rFonts w:hint="eastAsia" w:eastAsia="楷体"/>
          <w:b/>
          <w:bCs/>
          <w:szCs w:val="32"/>
          <w:lang w:val="en-US" w:eastAsia="zh-CN"/>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jgzMzI1MWMzNTI4MWFlNGYwMjhiZDg4NmI4Yz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2F894951"/>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452B32"/>
    <w:rsid w:val="51E55C99"/>
    <w:rsid w:val="52071113"/>
    <w:rsid w:val="52447C09"/>
    <w:rsid w:val="525A440D"/>
    <w:rsid w:val="54741940"/>
    <w:rsid w:val="54810E66"/>
    <w:rsid w:val="54C2556E"/>
    <w:rsid w:val="54D910C3"/>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A5227D"/>
    <w:rsid w:val="6ACC5E47"/>
    <w:rsid w:val="6AD43ED1"/>
    <w:rsid w:val="6B11024D"/>
    <w:rsid w:val="6B7D5B36"/>
    <w:rsid w:val="6CF120A8"/>
    <w:rsid w:val="714213DD"/>
    <w:rsid w:val="717F272E"/>
    <w:rsid w:val="728027C6"/>
    <w:rsid w:val="72D54D7C"/>
    <w:rsid w:val="737664E0"/>
    <w:rsid w:val="73FE7ACC"/>
    <w:rsid w:val="74053F35"/>
    <w:rsid w:val="74556746"/>
    <w:rsid w:val="74AB7A24"/>
    <w:rsid w:val="756E2172"/>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28</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烟雨</cp:lastModifiedBy>
  <cp:lastPrinted>2022-02-21T08:08:00Z</cp:lastPrinted>
  <dcterms:modified xsi:type="dcterms:W3CDTF">2024-01-26T06:40:36Z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C1E6FA33BB2D481D820F976053267564_13</vt:lpwstr>
  </property>
</Properties>
</file>