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val="en-US" w:eastAsia="zh-CN"/>
        </w:rPr>
        <w:t>通榆县公园管理中心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widowControl/>
        <w:suppressLineNumbers w:val="0"/>
        <w:jc w:val="left"/>
      </w:pPr>
      <w:r>
        <w:rPr>
          <w:rFonts w:hint="eastAsia" w:ascii="仿宋" w:hAnsi="仿宋" w:eastAsia="仿宋"/>
          <w:sz w:val="32"/>
        </w:rPr>
        <w:t xml:space="preserve"> </w:t>
      </w:r>
      <w:r>
        <w:rPr>
          <w:rFonts w:hint="default" w:ascii="Times New Roman" w:hAnsi="Times New Roman" w:eastAsia="宋体" w:cs="Times New Roman"/>
          <w:color w:val="000000"/>
          <w:kern w:val="0"/>
          <w:sz w:val="31"/>
          <w:szCs w:val="31"/>
          <w:lang w:val="en-US" w:eastAsia="zh-CN" w:bidi="ar"/>
        </w:rPr>
        <w:t>(</w:t>
      </w:r>
      <w:r>
        <w:rPr>
          <w:rFonts w:hint="eastAsia" w:ascii="宋体" w:hAnsi="宋体" w:eastAsia="宋体" w:cs="宋体"/>
          <w:color w:val="000000"/>
          <w:kern w:val="0"/>
          <w:sz w:val="31"/>
          <w:szCs w:val="31"/>
          <w:lang w:val="en-US" w:eastAsia="zh-CN" w:bidi="ar"/>
        </w:rPr>
        <w:t>一</w:t>
      </w:r>
      <w:r>
        <w:rPr>
          <w:rFonts w:hint="default" w:ascii="Times New Roman" w:hAnsi="Times New Roman" w:eastAsia="宋体" w:cs="Times New Roman"/>
          <w:color w:val="000000"/>
          <w:kern w:val="0"/>
          <w:sz w:val="31"/>
          <w:szCs w:val="31"/>
          <w:lang w:val="en-US" w:eastAsia="zh-CN" w:bidi="ar"/>
        </w:rPr>
        <w:t>)</w:t>
      </w:r>
      <w:r>
        <w:rPr>
          <w:rFonts w:hint="eastAsia" w:ascii="宋体" w:hAnsi="宋体" w:eastAsia="宋体" w:cs="宋体"/>
          <w:color w:val="000000"/>
          <w:kern w:val="0"/>
          <w:sz w:val="31"/>
          <w:szCs w:val="31"/>
          <w:lang w:val="en-US" w:eastAsia="zh-CN" w:bidi="ar"/>
        </w:rPr>
        <w:t xml:space="preserve">配合研究制定适应公园的各项规章制度和管理措施，并 </w:t>
      </w:r>
    </w:p>
    <w:p>
      <w:pPr>
        <w:keepNext w:val="0"/>
        <w:keepLines w:val="0"/>
        <w:widowControl/>
        <w:suppressLineNumbers w:val="0"/>
        <w:jc w:val="left"/>
      </w:pPr>
      <w:r>
        <w:rPr>
          <w:rFonts w:hint="eastAsia" w:ascii="宋体" w:hAnsi="宋体" w:eastAsia="宋体" w:cs="宋体"/>
          <w:color w:val="000000"/>
          <w:kern w:val="0"/>
          <w:sz w:val="31"/>
          <w:szCs w:val="31"/>
          <w:lang w:val="en-US" w:eastAsia="zh-CN" w:bidi="ar"/>
        </w:rPr>
        <w:t>负责组织实施</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w:t>
      </w:r>
      <w:r>
        <w:rPr>
          <w:rFonts w:hint="eastAsia" w:ascii="宋体" w:hAnsi="宋体" w:eastAsia="宋体" w:cs="宋体"/>
          <w:color w:val="000000"/>
          <w:kern w:val="0"/>
          <w:sz w:val="31"/>
          <w:szCs w:val="31"/>
          <w:lang w:val="en-US" w:eastAsia="zh-CN" w:bidi="ar"/>
        </w:rPr>
        <w:t>二</w:t>
      </w:r>
      <w:r>
        <w:rPr>
          <w:rFonts w:hint="default" w:ascii="Times New Roman" w:hAnsi="Times New Roman" w:eastAsia="宋体" w:cs="Times New Roman"/>
          <w:color w:val="000000"/>
          <w:kern w:val="0"/>
          <w:sz w:val="31"/>
          <w:szCs w:val="31"/>
          <w:lang w:val="en-US" w:eastAsia="zh-CN" w:bidi="ar"/>
        </w:rPr>
        <w:t>)</w:t>
      </w:r>
      <w:r>
        <w:rPr>
          <w:rFonts w:hint="eastAsia" w:ascii="宋体" w:hAnsi="宋体" w:eastAsia="宋体" w:cs="宋体"/>
          <w:color w:val="000000"/>
          <w:kern w:val="0"/>
          <w:sz w:val="31"/>
          <w:szCs w:val="31"/>
          <w:lang w:val="en-US" w:eastAsia="zh-CN" w:bidi="ar"/>
        </w:rPr>
        <w:t>负责公园绿化规划的组织落实工作</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w:t>
      </w:r>
      <w:r>
        <w:rPr>
          <w:rFonts w:hint="eastAsia" w:ascii="宋体" w:hAnsi="宋体" w:eastAsia="宋体" w:cs="宋体"/>
          <w:color w:val="000000"/>
          <w:kern w:val="0"/>
          <w:sz w:val="31"/>
          <w:szCs w:val="31"/>
          <w:lang w:val="en-US" w:eastAsia="zh-CN" w:bidi="ar"/>
        </w:rPr>
        <w:t>三</w:t>
      </w:r>
      <w:r>
        <w:rPr>
          <w:rFonts w:hint="default" w:ascii="Times New Roman" w:hAnsi="Times New Roman" w:eastAsia="宋体" w:cs="Times New Roman"/>
          <w:color w:val="000000"/>
          <w:kern w:val="0"/>
          <w:sz w:val="31"/>
          <w:szCs w:val="31"/>
          <w:lang w:val="en-US" w:eastAsia="zh-CN" w:bidi="ar"/>
        </w:rPr>
        <w:t>)</w:t>
      </w:r>
      <w:r>
        <w:rPr>
          <w:rFonts w:hint="eastAsia" w:ascii="宋体" w:hAnsi="宋体" w:eastAsia="宋体" w:cs="宋体"/>
          <w:color w:val="000000"/>
          <w:kern w:val="0"/>
          <w:sz w:val="31"/>
          <w:szCs w:val="31"/>
          <w:lang w:val="en-US" w:eastAsia="zh-CN" w:bidi="ar"/>
        </w:rPr>
        <w:t>负责公园基础设施的维护管理和修缮工作</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w:t>
      </w:r>
      <w:r>
        <w:rPr>
          <w:rFonts w:hint="eastAsia" w:ascii="宋体" w:hAnsi="宋体" w:eastAsia="宋体" w:cs="宋体"/>
          <w:color w:val="000000"/>
          <w:kern w:val="0"/>
          <w:sz w:val="31"/>
          <w:szCs w:val="31"/>
          <w:lang w:val="en-US" w:eastAsia="zh-CN" w:bidi="ar"/>
        </w:rPr>
        <w:t>四</w:t>
      </w:r>
      <w:r>
        <w:rPr>
          <w:rFonts w:hint="default" w:ascii="Times New Roman" w:hAnsi="Times New Roman" w:eastAsia="宋体" w:cs="Times New Roman"/>
          <w:color w:val="000000"/>
          <w:kern w:val="0"/>
          <w:sz w:val="31"/>
          <w:szCs w:val="31"/>
          <w:lang w:val="en-US" w:eastAsia="zh-CN" w:bidi="ar"/>
        </w:rPr>
        <w:t>)</w:t>
      </w:r>
      <w:r>
        <w:rPr>
          <w:rFonts w:hint="eastAsia" w:ascii="宋体" w:hAnsi="宋体" w:eastAsia="宋体" w:cs="宋体"/>
          <w:color w:val="000000"/>
          <w:kern w:val="0"/>
          <w:sz w:val="31"/>
          <w:szCs w:val="31"/>
          <w:lang w:val="en-US" w:eastAsia="zh-CN" w:bidi="ar"/>
        </w:rPr>
        <w:t xml:space="preserve">负责公园内自然资源和生态环境的保护管理与日常保洁 </w:t>
      </w:r>
    </w:p>
    <w:p>
      <w:pPr>
        <w:keepNext w:val="0"/>
        <w:keepLines w:val="0"/>
        <w:widowControl/>
        <w:suppressLineNumbers w:val="0"/>
        <w:jc w:val="left"/>
      </w:pPr>
      <w:r>
        <w:rPr>
          <w:rFonts w:hint="eastAsia" w:ascii="宋体" w:hAnsi="宋体" w:eastAsia="宋体" w:cs="宋体"/>
          <w:color w:val="000000"/>
          <w:kern w:val="0"/>
          <w:sz w:val="31"/>
          <w:szCs w:val="31"/>
          <w:lang w:val="en-US" w:eastAsia="zh-CN" w:bidi="ar"/>
        </w:rPr>
        <w:t>工作</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w:t>
      </w:r>
      <w:r>
        <w:rPr>
          <w:rFonts w:hint="eastAsia" w:ascii="宋体" w:hAnsi="宋体" w:eastAsia="宋体" w:cs="宋体"/>
          <w:color w:val="000000"/>
          <w:kern w:val="0"/>
          <w:sz w:val="31"/>
          <w:szCs w:val="31"/>
          <w:lang w:val="en-US" w:eastAsia="zh-CN" w:bidi="ar"/>
        </w:rPr>
        <w:t>五</w:t>
      </w:r>
      <w:r>
        <w:rPr>
          <w:rFonts w:hint="default" w:ascii="Times New Roman" w:hAnsi="Times New Roman" w:eastAsia="宋体" w:cs="Times New Roman"/>
          <w:color w:val="000000"/>
          <w:kern w:val="0"/>
          <w:sz w:val="31"/>
          <w:szCs w:val="31"/>
          <w:lang w:val="en-US" w:eastAsia="zh-CN" w:bidi="ar"/>
        </w:rPr>
        <w:t>)</w:t>
      </w:r>
      <w:r>
        <w:rPr>
          <w:rFonts w:hint="eastAsia" w:ascii="宋体" w:hAnsi="宋体" w:eastAsia="宋体" w:cs="宋体"/>
          <w:color w:val="000000"/>
          <w:kern w:val="0"/>
          <w:sz w:val="31"/>
          <w:szCs w:val="31"/>
          <w:lang w:val="en-US" w:eastAsia="zh-CN" w:bidi="ar"/>
        </w:rPr>
        <w:t>代管公园国有固定资产</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rPr>
          <w:rFonts w:hint="eastAsia" w:ascii="宋体" w:hAnsi="宋体" w:eastAsia="宋体" w:cs="宋体"/>
          <w:color w:val="000000"/>
          <w:kern w:val="0"/>
          <w:sz w:val="31"/>
          <w:szCs w:val="31"/>
          <w:lang w:val="en-US" w:eastAsia="zh-CN" w:bidi="ar"/>
        </w:rPr>
      </w:pPr>
      <w:r>
        <w:rPr>
          <w:rFonts w:hint="default" w:ascii="Times New Roman" w:hAnsi="Times New Roman" w:eastAsia="宋体" w:cs="Times New Roman"/>
          <w:color w:val="000000"/>
          <w:kern w:val="0"/>
          <w:sz w:val="31"/>
          <w:szCs w:val="31"/>
          <w:lang w:val="en-US" w:eastAsia="zh-CN" w:bidi="ar"/>
        </w:rPr>
        <w:t>(</w:t>
      </w:r>
      <w:r>
        <w:rPr>
          <w:rFonts w:hint="eastAsia" w:ascii="宋体" w:hAnsi="宋体" w:eastAsia="宋体" w:cs="宋体"/>
          <w:color w:val="000000"/>
          <w:kern w:val="0"/>
          <w:sz w:val="31"/>
          <w:szCs w:val="31"/>
          <w:lang w:val="en-US" w:eastAsia="zh-CN" w:bidi="ar"/>
        </w:rPr>
        <w:t>六</w:t>
      </w:r>
      <w:r>
        <w:rPr>
          <w:rFonts w:hint="default" w:ascii="Times New Roman" w:hAnsi="Times New Roman" w:eastAsia="宋体" w:cs="Times New Roman"/>
          <w:color w:val="000000"/>
          <w:kern w:val="0"/>
          <w:sz w:val="31"/>
          <w:szCs w:val="31"/>
          <w:lang w:val="en-US" w:eastAsia="zh-CN" w:bidi="ar"/>
        </w:rPr>
        <w:t>)</w:t>
      </w:r>
      <w:r>
        <w:rPr>
          <w:rFonts w:hint="eastAsia" w:ascii="宋体" w:hAnsi="宋体" w:eastAsia="宋体" w:cs="宋体"/>
          <w:color w:val="000000"/>
          <w:kern w:val="0"/>
          <w:sz w:val="31"/>
          <w:szCs w:val="31"/>
          <w:lang w:val="en-US" w:eastAsia="zh-CN" w:bidi="ar"/>
        </w:rPr>
        <w:t>承办县城市管理综合行政执法大队交办的其他工作。</w:t>
      </w:r>
    </w:p>
    <w:p>
      <w:pPr>
        <w:ind w:firstLine="640" w:firstLineChars="200"/>
      </w:pPr>
      <w:r>
        <w:rPr>
          <w:rFonts w:eastAsia="楷体_GB2312"/>
        </w:rPr>
        <w:t>二、机构设置</w:t>
      </w:r>
    </w:p>
    <w:p>
      <w:pPr>
        <w:keepNext w:val="0"/>
        <w:keepLines w:val="0"/>
        <w:widowControl/>
        <w:suppressLineNumbers w:val="0"/>
        <w:jc w:val="left"/>
      </w:pPr>
      <w:r>
        <w:rPr>
          <w:rFonts w:ascii="仿宋" w:hAnsi="仿宋" w:eastAsia="仿宋" w:cs="仿宋"/>
          <w:color w:val="000000"/>
          <w:kern w:val="0"/>
          <w:sz w:val="31"/>
          <w:szCs w:val="31"/>
          <w:lang w:val="en-US" w:eastAsia="zh-CN" w:bidi="ar"/>
        </w:rPr>
        <w:t xml:space="preserve">根据上述职责，通榆县公园管理中心内设 6 个机构，分别为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主任办公室、财会室、人事科、办公室、执勤中队、保洁中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队。</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318.03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256</w:t>
            </w:r>
            <w:r>
              <w:rPr>
                <w:rFonts w:hint="eastAsia" w:eastAsia="宋体"/>
                <w:kern w:val="0"/>
                <w:sz w:val="20"/>
                <w:lang w:val="en-US" w:eastAsia="zh-CN"/>
              </w:rPr>
              <w:t>.</w:t>
            </w:r>
            <w:r>
              <w:rPr>
                <w:rFonts w:hint="eastAsia" w:eastAsia="宋体"/>
                <w:kern w:val="0"/>
                <w:sz w:val="20"/>
              </w:rPr>
              <w:t>78</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r>
              <w:rPr>
                <w:rFonts w:hint="eastAsia" w:eastAsia="宋体"/>
                <w:kern w:val="0"/>
                <w:sz w:val="20"/>
              </w:rPr>
              <w:t>61</w:t>
            </w:r>
            <w:r>
              <w:rPr>
                <w:rFonts w:hint="eastAsia" w:eastAsia="宋体"/>
                <w:kern w:val="0"/>
                <w:sz w:val="20"/>
                <w:lang w:val="en-US" w:eastAsia="zh-CN"/>
              </w:rPr>
              <w:t>.</w:t>
            </w:r>
            <w:r>
              <w:rPr>
                <w:rFonts w:hint="eastAsia" w:eastAsia="宋体"/>
                <w:kern w:val="0"/>
                <w:sz w:val="20"/>
              </w:rPr>
              <w:t>25</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318.03</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rPr>
              <w:t>256</w:t>
            </w:r>
            <w:r>
              <w:rPr>
                <w:rFonts w:hint="eastAsia" w:eastAsia="宋体"/>
                <w:kern w:val="0"/>
                <w:sz w:val="20"/>
                <w:lang w:val="en-US" w:eastAsia="zh-CN"/>
              </w:rPr>
              <w:t>.</w:t>
            </w:r>
            <w:r>
              <w:rPr>
                <w:rFonts w:hint="eastAsia" w:eastAsia="宋体"/>
                <w:kern w:val="0"/>
                <w:sz w:val="20"/>
              </w:rPr>
              <w:t>78</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r>
              <w:rPr>
                <w:rFonts w:hint="eastAsia" w:eastAsia="宋体"/>
                <w:kern w:val="0"/>
                <w:sz w:val="20"/>
              </w:rPr>
              <w:t>61</w:t>
            </w:r>
            <w:r>
              <w:rPr>
                <w:rFonts w:hint="eastAsia" w:eastAsia="宋体"/>
                <w:kern w:val="0"/>
                <w:sz w:val="20"/>
                <w:lang w:val="en-US" w:eastAsia="zh-CN"/>
              </w:rPr>
              <w:t>.</w:t>
            </w:r>
            <w:r>
              <w:rPr>
                <w:rFonts w:hint="eastAsia" w:eastAsia="宋体"/>
                <w:kern w:val="0"/>
                <w:sz w:val="20"/>
              </w:rPr>
              <w:t>25</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275.20</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rPr>
              <w:t>213</w:t>
            </w:r>
            <w:r>
              <w:rPr>
                <w:rFonts w:hint="eastAsia" w:eastAsia="宋体"/>
                <w:kern w:val="0"/>
                <w:sz w:val="20"/>
                <w:lang w:val="en-US" w:eastAsia="zh-CN"/>
              </w:rPr>
              <w:t>.</w:t>
            </w:r>
            <w:r>
              <w:rPr>
                <w:rFonts w:hint="eastAsia" w:eastAsia="宋体"/>
                <w:kern w:val="0"/>
                <w:sz w:val="20"/>
              </w:rPr>
              <w:t>95</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rPr>
              <w:t>61</w:t>
            </w:r>
            <w:r>
              <w:rPr>
                <w:rFonts w:hint="eastAsia" w:eastAsia="宋体"/>
                <w:kern w:val="0"/>
                <w:sz w:val="20"/>
                <w:lang w:val="en-US" w:eastAsia="zh-CN"/>
              </w:rPr>
              <w:t>.</w:t>
            </w:r>
            <w:r>
              <w:rPr>
                <w:rFonts w:hint="eastAsia" w:eastAsia="宋体"/>
                <w:kern w:val="0"/>
                <w:sz w:val="20"/>
              </w:rPr>
              <w:t>25</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22.50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22.50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rPr>
              <w:t>13</w:t>
            </w:r>
            <w:r>
              <w:rPr>
                <w:rFonts w:hint="eastAsia" w:eastAsia="宋体"/>
                <w:color w:val="000000"/>
                <w:kern w:val="0"/>
                <w:sz w:val="20"/>
                <w:lang w:val="en-US" w:eastAsia="zh-CN"/>
              </w:rPr>
              <w:t>.</w:t>
            </w:r>
            <w:r>
              <w:rPr>
                <w:rFonts w:hint="eastAsia" w:eastAsia="宋体"/>
                <w:color w:val="000000"/>
                <w:kern w:val="0"/>
                <w:sz w:val="20"/>
              </w:rPr>
              <w:t>1</w:t>
            </w:r>
            <w:r>
              <w:rPr>
                <w:rFonts w:hint="eastAsia" w:eastAsia="宋体"/>
                <w:color w:val="000000"/>
                <w:kern w:val="0"/>
                <w:sz w:val="20"/>
                <w:lang w:val="en-US" w:eastAsia="zh-CN"/>
              </w:rPr>
              <w:t>2</w:t>
            </w: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kern w:val="0"/>
                <w:sz w:val="20"/>
                <w:lang w:val="en-US" w:eastAsia="zh-CN"/>
              </w:rPr>
            </w:pPr>
            <w:r>
              <w:rPr>
                <w:rFonts w:hint="eastAsia" w:eastAsia="宋体"/>
                <w:kern w:val="0"/>
                <w:sz w:val="20"/>
              </w:rPr>
              <w:t>13</w:t>
            </w:r>
            <w:r>
              <w:rPr>
                <w:rFonts w:hint="eastAsia" w:eastAsia="宋体"/>
                <w:kern w:val="0"/>
                <w:sz w:val="20"/>
                <w:lang w:val="en-US" w:eastAsia="zh-CN"/>
              </w:rPr>
              <w:t>.</w:t>
            </w:r>
            <w:r>
              <w:rPr>
                <w:rFonts w:hint="eastAsia" w:eastAsia="宋体"/>
                <w:kern w:val="0"/>
                <w:sz w:val="20"/>
              </w:rPr>
              <w:t>1</w:t>
            </w:r>
            <w:r>
              <w:rPr>
                <w:rFonts w:hint="eastAsia" w:eastAsia="宋体"/>
                <w:kern w:val="0"/>
                <w:sz w:val="20"/>
                <w:lang w:val="en-US" w:eastAsia="zh-CN"/>
              </w:rPr>
              <w:t>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7</w:t>
            </w:r>
            <w:r>
              <w:rPr>
                <w:rFonts w:hint="eastAsia" w:eastAsia="宋体"/>
                <w:color w:val="000000"/>
                <w:kern w:val="0"/>
                <w:sz w:val="20"/>
                <w:lang w:val="en-US" w:eastAsia="zh-CN"/>
              </w:rPr>
              <w:t>.</w:t>
            </w:r>
            <w:r>
              <w:rPr>
                <w:rFonts w:hint="eastAsia" w:eastAsia="宋体"/>
                <w:color w:val="000000"/>
                <w:kern w:val="0"/>
                <w:sz w:val="20"/>
              </w:rPr>
              <w:t>21</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rPr>
              <w:t>7</w:t>
            </w:r>
            <w:r>
              <w:rPr>
                <w:rFonts w:hint="eastAsia" w:eastAsia="宋体"/>
                <w:kern w:val="0"/>
                <w:sz w:val="20"/>
                <w:lang w:val="en-US" w:eastAsia="zh-CN"/>
              </w:rPr>
              <w:t>.</w:t>
            </w:r>
            <w:r>
              <w:rPr>
                <w:rFonts w:hint="eastAsia" w:eastAsia="宋体"/>
                <w:kern w:val="0"/>
                <w:sz w:val="20"/>
              </w:rPr>
              <w:t>21</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318.03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256</w:t>
            </w:r>
            <w:r>
              <w:rPr>
                <w:rFonts w:hint="eastAsia" w:eastAsia="宋体"/>
                <w:kern w:val="0"/>
                <w:sz w:val="20"/>
                <w:lang w:val="en-US" w:eastAsia="zh-CN"/>
              </w:rPr>
              <w:t>.</w:t>
            </w:r>
            <w:r>
              <w:rPr>
                <w:rFonts w:hint="eastAsia" w:eastAsia="宋体"/>
                <w:kern w:val="0"/>
                <w:sz w:val="20"/>
              </w:rPr>
              <w:t>78</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r>
              <w:rPr>
                <w:rFonts w:hint="eastAsia" w:eastAsia="宋体"/>
                <w:kern w:val="0"/>
                <w:sz w:val="20"/>
              </w:rPr>
              <w:t>61</w:t>
            </w:r>
            <w:r>
              <w:rPr>
                <w:rFonts w:hint="eastAsia" w:eastAsia="宋体"/>
                <w:kern w:val="0"/>
                <w:sz w:val="20"/>
                <w:lang w:val="en-US" w:eastAsia="zh-CN"/>
              </w:rPr>
              <w:t>.</w:t>
            </w:r>
            <w:r>
              <w:rPr>
                <w:rFonts w:hint="eastAsia" w:eastAsia="宋体"/>
                <w:kern w:val="0"/>
                <w:sz w:val="20"/>
              </w:rPr>
              <w:t>25</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318.03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256.78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61</w:t>
            </w:r>
            <w:r>
              <w:rPr>
                <w:rFonts w:hint="eastAsia" w:eastAsia="宋体"/>
                <w:kern w:val="0"/>
                <w:sz w:val="20"/>
                <w:lang w:val="en-US" w:eastAsia="zh-CN"/>
              </w:rPr>
              <w:t>.</w:t>
            </w:r>
            <w:r>
              <w:rPr>
                <w:rFonts w:hint="eastAsia" w:eastAsia="宋体"/>
                <w:kern w:val="0"/>
                <w:sz w:val="20"/>
              </w:rPr>
              <w:t>25</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318.03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256</w:t>
            </w:r>
            <w:r>
              <w:rPr>
                <w:rFonts w:hint="eastAsia" w:eastAsia="宋体"/>
                <w:kern w:val="0"/>
                <w:sz w:val="20"/>
                <w:lang w:val="en-US" w:eastAsia="zh-CN"/>
              </w:rPr>
              <w:t>.</w:t>
            </w:r>
            <w:r>
              <w:rPr>
                <w:rFonts w:hint="eastAsia" w:eastAsia="宋体"/>
                <w:kern w:val="0"/>
                <w:sz w:val="20"/>
              </w:rPr>
              <w:t>78</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r>
              <w:rPr>
                <w:rFonts w:hint="eastAsia" w:eastAsia="宋体"/>
                <w:kern w:val="0"/>
                <w:sz w:val="20"/>
              </w:rPr>
              <w:t>61</w:t>
            </w:r>
            <w:r>
              <w:rPr>
                <w:rFonts w:hint="eastAsia" w:eastAsia="宋体"/>
                <w:kern w:val="0"/>
                <w:sz w:val="20"/>
                <w:lang w:val="en-US" w:eastAsia="zh-CN"/>
              </w:rPr>
              <w:t>.</w:t>
            </w:r>
            <w:r>
              <w:rPr>
                <w:rFonts w:hint="eastAsia" w:eastAsia="宋体"/>
                <w:kern w:val="0"/>
                <w:sz w:val="20"/>
              </w:rPr>
              <w:t>25</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318.03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256.78</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rPr>
              <w:t>61</w:t>
            </w:r>
            <w:r>
              <w:rPr>
                <w:rFonts w:hint="eastAsia" w:eastAsia="宋体"/>
                <w:kern w:val="0"/>
                <w:sz w:val="20"/>
                <w:lang w:val="en-US" w:eastAsia="zh-CN"/>
              </w:rPr>
              <w:t>.</w:t>
            </w:r>
            <w:r>
              <w:rPr>
                <w:rFonts w:hint="eastAsia" w:eastAsia="宋体"/>
                <w:kern w:val="0"/>
                <w:sz w:val="20"/>
              </w:rPr>
              <w:t>25</w:t>
            </w: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249"/>
        <w:gridCol w:w="765"/>
        <w:gridCol w:w="675"/>
        <w:gridCol w:w="525"/>
        <w:gridCol w:w="450"/>
        <w:gridCol w:w="416"/>
        <w:gridCol w:w="416"/>
        <w:gridCol w:w="416"/>
        <w:gridCol w:w="218"/>
        <w:gridCol w:w="198"/>
        <w:gridCol w:w="416"/>
        <w:gridCol w:w="416"/>
        <w:gridCol w:w="31"/>
        <w:gridCol w:w="368"/>
        <w:gridCol w:w="433"/>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368" w:type="dxa"/>
            <w:noWrap w:val="0"/>
            <w:vAlign w:val="center"/>
          </w:tcPr>
          <w:p>
            <w:pPr>
              <w:autoSpaceDN w:val="0"/>
              <w:jc w:val="left"/>
              <w:textAlignment w:val="center"/>
              <w:rPr>
                <w:rFonts w:eastAsia="华文细黑"/>
                <w:color w:val="000000"/>
                <w:sz w:val="20"/>
              </w:rPr>
            </w:pPr>
          </w:p>
        </w:tc>
        <w:tc>
          <w:tcPr>
            <w:tcW w:w="694"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67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765"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545"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41" w:type="dxa"/>
            <w:gridSpan w:val="9"/>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6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765"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5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39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3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677"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通榆县公园管理中心</w:t>
            </w:r>
          </w:p>
        </w:tc>
        <w:tc>
          <w:tcPr>
            <w:tcW w:w="76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rPr>
              <w:t>318</w:t>
            </w:r>
            <w:r>
              <w:rPr>
                <w:rFonts w:hint="eastAsia" w:eastAsia="宋体"/>
                <w:color w:val="000000"/>
                <w:sz w:val="20"/>
                <w:lang w:val="en-US" w:eastAsia="zh-CN"/>
              </w:rPr>
              <w:t>.03</w:t>
            </w:r>
          </w:p>
        </w:tc>
        <w:tc>
          <w:tcPr>
            <w:tcW w:w="67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rPr>
              <w:t>256</w:t>
            </w:r>
            <w:r>
              <w:rPr>
                <w:rFonts w:hint="eastAsia" w:eastAsia="宋体"/>
                <w:color w:val="000000"/>
                <w:sz w:val="20"/>
                <w:lang w:val="en-US" w:eastAsia="zh-CN"/>
              </w:rPr>
              <w:t>.</w:t>
            </w:r>
            <w:r>
              <w:rPr>
                <w:rFonts w:hint="eastAsia" w:eastAsia="宋体"/>
                <w:color w:val="000000"/>
                <w:sz w:val="20"/>
              </w:rPr>
              <w:t>78</w:t>
            </w:r>
          </w:p>
        </w:tc>
        <w:tc>
          <w:tcPr>
            <w:tcW w:w="52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rPr>
              <w:t>256</w:t>
            </w:r>
            <w:r>
              <w:rPr>
                <w:rFonts w:hint="eastAsia" w:eastAsia="宋体"/>
                <w:color w:val="000000"/>
                <w:sz w:val="20"/>
                <w:lang w:val="en-US" w:eastAsia="zh-CN"/>
              </w:rPr>
              <w:t>.</w:t>
            </w:r>
            <w:r>
              <w:rPr>
                <w:rFonts w:hint="eastAsia" w:eastAsia="宋体"/>
                <w:color w:val="000000"/>
                <w:sz w:val="20"/>
              </w:rPr>
              <w:t>78</w:t>
            </w:r>
          </w:p>
        </w:tc>
        <w:tc>
          <w:tcPr>
            <w:tcW w:w="450"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99"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3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61.25</w:t>
            </w: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61.25</w:t>
            </w: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6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3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6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3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6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3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6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3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6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3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6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3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677"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5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3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677"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7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318.03</w:t>
            </w: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256.78</w:t>
            </w:r>
          </w:p>
        </w:tc>
        <w:tc>
          <w:tcPr>
            <w:tcW w:w="5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256.78</w:t>
            </w:r>
          </w:p>
        </w:tc>
        <w:tc>
          <w:tcPr>
            <w:tcW w:w="45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3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61.25</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61.25</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二、</w:t>
                  </w:r>
                  <w:r>
                    <w:rPr>
                      <w:rFonts w:hint="eastAsia" w:eastAsia="宋体"/>
                      <w:color w:val="000000"/>
                      <w:kern w:val="0"/>
                      <w:sz w:val="20"/>
                    </w:rPr>
                    <w:t>城乡社区支出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275.20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127.36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147.84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rPr>
                    <w:t>城乡社区环境卫生</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275.20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127.36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147.84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城乡社区环境卫生</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275.20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127.36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147.84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val="en-US" w:eastAsia="zh-CN"/>
                    </w:rPr>
                    <w:t>三、社会保障和就业支出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22.50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22.50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right"/>
                    <w:rPr>
                      <w:rFonts w:hint="eastAsia" w:eastAsia="宋体"/>
                      <w:color w:val="000000"/>
                      <w:kern w:val="0"/>
                      <w:sz w:val="20"/>
                    </w:rPr>
                  </w:pPr>
                  <w:r>
                    <w:rPr>
                      <w:rFonts w:hint="eastAsia" w:eastAsia="宋体"/>
                      <w:color w:val="000000"/>
                      <w:kern w:val="0"/>
                      <w:sz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4.25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四、卫生健康支出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6.99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6.99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五、住房保障支出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13.12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13.12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13.12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13.12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13.12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13.12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318.03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170.19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147.84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318.03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256.78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61.25</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318.03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256.78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61.25</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22.50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22.50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7.21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7.21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275.20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213.95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61.25</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13.12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13.12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318.03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256.78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61.25</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318.03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256.78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61.25</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318.03</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256.78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61.25</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318.03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256.78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61.25</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二、</w:t>
                  </w:r>
                  <w:r>
                    <w:rPr>
                      <w:rFonts w:hint="eastAsia" w:eastAsia="宋体"/>
                      <w:color w:val="000000"/>
                      <w:kern w:val="0"/>
                      <w:sz w:val="20"/>
                    </w:rPr>
                    <w:t>城乡社区支出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275.20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127.36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111.04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16.32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147.84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hint="eastAsia" w:eastAsia="宋体"/>
                      <w:color w:val="000000"/>
                      <w:kern w:val="0"/>
                      <w:sz w:val="20"/>
                      <w:lang w:eastAsia="zh-CN"/>
                    </w:rPr>
                  </w:pPr>
                  <w:r>
                    <w:rPr>
                      <w:rFonts w:hint="eastAsia" w:eastAsia="宋体"/>
                      <w:color w:val="000000"/>
                      <w:kern w:val="0"/>
                      <w:sz w:val="20"/>
                      <w:lang w:eastAsia="zh-CN"/>
                    </w:rPr>
                    <w:t>城乡社区环境卫生</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275.20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127.36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111.04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16.32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147.84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城乡社区环境卫生</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275.20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127.36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111.04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16.32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147.84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三、社会保障和就业支出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583"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65"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四、卫生健康支出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五、住房保障支出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318.03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170.19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153.87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16.32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147.84</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both"/>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153.87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lang w:val="en-US" w:eastAsia="zh-CN"/>
              </w:rPr>
            </w:pPr>
            <w:r>
              <w:rPr>
                <w:rFonts w:hint="eastAsia"/>
                <w:lang w:val="en-US" w:eastAsia="zh-CN"/>
              </w:rPr>
              <w:t>153.87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50.50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50.50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4.49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13.00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41.32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41.32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17.49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17.49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4.25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4.25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6.99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6.99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其他</w:t>
            </w: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0.98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0.98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13.12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13.12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1.73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1.73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16.32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16.32</w:t>
            </w:r>
          </w:p>
        </w:tc>
      </w:tr>
      <w:tr>
        <w:tblPrEx>
          <w:tblCellMar>
            <w:top w:w="0" w:type="dxa"/>
            <w:left w:w="108" w:type="dxa"/>
            <w:bottom w:w="0" w:type="dxa"/>
            <w:right w:w="108" w:type="dxa"/>
          </w:tblCellMar>
        </w:tblPrEx>
        <w:trPr>
          <w:trHeight w:val="9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color w:val="000000"/>
                <w:kern w:val="0"/>
                <w:sz w:val="20"/>
                <w:lang w:val="en-US" w:eastAsia="zh-CN"/>
              </w:rPr>
              <w:t>咨询费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0.35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0.35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专用燃料费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2.00</w:t>
            </w:r>
          </w:p>
        </w:tc>
      </w:tr>
      <w:tr>
        <w:tblPrEx>
          <w:tblCellMar>
            <w:top w:w="0" w:type="dxa"/>
            <w:left w:w="108" w:type="dxa"/>
            <w:bottom w:w="0" w:type="dxa"/>
            <w:right w:w="108" w:type="dxa"/>
          </w:tblCellMar>
        </w:tblPrEx>
        <w:trPr>
          <w:trHeight w:val="67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5.00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5.00</w:t>
            </w:r>
          </w:p>
        </w:tc>
      </w:tr>
      <w:tr>
        <w:tblPrEx>
          <w:tblCellMar>
            <w:top w:w="0" w:type="dxa"/>
            <w:left w:w="108" w:type="dxa"/>
            <w:bottom w:w="0" w:type="dxa"/>
            <w:right w:w="108" w:type="dxa"/>
          </w:tblCellMar>
        </w:tblPrEx>
        <w:trPr>
          <w:trHeight w:val="67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6.97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6.97</w:t>
            </w:r>
          </w:p>
        </w:tc>
      </w:tr>
      <w:tr>
        <w:tblPrEx>
          <w:tblCellMar>
            <w:top w:w="0" w:type="dxa"/>
            <w:left w:w="108" w:type="dxa"/>
            <w:bottom w:w="0" w:type="dxa"/>
            <w:right w:w="108" w:type="dxa"/>
          </w:tblCellMar>
        </w:tblPrEx>
        <w:trPr>
          <w:trHeight w:val="67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170.19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153.87</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16.32</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63</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17</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7" w:hRule="exact"/>
          <w:jc w:val="center"/>
        </w:trPr>
        <w:tc>
          <w:tcPr>
            <w:tcW w:w="759" w:type="dxa"/>
            <w:noWrap w:val="0"/>
            <w:vAlign w:val="center"/>
          </w:tcPr>
          <w:p>
            <w:pPr>
              <w:spacing w:line="700" w:lineRule="exact"/>
              <w:jc w:val="center"/>
              <w:rPr>
                <w:rFonts w:hint="eastAsia" w:ascii="Calibri" w:hAnsi="Calibri" w:eastAsia="楷体"/>
                <w:kern w:val="0"/>
                <w:sz w:val="21"/>
                <w:szCs w:val="21"/>
                <w:shd w:val="clear" w:color="auto" w:fill="auto"/>
                <w:lang w:val="en-US" w:eastAsia="zh-CN"/>
              </w:rPr>
            </w:pPr>
            <w:r>
              <w:rPr>
                <w:rFonts w:hint="eastAsia" w:ascii="Calibri" w:hAnsi="Calibri" w:eastAsia="楷体"/>
                <w:kern w:val="0"/>
                <w:sz w:val="21"/>
                <w:szCs w:val="21"/>
                <w:shd w:val="clear" w:color="auto" w:fill="auto"/>
                <w:lang w:val="en-US" w:eastAsia="zh-CN"/>
              </w:rPr>
              <w:t>311-专项业务支出</w:t>
            </w:r>
          </w:p>
        </w:tc>
        <w:tc>
          <w:tcPr>
            <w:tcW w:w="1063" w:type="dxa"/>
            <w:noWrap w:val="0"/>
            <w:vAlign w:val="center"/>
          </w:tcPr>
          <w:p>
            <w:pPr>
              <w:spacing w:line="700" w:lineRule="exact"/>
              <w:jc w:val="center"/>
              <w:rPr>
                <w:rFonts w:ascii="Calibri" w:hAnsi="Calibri" w:eastAsia="楷体"/>
                <w:kern w:val="0"/>
                <w:sz w:val="21"/>
                <w:szCs w:val="21"/>
                <w:shd w:val="clear" w:color="auto" w:fill="auto"/>
              </w:rPr>
            </w:pPr>
            <w:r>
              <w:rPr>
                <w:rFonts w:hint="eastAsia" w:ascii="Calibri" w:hAnsi="Calibri" w:eastAsia="楷体"/>
                <w:kern w:val="0"/>
                <w:sz w:val="21"/>
                <w:szCs w:val="21"/>
                <w:shd w:val="clear" w:color="auto" w:fill="auto"/>
              </w:rPr>
              <w:t>2024年城管大队综合管理资金</w:t>
            </w:r>
          </w:p>
        </w:tc>
        <w:tc>
          <w:tcPr>
            <w:tcW w:w="1107" w:type="dxa"/>
            <w:noWrap w:val="0"/>
            <w:vAlign w:val="center"/>
          </w:tcPr>
          <w:p>
            <w:pPr>
              <w:spacing w:line="700" w:lineRule="exact"/>
              <w:jc w:val="center"/>
              <w:rPr>
                <w:rFonts w:ascii="Calibri" w:hAnsi="Calibri" w:eastAsia="楷体"/>
                <w:kern w:val="0"/>
                <w:sz w:val="21"/>
                <w:szCs w:val="21"/>
                <w:shd w:val="clear" w:color="auto" w:fill="auto"/>
              </w:rPr>
            </w:pPr>
          </w:p>
        </w:tc>
        <w:tc>
          <w:tcPr>
            <w:tcW w:w="864" w:type="dxa"/>
            <w:noWrap w:val="0"/>
            <w:vAlign w:val="center"/>
          </w:tcPr>
          <w:p>
            <w:pPr>
              <w:spacing w:line="700" w:lineRule="exact"/>
              <w:jc w:val="center"/>
              <w:rPr>
                <w:rFonts w:ascii="Calibri" w:hAnsi="Calibri" w:eastAsia="楷体"/>
                <w:kern w:val="0"/>
                <w:sz w:val="21"/>
                <w:szCs w:val="21"/>
                <w:shd w:val="clear" w:color="auto" w:fill="auto"/>
              </w:rPr>
            </w:pPr>
          </w:p>
        </w:tc>
        <w:tc>
          <w:tcPr>
            <w:tcW w:w="498" w:type="dxa"/>
            <w:noWrap w:val="0"/>
            <w:vAlign w:val="center"/>
          </w:tcPr>
          <w:p>
            <w:pPr>
              <w:spacing w:line="700" w:lineRule="exact"/>
              <w:jc w:val="center"/>
              <w:rPr>
                <w:rFonts w:hint="default" w:ascii="Calibri" w:hAnsi="Calibri" w:eastAsia="楷体"/>
                <w:kern w:val="0"/>
                <w:sz w:val="21"/>
                <w:szCs w:val="21"/>
                <w:shd w:val="clear" w:color="auto" w:fill="auto"/>
                <w:lang w:val="en-US" w:eastAsia="zh-CN"/>
              </w:rPr>
            </w:pPr>
            <w:r>
              <w:rPr>
                <w:rFonts w:hint="eastAsia" w:ascii="Calibri" w:hAnsi="Calibri" w:eastAsia="楷体"/>
                <w:kern w:val="0"/>
                <w:sz w:val="21"/>
                <w:szCs w:val="21"/>
                <w:shd w:val="clear" w:color="auto" w:fill="auto"/>
                <w:lang w:val="en-US" w:eastAsia="zh-CN"/>
              </w:rPr>
              <w:t>86.59</w:t>
            </w:r>
          </w:p>
        </w:tc>
        <w:tc>
          <w:tcPr>
            <w:tcW w:w="553" w:type="dxa"/>
            <w:noWrap w:val="0"/>
            <w:vAlign w:val="center"/>
          </w:tcPr>
          <w:p>
            <w:pPr>
              <w:spacing w:line="700" w:lineRule="exact"/>
              <w:jc w:val="center"/>
              <w:rPr>
                <w:rFonts w:hint="default" w:ascii="Calibri" w:hAnsi="Calibri" w:eastAsia="楷体" w:cs="Times New Roman"/>
                <w:kern w:val="0"/>
                <w:sz w:val="21"/>
                <w:szCs w:val="21"/>
                <w:shd w:val="clear" w:color="auto" w:fill="auto"/>
                <w:lang w:val="en-US" w:eastAsia="zh-CN" w:bidi="ar-SA"/>
              </w:rPr>
            </w:pPr>
            <w:r>
              <w:rPr>
                <w:rFonts w:hint="eastAsia" w:ascii="Calibri" w:hAnsi="Calibri" w:eastAsia="楷体"/>
                <w:kern w:val="0"/>
                <w:sz w:val="21"/>
                <w:szCs w:val="21"/>
                <w:shd w:val="clear" w:color="auto" w:fill="auto"/>
                <w:lang w:val="en-US" w:eastAsia="zh-CN"/>
              </w:rPr>
              <w:t>86.59</w:t>
            </w:r>
          </w:p>
        </w:tc>
        <w:tc>
          <w:tcPr>
            <w:tcW w:w="554" w:type="dxa"/>
            <w:noWrap w:val="0"/>
            <w:vAlign w:val="center"/>
          </w:tcPr>
          <w:p>
            <w:pPr>
              <w:spacing w:line="700" w:lineRule="exact"/>
              <w:jc w:val="center"/>
              <w:rPr>
                <w:rFonts w:ascii="Calibri" w:hAnsi="Calibri" w:eastAsia="楷体"/>
                <w:kern w:val="0"/>
                <w:sz w:val="21"/>
                <w:szCs w:val="21"/>
                <w:shd w:val="clear" w:color="auto" w:fill="auto"/>
              </w:rPr>
            </w:pPr>
          </w:p>
        </w:tc>
        <w:tc>
          <w:tcPr>
            <w:tcW w:w="521" w:type="dxa"/>
            <w:noWrap w:val="0"/>
            <w:vAlign w:val="center"/>
          </w:tcPr>
          <w:p>
            <w:pPr>
              <w:spacing w:line="700" w:lineRule="exact"/>
              <w:jc w:val="center"/>
              <w:rPr>
                <w:rFonts w:ascii="Calibri" w:hAnsi="Calibri" w:eastAsia="楷体"/>
                <w:kern w:val="0"/>
                <w:sz w:val="21"/>
                <w:szCs w:val="21"/>
                <w:shd w:val="clear" w:color="auto" w:fill="auto"/>
              </w:rPr>
            </w:pPr>
          </w:p>
        </w:tc>
        <w:tc>
          <w:tcPr>
            <w:tcW w:w="564" w:type="dxa"/>
            <w:noWrap w:val="0"/>
            <w:vAlign w:val="center"/>
          </w:tcPr>
          <w:p>
            <w:pPr>
              <w:spacing w:line="700" w:lineRule="exact"/>
              <w:jc w:val="center"/>
              <w:rPr>
                <w:rFonts w:ascii="Calibri" w:hAnsi="Calibri" w:eastAsia="楷体"/>
                <w:kern w:val="0"/>
                <w:sz w:val="21"/>
                <w:szCs w:val="21"/>
                <w:shd w:val="clear" w:color="auto" w:fill="auto"/>
              </w:rPr>
            </w:pPr>
          </w:p>
        </w:tc>
        <w:tc>
          <w:tcPr>
            <w:tcW w:w="532" w:type="dxa"/>
            <w:noWrap w:val="0"/>
            <w:vAlign w:val="center"/>
          </w:tcPr>
          <w:p>
            <w:pPr>
              <w:spacing w:line="700" w:lineRule="exact"/>
              <w:jc w:val="center"/>
              <w:rPr>
                <w:rFonts w:ascii="Calibri" w:hAnsi="Calibri" w:eastAsia="楷体"/>
                <w:kern w:val="0"/>
                <w:sz w:val="21"/>
                <w:szCs w:val="21"/>
                <w:shd w:val="clear" w:color="auto" w:fill="auto"/>
              </w:rPr>
            </w:pPr>
          </w:p>
        </w:tc>
        <w:tc>
          <w:tcPr>
            <w:tcW w:w="598" w:type="dxa"/>
            <w:noWrap w:val="0"/>
            <w:vAlign w:val="center"/>
          </w:tcPr>
          <w:p>
            <w:pPr>
              <w:spacing w:line="700" w:lineRule="exact"/>
              <w:jc w:val="center"/>
              <w:rPr>
                <w:rFonts w:ascii="Calibri" w:hAnsi="Calibri" w:eastAsia="楷体"/>
                <w:kern w:val="0"/>
                <w:sz w:val="21"/>
                <w:szCs w:val="21"/>
                <w:shd w:val="clear" w:color="auto" w:fill="auto"/>
              </w:rPr>
            </w:pPr>
          </w:p>
        </w:tc>
        <w:tc>
          <w:tcPr>
            <w:tcW w:w="443" w:type="dxa"/>
            <w:noWrap w:val="0"/>
            <w:vAlign w:val="center"/>
          </w:tcPr>
          <w:p>
            <w:pPr>
              <w:spacing w:line="700" w:lineRule="exact"/>
              <w:jc w:val="center"/>
              <w:rPr>
                <w:rFonts w:ascii="Calibri" w:hAnsi="Calibri" w:eastAsia="楷体"/>
                <w:kern w:val="0"/>
                <w:sz w:val="21"/>
                <w:szCs w:val="21"/>
                <w:shd w:val="clear" w:color="auto" w:fill="auto"/>
              </w:rPr>
            </w:pPr>
          </w:p>
        </w:tc>
        <w:tc>
          <w:tcPr>
            <w:tcW w:w="425" w:type="dxa"/>
            <w:noWrap w:val="0"/>
            <w:vAlign w:val="center"/>
          </w:tcPr>
          <w:p>
            <w:pPr>
              <w:spacing w:line="700" w:lineRule="exact"/>
              <w:jc w:val="center"/>
              <w:rPr>
                <w:rFonts w:ascii="Calibri" w:hAnsi="Calibri" w:eastAsia="楷体"/>
                <w:kern w:val="0"/>
                <w:sz w:val="21"/>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2" w:hRule="exact"/>
          <w:jc w:val="center"/>
        </w:trPr>
        <w:tc>
          <w:tcPr>
            <w:tcW w:w="759" w:type="dxa"/>
            <w:noWrap w:val="0"/>
            <w:vAlign w:val="center"/>
          </w:tcPr>
          <w:p>
            <w:pPr>
              <w:spacing w:line="700" w:lineRule="exact"/>
              <w:jc w:val="center"/>
              <w:rPr>
                <w:rFonts w:ascii="Calibri" w:hAnsi="Calibri" w:eastAsia="楷体"/>
                <w:b w:val="0"/>
                <w:bCs w:val="0"/>
                <w:kern w:val="0"/>
                <w:sz w:val="21"/>
                <w:szCs w:val="21"/>
                <w:shd w:val="clear" w:color="auto" w:fill="auto"/>
              </w:rPr>
            </w:pPr>
          </w:p>
        </w:tc>
        <w:tc>
          <w:tcPr>
            <w:tcW w:w="1063" w:type="dxa"/>
            <w:noWrap w:val="0"/>
            <w:vAlign w:val="center"/>
          </w:tcPr>
          <w:p>
            <w:pPr>
              <w:spacing w:line="700" w:lineRule="exact"/>
              <w:jc w:val="center"/>
              <w:rPr>
                <w:rFonts w:ascii="Calibri" w:hAnsi="Calibri" w:eastAsia="楷体"/>
                <w:b w:val="0"/>
                <w:bCs w:val="0"/>
                <w:kern w:val="0"/>
                <w:sz w:val="21"/>
                <w:szCs w:val="21"/>
                <w:shd w:val="clear" w:color="auto" w:fill="auto"/>
              </w:rPr>
            </w:pPr>
          </w:p>
        </w:tc>
        <w:tc>
          <w:tcPr>
            <w:tcW w:w="1107" w:type="dxa"/>
            <w:noWrap w:val="0"/>
            <w:vAlign w:val="center"/>
          </w:tcPr>
          <w:p>
            <w:pPr>
              <w:spacing w:line="700" w:lineRule="exact"/>
              <w:jc w:val="center"/>
              <w:rPr>
                <w:rFonts w:ascii="Calibri" w:hAnsi="Calibri" w:eastAsia="楷体"/>
                <w:b w:val="0"/>
                <w:bCs w:val="0"/>
                <w:kern w:val="0"/>
                <w:sz w:val="21"/>
                <w:szCs w:val="21"/>
                <w:shd w:val="clear" w:color="auto" w:fill="auto"/>
              </w:rPr>
            </w:pPr>
            <w:r>
              <w:rPr>
                <w:rFonts w:hint="eastAsia" w:ascii="Calibri" w:hAnsi="Calibri" w:eastAsia="楷体"/>
                <w:b w:val="0"/>
                <w:bCs w:val="0"/>
                <w:kern w:val="0"/>
                <w:sz w:val="21"/>
                <w:szCs w:val="21"/>
                <w:shd w:val="clear" w:color="auto" w:fill="auto"/>
              </w:rPr>
              <w:t>通榆县公园管理中心管护人员工资</w:t>
            </w:r>
          </w:p>
        </w:tc>
        <w:tc>
          <w:tcPr>
            <w:tcW w:w="864" w:type="dxa"/>
            <w:noWrap w:val="0"/>
            <w:vAlign w:val="center"/>
          </w:tcPr>
          <w:p>
            <w:pPr>
              <w:spacing w:line="700" w:lineRule="exact"/>
              <w:jc w:val="center"/>
              <w:rPr>
                <w:rFonts w:hint="default" w:ascii="Calibri" w:hAnsi="Calibri" w:eastAsia="楷体"/>
                <w:b w:val="0"/>
                <w:bCs w:val="0"/>
                <w:kern w:val="0"/>
                <w:sz w:val="21"/>
                <w:szCs w:val="21"/>
                <w:shd w:val="clear" w:color="auto" w:fill="auto"/>
                <w:lang w:val="en-US" w:eastAsia="zh-CN"/>
              </w:rPr>
            </w:pPr>
            <w:r>
              <w:rPr>
                <w:rFonts w:hint="eastAsia" w:ascii="Calibri" w:hAnsi="Calibri" w:eastAsia="楷体"/>
                <w:b w:val="0"/>
                <w:bCs w:val="0"/>
                <w:kern w:val="0"/>
                <w:sz w:val="21"/>
                <w:szCs w:val="21"/>
                <w:shd w:val="clear" w:color="auto" w:fill="auto"/>
                <w:lang w:val="en-US" w:eastAsia="zh-CN"/>
              </w:rPr>
              <w:t>通榆县公园管理中心</w:t>
            </w:r>
          </w:p>
        </w:tc>
        <w:tc>
          <w:tcPr>
            <w:tcW w:w="498" w:type="dxa"/>
            <w:noWrap w:val="0"/>
            <w:vAlign w:val="center"/>
          </w:tcPr>
          <w:p>
            <w:pPr>
              <w:spacing w:line="700" w:lineRule="exact"/>
              <w:jc w:val="center"/>
              <w:rPr>
                <w:rFonts w:hint="default" w:ascii="Calibri" w:hAnsi="Calibri" w:eastAsia="楷体"/>
                <w:b w:val="0"/>
                <w:bCs w:val="0"/>
                <w:kern w:val="0"/>
                <w:sz w:val="21"/>
                <w:szCs w:val="21"/>
                <w:shd w:val="clear" w:color="auto" w:fill="auto"/>
                <w:lang w:val="en-US" w:eastAsia="zh-CN"/>
              </w:rPr>
            </w:pPr>
            <w:r>
              <w:rPr>
                <w:rFonts w:hint="eastAsia" w:ascii="Calibri" w:hAnsi="Calibri" w:eastAsia="楷体"/>
                <w:b w:val="0"/>
                <w:bCs w:val="0"/>
                <w:kern w:val="0"/>
                <w:sz w:val="21"/>
                <w:szCs w:val="21"/>
                <w:shd w:val="clear" w:color="auto" w:fill="auto"/>
                <w:lang w:val="en-US" w:eastAsia="zh-CN"/>
              </w:rPr>
              <w:t>86.59</w:t>
            </w:r>
          </w:p>
        </w:tc>
        <w:tc>
          <w:tcPr>
            <w:tcW w:w="553" w:type="dxa"/>
            <w:noWrap w:val="0"/>
            <w:vAlign w:val="center"/>
          </w:tcPr>
          <w:p>
            <w:pPr>
              <w:spacing w:line="700" w:lineRule="exact"/>
              <w:jc w:val="center"/>
              <w:rPr>
                <w:rFonts w:hint="default" w:ascii="Calibri" w:hAnsi="Calibri" w:eastAsia="楷体" w:cs="Times New Roman"/>
                <w:b w:val="0"/>
                <w:bCs w:val="0"/>
                <w:kern w:val="0"/>
                <w:sz w:val="21"/>
                <w:szCs w:val="21"/>
                <w:shd w:val="clear" w:color="auto" w:fill="auto"/>
                <w:lang w:val="en-US" w:eastAsia="zh-CN" w:bidi="ar-SA"/>
              </w:rPr>
            </w:pPr>
            <w:r>
              <w:rPr>
                <w:rFonts w:hint="eastAsia" w:ascii="Calibri" w:hAnsi="Calibri" w:eastAsia="楷体"/>
                <w:b w:val="0"/>
                <w:bCs w:val="0"/>
                <w:kern w:val="0"/>
                <w:sz w:val="21"/>
                <w:szCs w:val="21"/>
                <w:shd w:val="clear" w:color="auto" w:fill="auto"/>
                <w:lang w:val="en-US" w:eastAsia="zh-CN"/>
              </w:rPr>
              <w:t>86.59</w:t>
            </w:r>
          </w:p>
        </w:tc>
        <w:tc>
          <w:tcPr>
            <w:tcW w:w="554" w:type="dxa"/>
            <w:noWrap w:val="0"/>
            <w:vAlign w:val="center"/>
          </w:tcPr>
          <w:p>
            <w:pPr>
              <w:spacing w:line="700" w:lineRule="exact"/>
              <w:jc w:val="center"/>
              <w:rPr>
                <w:rFonts w:ascii="Calibri" w:hAnsi="Calibri" w:eastAsia="楷体"/>
                <w:b w:val="0"/>
                <w:bCs w:val="0"/>
                <w:kern w:val="0"/>
                <w:sz w:val="21"/>
                <w:szCs w:val="21"/>
                <w:shd w:val="clear" w:color="auto" w:fill="auto"/>
              </w:rPr>
            </w:pPr>
          </w:p>
        </w:tc>
        <w:tc>
          <w:tcPr>
            <w:tcW w:w="521" w:type="dxa"/>
            <w:noWrap w:val="0"/>
            <w:vAlign w:val="center"/>
          </w:tcPr>
          <w:p>
            <w:pPr>
              <w:spacing w:line="700" w:lineRule="exact"/>
              <w:jc w:val="center"/>
              <w:rPr>
                <w:rFonts w:ascii="Calibri" w:hAnsi="Calibri" w:eastAsia="楷体"/>
                <w:b w:val="0"/>
                <w:bCs w:val="0"/>
                <w:kern w:val="0"/>
                <w:sz w:val="21"/>
                <w:szCs w:val="21"/>
                <w:shd w:val="clear" w:color="auto" w:fill="auto"/>
              </w:rPr>
            </w:pPr>
          </w:p>
        </w:tc>
        <w:tc>
          <w:tcPr>
            <w:tcW w:w="564" w:type="dxa"/>
            <w:noWrap w:val="0"/>
            <w:vAlign w:val="center"/>
          </w:tcPr>
          <w:p>
            <w:pPr>
              <w:spacing w:line="700" w:lineRule="exact"/>
              <w:jc w:val="center"/>
              <w:rPr>
                <w:rFonts w:ascii="Calibri" w:hAnsi="Calibri" w:eastAsia="楷体"/>
                <w:b w:val="0"/>
                <w:bCs w:val="0"/>
                <w:kern w:val="0"/>
                <w:sz w:val="21"/>
                <w:szCs w:val="21"/>
                <w:shd w:val="clear" w:color="auto" w:fill="auto"/>
              </w:rPr>
            </w:pPr>
          </w:p>
        </w:tc>
        <w:tc>
          <w:tcPr>
            <w:tcW w:w="532" w:type="dxa"/>
            <w:noWrap w:val="0"/>
            <w:vAlign w:val="center"/>
          </w:tcPr>
          <w:p>
            <w:pPr>
              <w:spacing w:line="700" w:lineRule="exact"/>
              <w:jc w:val="center"/>
              <w:rPr>
                <w:rFonts w:ascii="Calibri" w:hAnsi="Calibri" w:eastAsia="楷体"/>
                <w:b w:val="0"/>
                <w:bCs w:val="0"/>
                <w:kern w:val="0"/>
                <w:sz w:val="21"/>
                <w:szCs w:val="21"/>
                <w:shd w:val="clear" w:color="auto" w:fill="auto"/>
              </w:rPr>
            </w:pPr>
          </w:p>
        </w:tc>
        <w:tc>
          <w:tcPr>
            <w:tcW w:w="598" w:type="dxa"/>
            <w:noWrap w:val="0"/>
            <w:vAlign w:val="center"/>
          </w:tcPr>
          <w:p>
            <w:pPr>
              <w:spacing w:line="700" w:lineRule="exact"/>
              <w:jc w:val="center"/>
              <w:rPr>
                <w:rFonts w:ascii="Calibri" w:hAnsi="Calibri" w:eastAsia="楷体"/>
                <w:b w:val="0"/>
                <w:bCs w:val="0"/>
                <w:kern w:val="0"/>
                <w:sz w:val="21"/>
                <w:szCs w:val="21"/>
                <w:shd w:val="clear" w:color="auto" w:fill="auto"/>
              </w:rPr>
            </w:pPr>
          </w:p>
        </w:tc>
        <w:tc>
          <w:tcPr>
            <w:tcW w:w="443" w:type="dxa"/>
            <w:noWrap w:val="0"/>
            <w:vAlign w:val="center"/>
          </w:tcPr>
          <w:p>
            <w:pPr>
              <w:spacing w:line="700" w:lineRule="exact"/>
              <w:jc w:val="center"/>
              <w:rPr>
                <w:rFonts w:ascii="Calibri" w:hAnsi="Calibri" w:eastAsia="楷体"/>
                <w:b w:val="0"/>
                <w:bCs w:val="0"/>
                <w:kern w:val="0"/>
                <w:sz w:val="21"/>
                <w:szCs w:val="21"/>
                <w:shd w:val="clear" w:color="auto" w:fill="auto"/>
              </w:rPr>
            </w:pPr>
          </w:p>
        </w:tc>
        <w:tc>
          <w:tcPr>
            <w:tcW w:w="425" w:type="dxa"/>
            <w:noWrap w:val="0"/>
            <w:vAlign w:val="center"/>
          </w:tcPr>
          <w:p>
            <w:pPr>
              <w:spacing w:line="700" w:lineRule="exact"/>
              <w:jc w:val="center"/>
              <w:rPr>
                <w:rFonts w:ascii="Calibri" w:hAnsi="Calibri" w:eastAsia="楷体"/>
                <w:b w:val="0"/>
                <w:bCs w:val="0"/>
                <w:kern w:val="0"/>
                <w:sz w:val="21"/>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exact"/>
          <w:jc w:val="center"/>
        </w:trPr>
        <w:tc>
          <w:tcPr>
            <w:tcW w:w="759" w:type="dxa"/>
            <w:noWrap w:val="0"/>
            <w:vAlign w:val="center"/>
          </w:tcPr>
          <w:p>
            <w:pPr>
              <w:spacing w:line="700" w:lineRule="exact"/>
              <w:jc w:val="center"/>
              <w:rPr>
                <w:rFonts w:hint="eastAsia" w:ascii="Calibri" w:hAnsi="Calibri" w:eastAsia="楷体" w:cs="Times New Roman"/>
                <w:kern w:val="0"/>
                <w:sz w:val="21"/>
                <w:szCs w:val="21"/>
                <w:shd w:val="clear" w:color="auto" w:fill="auto"/>
                <w:lang w:val="en-US" w:eastAsia="zh-CN" w:bidi="ar-SA"/>
              </w:rPr>
            </w:pPr>
            <w:r>
              <w:rPr>
                <w:rFonts w:hint="eastAsia" w:ascii="Calibri" w:hAnsi="Calibri" w:eastAsia="楷体"/>
                <w:kern w:val="0"/>
                <w:sz w:val="21"/>
                <w:szCs w:val="21"/>
                <w:shd w:val="clear" w:color="auto" w:fill="auto"/>
                <w:lang w:val="en-US" w:eastAsia="zh-CN"/>
              </w:rPr>
              <w:t>311-专项业务支出</w:t>
            </w:r>
          </w:p>
        </w:tc>
        <w:tc>
          <w:tcPr>
            <w:tcW w:w="1063" w:type="dxa"/>
            <w:noWrap w:val="0"/>
            <w:vAlign w:val="center"/>
          </w:tcPr>
          <w:p>
            <w:pPr>
              <w:spacing w:line="700" w:lineRule="exact"/>
              <w:jc w:val="center"/>
              <w:rPr>
                <w:rFonts w:ascii="Calibri" w:hAnsi="Calibri" w:eastAsia="楷体" w:cs="Times New Roman"/>
                <w:kern w:val="0"/>
                <w:sz w:val="21"/>
                <w:szCs w:val="21"/>
                <w:shd w:val="clear" w:color="auto" w:fill="auto"/>
                <w:lang w:val="en-US" w:eastAsia="zh-CN" w:bidi="ar-SA"/>
              </w:rPr>
            </w:pPr>
            <w:r>
              <w:rPr>
                <w:rFonts w:hint="eastAsia" w:ascii="Calibri" w:hAnsi="Calibri" w:eastAsia="楷体"/>
                <w:kern w:val="0"/>
                <w:sz w:val="21"/>
                <w:szCs w:val="21"/>
                <w:shd w:val="clear" w:color="auto" w:fill="auto"/>
              </w:rPr>
              <w:t>2024年城管大队综合管理资金</w:t>
            </w:r>
          </w:p>
        </w:tc>
        <w:tc>
          <w:tcPr>
            <w:tcW w:w="1107" w:type="dxa"/>
            <w:noWrap w:val="0"/>
            <w:vAlign w:val="center"/>
          </w:tcPr>
          <w:p>
            <w:pPr>
              <w:spacing w:line="700" w:lineRule="exact"/>
              <w:jc w:val="center"/>
              <w:rPr>
                <w:rFonts w:ascii="Calibri" w:hAnsi="Calibri" w:eastAsia="楷体"/>
                <w:kern w:val="0"/>
                <w:sz w:val="21"/>
                <w:szCs w:val="21"/>
                <w:shd w:val="clear" w:color="auto" w:fill="auto"/>
              </w:rPr>
            </w:pPr>
          </w:p>
        </w:tc>
        <w:tc>
          <w:tcPr>
            <w:tcW w:w="864" w:type="dxa"/>
            <w:noWrap w:val="0"/>
            <w:vAlign w:val="center"/>
          </w:tcPr>
          <w:p>
            <w:pPr>
              <w:spacing w:line="700" w:lineRule="exact"/>
              <w:jc w:val="center"/>
              <w:rPr>
                <w:rFonts w:ascii="Calibri" w:hAnsi="Calibri" w:eastAsia="楷体"/>
                <w:kern w:val="0"/>
                <w:sz w:val="21"/>
                <w:szCs w:val="21"/>
                <w:shd w:val="clear" w:color="auto" w:fill="auto"/>
              </w:rPr>
            </w:pPr>
          </w:p>
        </w:tc>
        <w:tc>
          <w:tcPr>
            <w:tcW w:w="498" w:type="dxa"/>
            <w:noWrap w:val="0"/>
            <w:vAlign w:val="center"/>
          </w:tcPr>
          <w:p>
            <w:pPr>
              <w:spacing w:line="700" w:lineRule="exact"/>
              <w:jc w:val="center"/>
              <w:rPr>
                <w:rFonts w:hint="default" w:ascii="Calibri" w:hAnsi="Calibri" w:eastAsia="楷体"/>
                <w:kern w:val="0"/>
                <w:sz w:val="21"/>
                <w:szCs w:val="21"/>
                <w:shd w:val="clear" w:color="auto" w:fill="auto"/>
                <w:lang w:val="en-US" w:eastAsia="zh-CN"/>
              </w:rPr>
            </w:pPr>
            <w:r>
              <w:rPr>
                <w:rFonts w:hint="eastAsia" w:ascii="Calibri" w:hAnsi="Calibri" w:eastAsia="楷体"/>
                <w:kern w:val="0"/>
                <w:sz w:val="21"/>
                <w:szCs w:val="21"/>
                <w:shd w:val="clear" w:color="auto" w:fill="auto"/>
                <w:lang w:val="en-US" w:eastAsia="zh-CN"/>
              </w:rPr>
              <w:t>61.25</w:t>
            </w:r>
          </w:p>
        </w:tc>
        <w:tc>
          <w:tcPr>
            <w:tcW w:w="553" w:type="dxa"/>
            <w:noWrap w:val="0"/>
            <w:vAlign w:val="center"/>
          </w:tcPr>
          <w:p>
            <w:pPr>
              <w:spacing w:line="700" w:lineRule="exact"/>
              <w:jc w:val="center"/>
              <w:rPr>
                <w:rFonts w:hint="default" w:ascii="Calibri" w:hAnsi="Calibri" w:eastAsia="楷体" w:cs="Times New Roman"/>
                <w:kern w:val="0"/>
                <w:sz w:val="21"/>
                <w:szCs w:val="21"/>
                <w:shd w:val="clear" w:color="auto" w:fill="auto"/>
                <w:lang w:val="en-US" w:eastAsia="zh-CN" w:bidi="ar-SA"/>
              </w:rPr>
            </w:pPr>
          </w:p>
        </w:tc>
        <w:tc>
          <w:tcPr>
            <w:tcW w:w="554" w:type="dxa"/>
            <w:noWrap w:val="0"/>
            <w:vAlign w:val="center"/>
          </w:tcPr>
          <w:p>
            <w:pPr>
              <w:spacing w:line="700" w:lineRule="exact"/>
              <w:jc w:val="center"/>
              <w:rPr>
                <w:rFonts w:ascii="Calibri" w:hAnsi="Calibri" w:eastAsia="楷体"/>
                <w:kern w:val="0"/>
                <w:sz w:val="21"/>
                <w:szCs w:val="21"/>
                <w:shd w:val="clear" w:color="auto" w:fill="auto"/>
              </w:rPr>
            </w:pPr>
          </w:p>
        </w:tc>
        <w:tc>
          <w:tcPr>
            <w:tcW w:w="521" w:type="dxa"/>
            <w:noWrap w:val="0"/>
            <w:vAlign w:val="center"/>
          </w:tcPr>
          <w:p>
            <w:pPr>
              <w:spacing w:line="700" w:lineRule="exact"/>
              <w:jc w:val="center"/>
              <w:rPr>
                <w:rFonts w:ascii="Calibri" w:hAnsi="Calibri" w:eastAsia="楷体"/>
                <w:kern w:val="0"/>
                <w:sz w:val="21"/>
                <w:szCs w:val="21"/>
                <w:shd w:val="clear" w:color="auto" w:fill="auto"/>
              </w:rPr>
            </w:pPr>
          </w:p>
        </w:tc>
        <w:tc>
          <w:tcPr>
            <w:tcW w:w="564" w:type="dxa"/>
            <w:noWrap w:val="0"/>
            <w:vAlign w:val="center"/>
          </w:tcPr>
          <w:p>
            <w:pPr>
              <w:spacing w:line="700" w:lineRule="exact"/>
              <w:jc w:val="center"/>
              <w:rPr>
                <w:rFonts w:hint="default" w:ascii="Calibri" w:hAnsi="Calibri" w:eastAsia="楷体"/>
                <w:kern w:val="0"/>
                <w:sz w:val="21"/>
                <w:szCs w:val="21"/>
                <w:shd w:val="clear" w:color="auto" w:fill="auto"/>
                <w:lang w:val="en-US" w:eastAsia="zh-CN"/>
              </w:rPr>
            </w:pPr>
            <w:r>
              <w:rPr>
                <w:rFonts w:hint="eastAsia" w:ascii="Calibri" w:hAnsi="Calibri" w:eastAsia="楷体"/>
                <w:kern w:val="0"/>
                <w:sz w:val="21"/>
                <w:szCs w:val="21"/>
                <w:shd w:val="clear" w:color="auto" w:fill="auto"/>
                <w:lang w:val="en-US" w:eastAsia="zh-CN"/>
              </w:rPr>
              <w:t>61.25</w:t>
            </w:r>
          </w:p>
        </w:tc>
        <w:tc>
          <w:tcPr>
            <w:tcW w:w="532" w:type="dxa"/>
            <w:noWrap w:val="0"/>
            <w:vAlign w:val="center"/>
          </w:tcPr>
          <w:p>
            <w:pPr>
              <w:spacing w:line="700" w:lineRule="exact"/>
              <w:jc w:val="center"/>
              <w:rPr>
                <w:rFonts w:ascii="Calibri" w:hAnsi="Calibri" w:eastAsia="楷体"/>
                <w:kern w:val="0"/>
                <w:sz w:val="21"/>
                <w:szCs w:val="21"/>
                <w:shd w:val="clear" w:color="auto" w:fill="auto"/>
              </w:rPr>
            </w:pPr>
          </w:p>
        </w:tc>
        <w:tc>
          <w:tcPr>
            <w:tcW w:w="598" w:type="dxa"/>
            <w:noWrap w:val="0"/>
            <w:vAlign w:val="center"/>
          </w:tcPr>
          <w:p>
            <w:pPr>
              <w:spacing w:line="700" w:lineRule="exact"/>
              <w:jc w:val="center"/>
              <w:rPr>
                <w:rFonts w:ascii="Calibri" w:hAnsi="Calibri" w:eastAsia="楷体"/>
                <w:kern w:val="0"/>
                <w:sz w:val="21"/>
                <w:szCs w:val="21"/>
                <w:shd w:val="clear" w:color="auto" w:fill="auto"/>
              </w:rPr>
            </w:pPr>
          </w:p>
        </w:tc>
        <w:tc>
          <w:tcPr>
            <w:tcW w:w="443" w:type="dxa"/>
            <w:noWrap w:val="0"/>
            <w:vAlign w:val="center"/>
          </w:tcPr>
          <w:p>
            <w:pPr>
              <w:spacing w:line="700" w:lineRule="exact"/>
              <w:jc w:val="center"/>
              <w:rPr>
                <w:rFonts w:ascii="Calibri" w:hAnsi="Calibri" w:eastAsia="楷体"/>
                <w:kern w:val="0"/>
                <w:sz w:val="21"/>
                <w:szCs w:val="21"/>
                <w:shd w:val="clear" w:color="auto" w:fill="auto"/>
              </w:rPr>
            </w:pPr>
          </w:p>
        </w:tc>
        <w:tc>
          <w:tcPr>
            <w:tcW w:w="425" w:type="dxa"/>
            <w:noWrap w:val="0"/>
            <w:vAlign w:val="center"/>
          </w:tcPr>
          <w:p>
            <w:pPr>
              <w:spacing w:line="700" w:lineRule="exact"/>
              <w:jc w:val="center"/>
              <w:rPr>
                <w:rFonts w:ascii="Calibri" w:hAnsi="Calibri" w:eastAsia="楷体"/>
                <w:kern w:val="0"/>
                <w:sz w:val="21"/>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7" w:hRule="exact"/>
          <w:jc w:val="center"/>
        </w:trPr>
        <w:tc>
          <w:tcPr>
            <w:tcW w:w="759" w:type="dxa"/>
            <w:noWrap w:val="0"/>
            <w:vAlign w:val="center"/>
          </w:tcPr>
          <w:p>
            <w:pPr>
              <w:spacing w:line="700" w:lineRule="exact"/>
              <w:jc w:val="center"/>
              <w:rPr>
                <w:rFonts w:ascii="Calibri" w:hAnsi="Calibri" w:eastAsia="楷体"/>
                <w:kern w:val="0"/>
                <w:sz w:val="21"/>
                <w:szCs w:val="21"/>
                <w:shd w:val="clear" w:color="auto" w:fill="auto"/>
              </w:rPr>
            </w:pPr>
          </w:p>
        </w:tc>
        <w:tc>
          <w:tcPr>
            <w:tcW w:w="1063" w:type="dxa"/>
            <w:noWrap w:val="0"/>
            <w:vAlign w:val="center"/>
          </w:tcPr>
          <w:p>
            <w:pPr>
              <w:spacing w:line="700" w:lineRule="exact"/>
              <w:jc w:val="center"/>
              <w:rPr>
                <w:rFonts w:ascii="Calibri" w:hAnsi="Calibri" w:eastAsia="楷体"/>
                <w:kern w:val="0"/>
                <w:sz w:val="21"/>
                <w:szCs w:val="21"/>
                <w:shd w:val="clear" w:color="auto" w:fill="auto"/>
              </w:rPr>
            </w:pPr>
          </w:p>
        </w:tc>
        <w:tc>
          <w:tcPr>
            <w:tcW w:w="1107" w:type="dxa"/>
            <w:noWrap w:val="0"/>
            <w:vAlign w:val="center"/>
          </w:tcPr>
          <w:p>
            <w:pPr>
              <w:spacing w:line="700" w:lineRule="exact"/>
              <w:jc w:val="center"/>
              <w:rPr>
                <w:rFonts w:ascii="Calibri" w:hAnsi="Calibri" w:eastAsia="楷体"/>
                <w:kern w:val="0"/>
                <w:sz w:val="21"/>
                <w:szCs w:val="21"/>
                <w:shd w:val="clear" w:color="auto" w:fill="auto"/>
              </w:rPr>
            </w:pPr>
            <w:r>
              <w:rPr>
                <w:rFonts w:hint="eastAsia"/>
                <w:sz w:val="21"/>
                <w:szCs w:val="21"/>
              </w:rPr>
              <w:t>通榆县公园管理中心补植草坪资金</w:t>
            </w:r>
          </w:p>
        </w:tc>
        <w:tc>
          <w:tcPr>
            <w:tcW w:w="864" w:type="dxa"/>
            <w:noWrap w:val="0"/>
            <w:vAlign w:val="center"/>
          </w:tcPr>
          <w:p>
            <w:pPr>
              <w:spacing w:line="700" w:lineRule="exact"/>
              <w:jc w:val="center"/>
              <w:rPr>
                <w:rFonts w:ascii="Calibri" w:hAnsi="Calibri" w:eastAsia="楷体"/>
                <w:kern w:val="0"/>
                <w:sz w:val="21"/>
                <w:szCs w:val="21"/>
                <w:shd w:val="clear" w:color="auto" w:fill="auto"/>
              </w:rPr>
            </w:pPr>
            <w:r>
              <w:rPr>
                <w:rFonts w:hint="eastAsia" w:ascii="Calibri" w:hAnsi="Calibri" w:eastAsia="楷体"/>
                <w:kern w:val="0"/>
                <w:sz w:val="21"/>
                <w:szCs w:val="21"/>
                <w:shd w:val="clear" w:color="auto" w:fill="auto"/>
              </w:rPr>
              <w:t>通榆县公园管理中心</w:t>
            </w:r>
          </w:p>
        </w:tc>
        <w:tc>
          <w:tcPr>
            <w:tcW w:w="498" w:type="dxa"/>
            <w:noWrap w:val="0"/>
            <w:vAlign w:val="center"/>
          </w:tcPr>
          <w:p>
            <w:pPr>
              <w:spacing w:line="700" w:lineRule="exact"/>
              <w:jc w:val="center"/>
              <w:rPr>
                <w:rFonts w:hint="default" w:ascii="Calibri" w:hAnsi="Calibri" w:eastAsia="楷体"/>
                <w:kern w:val="0"/>
                <w:sz w:val="21"/>
                <w:szCs w:val="21"/>
                <w:shd w:val="clear" w:color="auto" w:fill="auto"/>
                <w:lang w:val="en-US" w:eastAsia="zh-CN"/>
              </w:rPr>
            </w:pPr>
            <w:r>
              <w:rPr>
                <w:rFonts w:hint="eastAsia" w:ascii="Calibri" w:hAnsi="Calibri" w:eastAsia="楷体"/>
                <w:kern w:val="0"/>
                <w:sz w:val="21"/>
                <w:szCs w:val="21"/>
                <w:shd w:val="clear" w:color="auto" w:fill="auto"/>
                <w:lang w:val="en-US" w:eastAsia="zh-CN"/>
              </w:rPr>
              <w:t>61.25</w:t>
            </w:r>
          </w:p>
        </w:tc>
        <w:tc>
          <w:tcPr>
            <w:tcW w:w="553" w:type="dxa"/>
            <w:noWrap w:val="0"/>
            <w:vAlign w:val="center"/>
          </w:tcPr>
          <w:p>
            <w:pPr>
              <w:spacing w:line="700" w:lineRule="exact"/>
              <w:jc w:val="center"/>
              <w:rPr>
                <w:rFonts w:hint="default" w:ascii="Calibri" w:hAnsi="Calibri" w:eastAsia="楷体" w:cs="Times New Roman"/>
                <w:kern w:val="0"/>
                <w:sz w:val="21"/>
                <w:szCs w:val="21"/>
                <w:shd w:val="clear" w:color="auto" w:fill="auto"/>
                <w:lang w:val="en-US" w:eastAsia="zh-CN" w:bidi="ar-SA"/>
              </w:rPr>
            </w:pPr>
          </w:p>
        </w:tc>
        <w:tc>
          <w:tcPr>
            <w:tcW w:w="554" w:type="dxa"/>
            <w:noWrap w:val="0"/>
            <w:vAlign w:val="center"/>
          </w:tcPr>
          <w:p>
            <w:pPr>
              <w:spacing w:line="700" w:lineRule="exact"/>
              <w:jc w:val="center"/>
              <w:rPr>
                <w:rFonts w:ascii="Calibri" w:hAnsi="Calibri" w:eastAsia="楷体"/>
                <w:kern w:val="0"/>
                <w:sz w:val="21"/>
                <w:szCs w:val="21"/>
                <w:shd w:val="clear" w:color="auto" w:fill="auto"/>
              </w:rPr>
            </w:pPr>
          </w:p>
        </w:tc>
        <w:tc>
          <w:tcPr>
            <w:tcW w:w="521" w:type="dxa"/>
            <w:noWrap w:val="0"/>
            <w:vAlign w:val="center"/>
          </w:tcPr>
          <w:p>
            <w:pPr>
              <w:spacing w:line="700" w:lineRule="exact"/>
              <w:jc w:val="center"/>
              <w:rPr>
                <w:rFonts w:ascii="Calibri" w:hAnsi="Calibri" w:eastAsia="楷体"/>
                <w:kern w:val="0"/>
                <w:sz w:val="21"/>
                <w:szCs w:val="21"/>
                <w:shd w:val="clear" w:color="auto" w:fill="auto"/>
              </w:rPr>
            </w:pPr>
          </w:p>
        </w:tc>
        <w:tc>
          <w:tcPr>
            <w:tcW w:w="564" w:type="dxa"/>
            <w:noWrap w:val="0"/>
            <w:vAlign w:val="center"/>
          </w:tcPr>
          <w:p>
            <w:pPr>
              <w:spacing w:line="700" w:lineRule="exact"/>
              <w:jc w:val="center"/>
              <w:rPr>
                <w:rFonts w:hint="default" w:ascii="Calibri" w:hAnsi="Calibri" w:eastAsia="楷体"/>
                <w:kern w:val="0"/>
                <w:sz w:val="21"/>
                <w:szCs w:val="21"/>
                <w:shd w:val="clear" w:color="auto" w:fill="auto"/>
                <w:lang w:val="en-US" w:eastAsia="zh-CN"/>
              </w:rPr>
            </w:pPr>
            <w:r>
              <w:rPr>
                <w:rFonts w:hint="eastAsia" w:ascii="Calibri" w:hAnsi="Calibri" w:eastAsia="楷体"/>
                <w:kern w:val="0"/>
                <w:sz w:val="21"/>
                <w:szCs w:val="21"/>
                <w:shd w:val="clear" w:color="auto" w:fill="auto"/>
                <w:lang w:val="en-US" w:eastAsia="zh-CN"/>
              </w:rPr>
              <w:t>61.25</w:t>
            </w:r>
          </w:p>
        </w:tc>
        <w:tc>
          <w:tcPr>
            <w:tcW w:w="532" w:type="dxa"/>
            <w:noWrap w:val="0"/>
            <w:vAlign w:val="center"/>
          </w:tcPr>
          <w:p>
            <w:pPr>
              <w:spacing w:line="700" w:lineRule="exact"/>
              <w:jc w:val="center"/>
              <w:rPr>
                <w:rFonts w:ascii="Calibri" w:hAnsi="Calibri" w:eastAsia="楷体"/>
                <w:kern w:val="0"/>
                <w:sz w:val="21"/>
                <w:szCs w:val="21"/>
                <w:shd w:val="clear" w:color="auto" w:fill="auto"/>
              </w:rPr>
            </w:pPr>
          </w:p>
        </w:tc>
        <w:tc>
          <w:tcPr>
            <w:tcW w:w="598" w:type="dxa"/>
            <w:noWrap w:val="0"/>
            <w:vAlign w:val="center"/>
          </w:tcPr>
          <w:p>
            <w:pPr>
              <w:spacing w:line="700" w:lineRule="exact"/>
              <w:jc w:val="center"/>
              <w:rPr>
                <w:rFonts w:ascii="Calibri" w:hAnsi="Calibri" w:eastAsia="楷体"/>
                <w:kern w:val="0"/>
                <w:sz w:val="21"/>
                <w:szCs w:val="21"/>
                <w:shd w:val="clear" w:color="auto" w:fill="auto"/>
              </w:rPr>
            </w:pPr>
          </w:p>
        </w:tc>
        <w:tc>
          <w:tcPr>
            <w:tcW w:w="443" w:type="dxa"/>
            <w:noWrap w:val="0"/>
            <w:vAlign w:val="center"/>
          </w:tcPr>
          <w:p>
            <w:pPr>
              <w:spacing w:line="700" w:lineRule="exact"/>
              <w:jc w:val="center"/>
              <w:rPr>
                <w:rFonts w:ascii="Calibri" w:hAnsi="Calibri" w:eastAsia="楷体"/>
                <w:kern w:val="0"/>
                <w:sz w:val="21"/>
                <w:szCs w:val="21"/>
                <w:shd w:val="clear" w:color="auto" w:fill="auto"/>
              </w:rPr>
            </w:pPr>
          </w:p>
        </w:tc>
        <w:tc>
          <w:tcPr>
            <w:tcW w:w="425" w:type="dxa"/>
            <w:noWrap w:val="0"/>
            <w:vAlign w:val="center"/>
          </w:tcPr>
          <w:p>
            <w:pPr>
              <w:spacing w:line="700" w:lineRule="exact"/>
              <w:jc w:val="center"/>
              <w:rPr>
                <w:rFonts w:ascii="Calibri" w:hAnsi="Calibri" w:eastAsia="楷体"/>
                <w:kern w:val="0"/>
                <w:sz w:val="21"/>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7" w:hRule="exact"/>
          <w:jc w:val="center"/>
        </w:trPr>
        <w:tc>
          <w:tcPr>
            <w:tcW w:w="759" w:type="dxa"/>
            <w:noWrap w:val="0"/>
            <w:vAlign w:val="center"/>
          </w:tcPr>
          <w:p>
            <w:pPr>
              <w:autoSpaceDN w:val="0"/>
              <w:jc w:val="center"/>
              <w:textAlignment w:val="center"/>
              <w:rPr>
                <w:rFonts w:hint="eastAsia" w:ascii="Calibri" w:hAnsi="Calibri" w:eastAsia="华文细黑"/>
                <w:color w:val="000000"/>
                <w:sz w:val="21"/>
                <w:szCs w:val="21"/>
                <w:shd w:val="clear" w:color="auto" w:fill="auto"/>
              </w:rPr>
            </w:pPr>
            <w:r>
              <w:rPr>
                <w:rFonts w:hint="eastAsia" w:ascii="Calibri" w:hAnsi="Calibri" w:eastAsia="华文细黑"/>
                <w:color w:val="000000"/>
                <w:sz w:val="21"/>
                <w:szCs w:val="21"/>
                <w:shd w:val="clear" w:color="auto" w:fill="auto"/>
              </w:rPr>
              <w:t>合计</w:t>
            </w:r>
          </w:p>
        </w:tc>
        <w:tc>
          <w:tcPr>
            <w:tcW w:w="1063" w:type="dxa"/>
            <w:noWrap w:val="0"/>
            <w:vAlign w:val="center"/>
          </w:tcPr>
          <w:p>
            <w:pPr>
              <w:autoSpaceDN w:val="0"/>
              <w:jc w:val="center"/>
              <w:textAlignment w:val="center"/>
              <w:rPr>
                <w:rFonts w:ascii="Calibri" w:hAnsi="Calibri" w:eastAsia="华文细黑"/>
                <w:color w:val="000000"/>
                <w:sz w:val="21"/>
                <w:szCs w:val="21"/>
                <w:shd w:val="clear" w:color="auto" w:fill="auto"/>
              </w:rPr>
            </w:pPr>
          </w:p>
        </w:tc>
        <w:tc>
          <w:tcPr>
            <w:tcW w:w="1107" w:type="dxa"/>
            <w:noWrap w:val="0"/>
            <w:vAlign w:val="center"/>
          </w:tcPr>
          <w:p>
            <w:pPr>
              <w:spacing w:line="700" w:lineRule="exact"/>
              <w:jc w:val="center"/>
              <w:rPr>
                <w:rFonts w:ascii="Calibri" w:hAnsi="Calibri" w:eastAsia="楷体"/>
                <w:kern w:val="0"/>
                <w:sz w:val="21"/>
                <w:szCs w:val="21"/>
                <w:shd w:val="clear" w:color="auto" w:fill="auto"/>
              </w:rPr>
            </w:pPr>
          </w:p>
        </w:tc>
        <w:tc>
          <w:tcPr>
            <w:tcW w:w="864" w:type="dxa"/>
            <w:noWrap w:val="0"/>
            <w:vAlign w:val="center"/>
          </w:tcPr>
          <w:p>
            <w:pPr>
              <w:spacing w:line="700" w:lineRule="exact"/>
              <w:jc w:val="center"/>
              <w:rPr>
                <w:rFonts w:hint="default" w:ascii="Calibri" w:hAnsi="Calibri" w:eastAsia="楷体"/>
                <w:kern w:val="0"/>
                <w:sz w:val="21"/>
                <w:szCs w:val="21"/>
                <w:shd w:val="clear" w:color="auto" w:fill="auto"/>
                <w:lang w:val="en-US" w:eastAsia="zh-CN"/>
              </w:rPr>
            </w:pPr>
          </w:p>
        </w:tc>
        <w:tc>
          <w:tcPr>
            <w:tcW w:w="498" w:type="dxa"/>
            <w:noWrap w:val="0"/>
            <w:vAlign w:val="center"/>
          </w:tcPr>
          <w:p>
            <w:pPr>
              <w:spacing w:line="700" w:lineRule="exact"/>
              <w:jc w:val="center"/>
              <w:rPr>
                <w:rFonts w:hint="default" w:ascii="Calibri" w:hAnsi="Calibri" w:eastAsia="楷体"/>
                <w:kern w:val="0"/>
                <w:sz w:val="21"/>
                <w:szCs w:val="21"/>
                <w:shd w:val="clear" w:color="auto" w:fill="auto"/>
                <w:lang w:val="en-US" w:eastAsia="zh-CN"/>
              </w:rPr>
            </w:pPr>
            <w:r>
              <w:rPr>
                <w:rFonts w:hint="eastAsia" w:ascii="Calibri" w:hAnsi="Calibri" w:eastAsia="楷体"/>
                <w:kern w:val="0"/>
                <w:sz w:val="21"/>
                <w:szCs w:val="21"/>
                <w:shd w:val="clear" w:color="auto" w:fill="auto"/>
                <w:lang w:val="en-US" w:eastAsia="zh-CN"/>
              </w:rPr>
              <w:t>147.84</w:t>
            </w:r>
          </w:p>
        </w:tc>
        <w:tc>
          <w:tcPr>
            <w:tcW w:w="553" w:type="dxa"/>
            <w:noWrap w:val="0"/>
            <w:vAlign w:val="center"/>
          </w:tcPr>
          <w:p>
            <w:pPr>
              <w:spacing w:line="700" w:lineRule="exact"/>
              <w:jc w:val="center"/>
              <w:rPr>
                <w:rFonts w:hint="default" w:ascii="Calibri" w:hAnsi="Calibri" w:eastAsia="楷体"/>
                <w:kern w:val="0"/>
                <w:sz w:val="21"/>
                <w:szCs w:val="21"/>
                <w:shd w:val="clear" w:color="auto" w:fill="auto"/>
                <w:lang w:val="en-US" w:eastAsia="zh-CN"/>
              </w:rPr>
            </w:pPr>
            <w:r>
              <w:rPr>
                <w:rFonts w:hint="eastAsia" w:ascii="Calibri" w:hAnsi="Calibri" w:eastAsia="楷体"/>
                <w:kern w:val="0"/>
                <w:sz w:val="21"/>
                <w:szCs w:val="21"/>
                <w:shd w:val="clear" w:color="auto" w:fill="auto"/>
                <w:lang w:val="en-US" w:eastAsia="zh-CN"/>
              </w:rPr>
              <w:t>86.59</w:t>
            </w:r>
          </w:p>
        </w:tc>
        <w:tc>
          <w:tcPr>
            <w:tcW w:w="554" w:type="dxa"/>
            <w:noWrap w:val="0"/>
            <w:vAlign w:val="center"/>
          </w:tcPr>
          <w:p>
            <w:pPr>
              <w:spacing w:line="700" w:lineRule="exact"/>
              <w:jc w:val="center"/>
              <w:rPr>
                <w:rFonts w:ascii="Calibri" w:hAnsi="Calibri" w:eastAsia="楷体"/>
                <w:kern w:val="0"/>
                <w:sz w:val="21"/>
                <w:szCs w:val="21"/>
                <w:shd w:val="clear" w:color="auto" w:fill="auto"/>
              </w:rPr>
            </w:pPr>
          </w:p>
        </w:tc>
        <w:tc>
          <w:tcPr>
            <w:tcW w:w="521" w:type="dxa"/>
            <w:noWrap w:val="0"/>
            <w:vAlign w:val="center"/>
          </w:tcPr>
          <w:p>
            <w:pPr>
              <w:spacing w:line="700" w:lineRule="exact"/>
              <w:jc w:val="center"/>
              <w:rPr>
                <w:rFonts w:ascii="Calibri" w:hAnsi="Calibri" w:eastAsia="楷体"/>
                <w:kern w:val="0"/>
                <w:sz w:val="21"/>
                <w:szCs w:val="21"/>
                <w:shd w:val="clear" w:color="auto" w:fill="auto"/>
              </w:rPr>
            </w:pPr>
          </w:p>
        </w:tc>
        <w:tc>
          <w:tcPr>
            <w:tcW w:w="564" w:type="dxa"/>
            <w:noWrap w:val="0"/>
            <w:vAlign w:val="center"/>
          </w:tcPr>
          <w:p>
            <w:pPr>
              <w:spacing w:line="700" w:lineRule="exact"/>
              <w:jc w:val="center"/>
              <w:rPr>
                <w:rFonts w:hint="default" w:ascii="Calibri" w:hAnsi="Calibri" w:eastAsia="楷体"/>
                <w:kern w:val="0"/>
                <w:sz w:val="21"/>
                <w:szCs w:val="21"/>
                <w:shd w:val="clear" w:color="auto" w:fill="auto"/>
                <w:lang w:val="en-US" w:eastAsia="zh-CN"/>
              </w:rPr>
            </w:pPr>
            <w:r>
              <w:rPr>
                <w:rFonts w:hint="eastAsia" w:ascii="Calibri" w:hAnsi="Calibri" w:eastAsia="楷体"/>
                <w:kern w:val="0"/>
                <w:sz w:val="21"/>
                <w:szCs w:val="21"/>
                <w:shd w:val="clear" w:color="auto" w:fill="auto"/>
                <w:lang w:val="en-US" w:eastAsia="zh-CN"/>
              </w:rPr>
              <w:t>61.25</w:t>
            </w:r>
          </w:p>
        </w:tc>
        <w:tc>
          <w:tcPr>
            <w:tcW w:w="532" w:type="dxa"/>
            <w:noWrap w:val="0"/>
            <w:vAlign w:val="center"/>
          </w:tcPr>
          <w:p>
            <w:pPr>
              <w:spacing w:line="700" w:lineRule="exact"/>
              <w:jc w:val="center"/>
              <w:rPr>
                <w:rFonts w:ascii="Calibri" w:hAnsi="Calibri" w:eastAsia="楷体"/>
                <w:kern w:val="0"/>
                <w:sz w:val="21"/>
                <w:szCs w:val="21"/>
                <w:shd w:val="clear" w:color="auto" w:fill="auto"/>
              </w:rPr>
            </w:pPr>
          </w:p>
        </w:tc>
        <w:tc>
          <w:tcPr>
            <w:tcW w:w="598" w:type="dxa"/>
            <w:noWrap w:val="0"/>
            <w:vAlign w:val="center"/>
          </w:tcPr>
          <w:p>
            <w:pPr>
              <w:spacing w:line="700" w:lineRule="exact"/>
              <w:jc w:val="center"/>
              <w:rPr>
                <w:rFonts w:ascii="Calibri" w:hAnsi="Calibri" w:eastAsia="楷体"/>
                <w:kern w:val="0"/>
                <w:sz w:val="21"/>
                <w:szCs w:val="21"/>
                <w:shd w:val="clear" w:color="auto" w:fill="auto"/>
              </w:rPr>
            </w:pPr>
          </w:p>
        </w:tc>
        <w:tc>
          <w:tcPr>
            <w:tcW w:w="443" w:type="dxa"/>
            <w:noWrap w:val="0"/>
            <w:vAlign w:val="center"/>
          </w:tcPr>
          <w:p>
            <w:pPr>
              <w:spacing w:line="700" w:lineRule="exact"/>
              <w:jc w:val="center"/>
              <w:rPr>
                <w:rFonts w:ascii="Calibri" w:hAnsi="Calibri" w:eastAsia="楷体"/>
                <w:kern w:val="0"/>
                <w:sz w:val="21"/>
                <w:szCs w:val="21"/>
                <w:shd w:val="clear" w:color="auto" w:fill="auto"/>
              </w:rPr>
            </w:pPr>
          </w:p>
        </w:tc>
        <w:tc>
          <w:tcPr>
            <w:tcW w:w="425" w:type="dxa"/>
            <w:noWrap w:val="0"/>
            <w:vAlign w:val="center"/>
          </w:tcPr>
          <w:p>
            <w:pPr>
              <w:spacing w:line="700" w:lineRule="exact"/>
              <w:jc w:val="center"/>
              <w:rPr>
                <w:rFonts w:ascii="Calibri" w:hAnsi="Calibri" w:eastAsia="楷体"/>
                <w:kern w:val="0"/>
                <w:sz w:val="21"/>
                <w:szCs w:val="21"/>
                <w:shd w:val="clear" w:color="auto" w:fill="auto"/>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hint="eastAsia" w:eastAsia="楷体"/>
          <w:kern w:val="0"/>
          <w:szCs w:val="32"/>
          <w:lang w:val="en-US" w:eastAsia="zh-CN"/>
        </w:rPr>
      </w:pPr>
      <w:r>
        <w:rPr>
          <w:rFonts w:hint="eastAsia" w:eastAsia="楷体"/>
          <w:kern w:val="0"/>
          <w:szCs w:val="32"/>
          <w:lang w:val="en-US" w:eastAsia="zh-CN"/>
        </w:rPr>
        <w:t>+</w:t>
      </w:r>
    </w:p>
    <w:p>
      <w:pPr>
        <w:spacing w:line="700" w:lineRule="exact"/>
        <w:ind w:firstLine="640" w:firstLineChars="200"/>
        <w:rPr>
          <w:rFonts w:hint="eastAsia" w:eastAsia="楷体"/>
          <w:kern w:val="0"/>
          <w:szCs w:val="32"/>
          <w:lang w:val="en-US" w:eastAsia="zh-CN"/>
        </w:rPr>
      </w:pPr>
    </w:p>
    <w:p>
      <w:pPr>
        <w:spacing w:line="700" w:lineRule="exact"/>
        <w:ind w:firstLine="640" w:firstLineChars="200"/>
        <w:rPr>
          <w:rFonts w:hint="eastAsia" w:eastAsia="楷体"/>
          <w:kern w:val="0"/>
          <w:szCs w:val="32"/>
          <w:lang w:val="en-US" w:eastAsia="zh-CN"/>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通榆县公园管理中心管护人员工资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86.59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86.59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按月给管护人员工资，确保城市公园管理管理工作有序进行，共需865920元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保洁人数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电工人数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司机人数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管护人员工资发放的完成率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保洁工资标准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电工工资标准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司机工资标准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管护人员工资发放的及时率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bookmarkStart w:id="0" w:name="_GoBack"/>
            <w:r>
              <w:rPr>
                <w:rFonts w:hint="eastAsia" w:ascii="宋体" w:hAnsi="宋体" w:eastAsia="宋体" w:cs="宋体"/>
                <w:color w:val="000000"/>
                <w:sz w:val="20"/>
                <w:lang w:val="en-US" w:eastAsia="zh-CN"/>
              </w:rPr>
              <w:t>及时发放管护人员工资保障公园有序运转</w:t>
            </w:r>
            <w:bookmarkEnd w:id="0"/>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管护人员满意度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eastAsia="楷体"/>
          <w:kern w:val="0"/>
          <w:szCs w:val="32"/>
        </w:rPr>
      </w:pPr>
      <w:r>
        <w:rPr>
          <w:rFonts w:hint="eastAsia" w:eastAsia="楷体"/>
          <w:kern w:val="0"/>
          <w:szCs w:val="32"/>
        </w:rPr>
        <w:br w:type="page"/>
      </w:r>
    </w:p>
    <w:p>
      <w:pPr>
        <w:spacing w:line="700" w:lineRule="exact"/>
        <w:rPr>
          <w:rFonts w:hint="eastAsia" w:eastAsia="楷体"/>
          <w:kern w:val="0"/>
          <w:szCs w:val="32"/>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年收支总预算____</w:t>
      </w:r>
      <w:r>
        <w:rPr>
          <w:rFonts w:hint="eastAsia" w:ascii="仿宋_GB2312" w:hAnsi="仿宋_GB2312" w:cs="仿宋_GB2312"/>
          <w:szCs w:val="32"/>
          <w:lang w:val="en-US" w:eastAsia="zh-CN"/>
        </w:rPr>
        <w:t>318.03</w:t>
      </w:r>
      <w:r>
        <w:rPr>
          <w:rFonts w:hint="eastAsia" w:ascii="仿宋_GB2312" w:hAnsi="仿宋_GB2312" w:eastAsia="仿宋_GB2312" w:cs="仿宋_GB2312"/>
          <w:szCs w:val="32"/>
        </w:rPr>
        <w:t>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256.78</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61.25</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w:t>
      </w:r>
      <w:r>
        <w:rPr>
          <w:rFonts w:hint="eastAsia" w:ascii="仿宋_GB2312" w:hAnsi="仿宋_GB2312" w:cs="仿宋_GB2312"/>
          <w:szCs w:val="32"/>
          <w:lang w:val="en-US" w:eastAsia="zh-CN"/>
        </w:rPr>
        <w:t>增加</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47.23</w:t>
      </w:r>
      <w:r>
        <w:rPr>
          <w:rFonts w:hint="eastAsia" w:ascii="仿宋_GB2312" w:hAnsi="仿宋_GB2312" w:eastAsia="仿宋_GB2312" w:cs="仿宋_GB2312"/>
          <w:szCs w:val="32"/>
        </w:rPr>
        <w:t>___万元，主要原因是</w:t>
      </w:r>
      <w:r>
        <w:rPr>
          <w:rFonts w:hint="eastAsia" w:ascii="仿宋_GB2312" w:hAnsi="仿宋_GB2312" w:cs="仿宋_GB2312"/>
          <w:szCs w:val="32"/>
          <w:lang w:val="en-US" w:eastAsia="zh-CN"/>
        </w:rPr>
        <w:t>有上年结转费用</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年收入预算___</w:t>
      </w:r>
      <w:r>
        <w:rPr>
          <w:rFonts w:hint="eastAsia" w:ascii="仿宋_GB2312" w:hAnsi="仿宋_GB2312" w:cs="仿宋_GB2312"/>
          <w:szCs w:val="32"/>
          <w:lang w:val="en-US" w:eastAsia="zh-CN"/>
        </w:rPr>
        <w:t>318.03</w:t>
      </w:r>
      <w:r>
        <w:rPr>
          <w:rFonts w:hint="eastAsia" w:ascii="仿宋_GB2312" w:hAnsi="仿宋_GB2312" w:eastAsia="仿宋_GB2312" w:cs="仿宋_GB2312"/>
          <w:szCs w:val="32"/>
        </w:rPr>
        <w:t>____万元，其中：本年收入___</w:t>
      </w:r>
      <w:r>
        <w:rPr>
          <w:rFonts w:hint="eastAsia" w:ascii="仿宋_GB2312" w:hAnsi="仿宋_GB2312" w:cs="仿宋_GB2312"/>
          <w:szCs w:val="32"/>
          <w:lang w:val="en-US" w:eastAsia="zh-CN"/>
        </w:rPr>
        <w:t>256.78</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80.74</w:t>
      </w:r>
      <w:r>
        <w:rPr>
          <w:rFonts w:hint="eastAsia" w:ascii="仿宋_GB2312" w:hAnsi="仿宋_GB2312" w:eastAsia="仿宋_GB2312" w:cs="仿宋_GB2312"/>
          <w:szCs w:val="32"/>
        </w:rPr>
        <w:t>____%；上年结转___</w:t>
      </w:r>
      <w:r>
        <w:rPr>
          <w:rFonts w:hint="eastAsia" w:ascii="仿宋_GB2312" w:hAnsi="仿宋_GB2312" w:cs="仿宋_GB2312"/>
          <w:szCs w:val="32"/>
          <w:lang w:val="en-US" w:eastAsia="zh-CN"/>
        </w:rPr>
        <w:t>61.25</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19.26</w:t>
      </w:r>
      <w:r>
        <w:rPr>
          <w:rFonts w:hint="eastAsia" w:ascii="仿宋_GB2312" w:hAnsi="仿宋_GB2312" w:eastAsia="仿宋_GB2312" w:cs="仿宋_GB2312"/>
          <w:szCs w:val="32"/>
        </w:rPr>
        <w:t>____%。本年收入中，一般公共预算拨款收入____</w:t>
      </w:r>
      <w:r>
        <w:rPr>
          <w:rFonts w:hint="eastAsia" w:ascii="仿宋_GB2312" w:hAnsi="仿宋_GB2312" w:cs="仿宋_GB2312"/>
          <w:szCs w:val="32"/>
          <w:lang w:val="en-US" w:eastAsia="zh-CN"/>
        </w:rPr>
        <w:t>256.78</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80.74</w:t>
      </w:r>
      <w:r>
        <w:rPr>
          <w:rFonts w:hint="eastAsia" w:ascii="仿宋_GB2312" w:hAnsi="仿宋_GB2312" w:eastAsia="仿宋_GB2312" w:cs="仿宋_GB2312"/>
          <w:szCs w:val="32"/>
        </w:rPr>
        <w:t>___%；政府性基金预算拨款收入___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___%；国有资本经营预算拨款收入___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____%；财政专户管理资金收入____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___%；事业收入____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____%；上级补助收入___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__%；附属单位上缴收入_____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____%；事业单位经营收入___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____%；其他收入___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___%。上年结转中，一般公共预算拨款结转____</w:t>
      </w:r>
      <w:r>
        <w:rPr>
          <w:rFonts w:hint="eastAsia" w:ascii="仿宋_GB2312" w:hAnsi="仿宋_GB2312" w:cs="仿宋_GB2312"/>
          <w:szCs w:val="32"/>
          <w:lang w:val="en-US" w:eastAsia="zh-CN"/>
        </w:rPr>
        <w:t>61.25</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19.26</w:t>
      </w:r>
      <w:r>
        <w:rPr>
          <w:rFonts w:hint="eastAsia" w:ascii="仿宋_GB2312" w:hAnsi="仿宋_GB2312" w:eastAsia="仿宋_GB2312" w:cs="仿宋_GB2312"/>
          <w:szCs w:val="32"/>
        </w:rPr>
        <w:t>___%；政府性基金预算拨款结转___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____%；国有资本经营预算拨款结转____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___%；财政专户管理资金结转结余____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___%；单位资金结转___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___%；用事业基金弥补收支差额____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年支出预算___</w:t>
      </w:r>
      <w:r>
        <w:rPr>
          <w:rFonts w:hint="eastAsia" w:ascii="仿宋_GB2312" w:hAnsi="仿宋_GB2312" w:cs="仿宋_GB2312"/>
          <w:szCs w:val="32"/>
          <w:lang w:val="en-US" w:eastAsia="zh-CN"/>
        </w:rPr>
        <w:t>318.03</w:t>
      </w:r>
      <w:r>
        <w:rPr>
          <w:rFonts w:hint="eastAsia" w:ascii="仿宋_GB2312" w:hAnsi="仿宋_GB2312" w:eastAsia="仿宋_GB2312" w:cs="仿宋_GB2312"/>
          <w:szCs w:val="32"/>
        </w:rPr>
        <w:t>____万元，其中：基本支出___</w:t>
      </w:r>
      <w:r>
        <w:rPr>
          <w:rFonts w:hint="eastAsia" w:ascii="仿宋_GB2312" w:hAnsi="仿宋_GB2312" w:cs="仿宋_GB2312"/>
          <w:szCs w:val="32"/>
          <w:lang w:val="en-US" w:eastAsia="zh-CN"/>
        </w:rPr>
        <w:t>170.19</w:t>
      </w:r>
      <w:r>
        <w:rPr>
          <w:rFonts w:hint="eastAsia" w:ascii="仿宋_GB2312" w:hAnsi="仿宋_GB2312" w:eastAsia="仿宋_GB2312" w:cs="仿宋_GB2312"/>
          <w:szCs w:val="32"/>
        </w:rPr>
        <w:t>____万元，占____</w:t>
      </w:r>
      <w:r>
        <w:rPr>
          <w:rFonts w:hint="eastAsia" w:ascii="仿宋_GB2312" w:hAnsi="仿宋_GB2312" w:cs="仿宋_GB2312"/>
          <w:szCs w:val="32"/>
          <w:lang w:val="en-US" w:eastAsia="zh-CN"/>
        </w:rPr>
        <w:t>53.51</w:t>
      </w:r>
      <w:r>
        <w:rPr>
          <w:rFonts w:hint="eastAsia" w:ascii="仿宋_GB2312" w:hAnsi="仿宋_GB2312" w:eastAsia="仿宋_GB2312" w:cs="仿宋_GB2312"/>
          <w:szCs w:val="32"/>
        </w:rPr>
        <w:t>___%；项目支出____</w:t>
      </w:r>
      <w:r>
        <w:rPr>
          <w:rFonts w:hint="eastAsia" w:ascii="仿宋_GB2312" w:hAnsi="仿宋_GB2312" w:cs="仿宋_GB2312"/>
          <w:szCs w:val="32"/>
          <w:lang w:val="en-US" w:eastAsia="zh-CN"/>
        </w:rPr>
        <w:t>147.84</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46.49</w:t>
      </w:r>
      <w:r>
        <w:rPr>
          <w:rFonts w:hint="eastAsia" w:ascii="仿宋_GB2312" w:hAnsi="仿宋_GB2312" w:eastAsia="仿宋_GB2312" w:cs="仿宋_GB2312"/>
          <w:szCs w:val="32"/>
        </w:rPr>
        <w:t>____%；事业单位经营支出___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____%；上缴上级支出___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____%；对附属单位补助支出____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年财政拨款收支总预算___</w:t>
      </w:r>
      <w:r>
        <w:rPr>
          <w:rFonts w:hint="eastAsia" w:ascii="仿宋_GB2312" w:hAnsi="仿宋_GB2312" w:cs="仿宋_GB2312"/>
          <w:szCs w:val="32"/>
          <w:lang w:val="en-US" w:eastAsia="zh-CN"/>
        </w:rPr>
        <w:t>318.03</w:t>
      </w:r>
      <w:r>
        <w:rPr>
          <w:rFonts w:hint="eastAsia" w:ascii="仿宋_GB2312" w:hAnsi="仿宋_GB2312" w:eastAsia="仿宋_GB2312" w:cs="仿宋_GB2312"/>
          <w:szCs w:val="32"/>
        </w:rPr>
        <w:t>____万元，其中：本年收入___</w:t>
      </w:r>
      <w:r>
        <w:rPr>
          <w:rFonts w:hint="eastAsia" w:ascii="仿宋_GB2312" w:hAnsi="仿宋_GB2312" w:cs="仿宋_GB2312"/>
          <w:szCs w:val="32"/>
          <w:lang w:val="en-US" w:eastAsia="zh-CN"/>
        </w:rPr>
        <w:t>256.78</w:t>
      </w:r>
      <w:r>
        <w:rPr>
          <w:rFonts w:hint="eastAsia" w:ascii="仿宋_GB2312" w:hAnsi="仿宋_GB2312" w:eastAsia="仿宋_GB2312" w:cs="仿宋_GB2312"/>
          <w:szCs w:val="32"/>
        </w:rPr>
        <w:t>____万元，上年结转___</w:t>
      </w:r>
      <w:r>
        <w:rPr>
          <w:rFonts w:hint="eastAsia" w:ascii="仿宋_GB2312" w:hAnsi="仿宋_GB2312" w:cs="仿宋_GB2312"/>
          <w:szCs w:val="32"/>
          <w:lang w:val="en-US" w:eastAsia="zh-CN"/>
        </w:rPr>
        <w:t>61.25</w:t>
      </w:r>
      <w:r>
        <w:rPr>
          <w:rFonts w:hint="eastAsia" w:ascii="仿宋_GB2312" w:hAnsi="仿宋_GB2312" w:eastAsia="仿宋_GB2312" w:cs="仿宋_GB2312"/>
          <w:szCs w:val="32"/>
        </w:rPr>
        <w:t>___万元。支出包括：</w:t>
      </w:r>
      <w:r>
        <w:rPr>
          <w:rFonts w:hint="eastAsia" w:ascii="仿宋_GB2312" w:hAnsi="仿宋_GB2312" w:eastAsia="仿宋_GB2312" w:cs="仿宋_GB2312"/>
          <w:kern w:val="0"/>
          <w:szCs w:val="32"/>
        </w:rPr>
        <w:t>一般公共服务支出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社会保障和就业支出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22.5</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卫生健康支出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7.21</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275.2</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w:t>
      </w:r>
      <w:r>
        <w:rPr>
          <w:rFonts w:hint="eastAsia" w:ascii="仿宋_GB2312" w:hAnsi="仿宋_GB2312" w:eastAsia="仿宋_GB2312" w:cs="仿宋_GB2312"/>
          <w:kern w:val="0"/>
          <w:szCs w:val="32"/>
        </w:rPr>
        <w:t>住房保障支出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13.12</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___万元，灾害防治及应急管理支出____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年一般公共预算拨款__</w:t>
      </w:r>
      <w:r>
        <w:rPr>
          <w:rFonts w:hint="eastAsia" w:ascii="仿宋_GB2312" w:hAnsi="仿宋_GB2312" w:cs="仿宋_GB2312"/>
          <w:szCs w:val="32"/>
          <w:lang w:val="en-US" w:eastAsia="zh-CN"/>
        </w:rPr>
        <w:t>318.03</w:t>
      </w:r>
      <w:r>
        <w:rPr>
          <w:rFonts w:hint="eastAsia" w:ascii="仿宋_GB2312" w:hAnsi="仿宋_GB2312" w:eastAsia="仿宋_GB2312" w:cs="仿宋_GB2312"/>
          <w:szCs w:val="32"/>
        </w:rPr>
        <w:t>_万元，其中：基本支出_</w:t>
      </w:r>
      <w:r>
        <w:rPr>
          <w:rFonts w:hint="eastAsia" w:ascii="仿宋_GB2312" w:hAnsi="仿宋_GB2312" w:cs="仿宋_GB2312"/>
          <w:szCs w:val="32"/>
          <w:lang w:val="en-US" w:eastAsia="zh-CN"/>
        </w:rPr>
        <w:t>170.19</w:t>
      </w:r>
      <w:r>
        <w:rPr>
          <w:rFonts w:hint="eastAsia" w:ascii="仿宋_GB2312" w:hAnsi="仿宋_GB2312" w:eastAsia="仿宋_GB2312" w:cs="仿宋_GB2312"/>
          <w:szCs w:val="32"/>
        </w:rPr>
        <w:t>__万元，占_</w:t>
      </w:r>
      <w:r>
        <w:rPr>
          <w:rFonts w:hint="eastAsia" w:ascii="仿宋_GB2312" w:hAnsi="仿宋_GB2312" w:cs="仿宋_GB2312"/>
          <w:szCs w:val="32"/>
          <w:lang w:val="en-US" w:eastAsia="zh-CN"/>
        </w:rPr>
        <w:t>53.51</w:t>
      </w:r>
      <w:r>
        <w:rPr>
          <w:rFonts w:hint="eastAsia" w:ascii="仿宋_GB2312" w:hAnsi="仿宋_GB2312" w:eastAsia="仿宋_GB2312" w:cs="仿宋_GB2312"/>
          <w:szCs w:val="32"/>
        </w:rPr>
        <w:t>__%；项目支出_</w:t>
      </w:r>
      <w:r>
        <w:rPr>
          <w:rFonts w:hint="eastAsia" w:ascii="仿宋_GB2312" w:hAnsi="仿宋_GB2312" w:cs="仿宋_GB2312"/>
          <w:szCs w:val="32"/>
          <w:lang w:val="en-US" w:eastAsia="zh-CN"/>
        </w:rPr>
        <w:t>147.84</w:t>
      </w:r>
      <w:r>
        <w:rPr>
          <w:rFonts w:hint="eastAsia" w:ascii="仿宋_GB2312" w:hAnsi="仿宋_GB2312" w:eastAsia="仿宋_GB2312" w:cs="仿宋_GB2312"/>
          <w:szCs w:val="32"/>
        </w:rPr>
        <w:t>__万元，占_</w:t>
      </w:r>
      <w:r>
        <w:rPr>
          <w:rFonts w:hint="eastAsia" w:ascii="仿宋_GB2312" w:hAnsi="仿宋_GB2312" w:cs="仿宋_GB2312"/>
          <w:szCs w:val="32"/>
          <w:lang w:val="en-US" w:eastAsia="zh-CN"/>
        </w:rPr>
        <w:t>46.49</w:t>
      </w:r>
      <w:r>
        <w:rPr>
          <w:rFonts w:hint="eastAsia" w:ascii="仿宋_GB2312" w:hAnsi="仿宋_GB2312" w:eastAsia="仿宋_GB2312" w:cs="仿宋_GB2312"/>
          <w:szCs w:val="32"/>
        </w:rPr>
        <w:t>__%。基本支出中，人员经费__</w:t>
      </w:r>
      <w:r>
        <w:rPr>
          <w:rFonts w:hint="eastAsia" w:ascii="仿宋_GB2312" w:hAnsi="仿宋_GB2312" w:cs="仿宋_GB2312"/>
          <w:szCs w:val="32"/>
          <w:lang w:val="en-US" w:eastAsia="zh-CN"/>
        </w:rPr>
        <w:t>153.87</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90.41</w:t>
      </w:r>
      <w:r>
        <w:rPr>
          <w:rFonts w:hint="eastAsia" w:ascii="仿宋_GB2312" w:hAnsi="仿宋_GB2312" w:eastAsia="仿宋_GB2312" w:cs="仿宋_GB2312"/>
          <w:szCs w:val="32"/>
        </w:rPr>
        <w:t>__%；公用经费__</w:t>
      </w:r>
      <w:r>
        <w:rPr>
          <w:rFonts w:hint="eastAsia" w:ascii="仿宋_GB2312" w:hAnsi="仿宋_GB2312" w:cs="仿宋_GB2312"/>
          <w:szCs w:val="32"/>
          <w:lang w:val="en-US" w:eastAsia="zh-CN"/>
        </w:rPr>
        <w:t>16.32</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9.59</w:t>
      </w:r>
      <w:r>
        <w:rPr>
          <w:rFonts w:hint="eastAsia" w:ascii="仿宋_GB2312" w:hAnsi="仿宋_GB2312" w:eastAsia="仿宋_GB2312" w:cs="仿宋_GB2312"/>
          <w:szCs w:val="32"/>
        </w:rPr>
        <w:t>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社会保障和就业（类）支出___</w:t>
      </w:r>
      <w:r>
        <w:rPr>
          <w:rFonts w:hint="eastAsia" w:ascii="仿宋_GB2312" w:hAnsi="仿宋_GB2312" w:cs="仿宋_GB2312"/>
          <w:szCs w:val="32"/>
          <w:lang w:val="en-US" w:eastAsia="zh-CN"/>
        </w:rPr>
        <w:t>22.50</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7.07</w:t>
      </w:r>
      <w:r>
        <w:rPr>
          <w:rFonts w:hint="eastAsia" w:ascii="仿宋_GB2312" w:hAnsi="仿宋_GB2312" w:eastAsia="仿宋_GB2312" w:cs="仿宋_GB2312"/>
          <w:szCs w:val="32"/>
        </w:rPr>
        <w:t>__%，主要用于_</w:t>
      </w:r>
      <w:r>
        <w:rPr>
          <w:rFonts w:hint="eastAsia" w:ascii="仿宋_GB2312" w:hAnsi="仿宋_GB2312" w:cs="仿宋_GB2312"/>
          <w:szCs w:val="32"/>
          <w:lang w:val="en-US" w:eastAsia="zh-CN"/>
        </w:rPr>
        <w:t>职工养老、职业年金缴费等</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val="en-US" w:eastAsia="zh-CN"/>
        </w:rPr>
        <w:t>卫生健康</w:t>
      </w:r>
      <w:r>
        <w:rPr>
          <w:rFonts w:hint="eastAsia" w:ascii="仿宋_GB2312" w:hAnsi="仿宋_GB2312" w:eastAsia="仿宋_GB2312" w:cs="仿宋_GB2312"/>
          <w:szCs w:val="32"/>
        </w:rPr>
        <w:t>支出___</w:t>
      </w:r>
      <w:r>
        <w:rPr>
          <w:rFonts w:hint="eastAsia" w:ascii="仿宋_GB2312" w:hAnsi="仿宋_GB2312" w:cs="仿宋_GB2312"/>
          <w:szCs w:val="32"/>
          <w:lang w:val="en-US" w:eastAsia="zh-CN"/>
        </w:rPr>
        <w:t>7.21</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2.27</w:t>
      </w:r>
      <w:r>
        <w:rPr>
          <w:rFonts w:hint="eastAsia" w:ascii="仿宋_GB2312" w:hAnsi="仿宋_GB2312" w:eastAsia="仿宋_GB2312" w:cs="仿宋_GB2312"/>
          <w:szCs w:val="32"/>
        </w:rPr>
        <w:t>__%，主要用于</w:t>
      </w:r>
      <w:r>
        <w:rPr>
          <w:rFonts w:hint="eastAsia" w:ascii="仿宋_GB2312" w:hAnsi="仿宋_GB2312" w:cs="仿宋_GB2312"/>
          <w:szCs w:val="32"/>
          <w:lang w:val="en-US" w:eastAsia="zh-CN"/>
        </w:rPr>
        <w:t>职工医疗保险缴费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val="en-US" w:eastAsia="zh-CN"/>
        </w:rPr>
        <w:t>城乡社区</w:t>
      </w:r>
      <w:r>
        <w:rPr>
          <w:rFonts w:hint="eastAsia" w:ascii="仿宋_GB2312" w:hAnsi="仿宋_GB2312" w:eastAsia="仿宋_GB2312" w:cs="仿宋_GB2312"/>
          <w:szCs w:val="32"/>
        </w:rPr>
        <w:t>支出___</w:t>
      </w:r>
      <w:r>
        <w:rPr>
          <w:rFonts w:hint="eastAsia" w:ascii="仿宋_GB2312" w:hAnsi="仿宋_GB2312" w:cs="仿宋_GB2312"/>
          <w:szCs w:val="32"/>
          <w:lang w:val="en-US" w:eastAsia="zh-CN"/>
        </w:rPr>
        <w:t>275.20</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86.53</w:t>
      </w:r>
      <w:r>
        <w:rPr>
          <w:rFonts w:hint="eastAsia" w:ascii="仿宋_GB2312" w:hAnsi="仿宋_GB2312" w:eastAsia="仿宋_GB2312" w:cs="仿宋_GB2312"/>
          <w:szCs w:val="32"/>
        </w:rPr>
        <w:t>___%，主要用于</w:t>
      </w:r>
      <w:r>
        <w:rPr>
          <w:rFonts w:hint="eastAsia" w:ascii="仿宋_GB2312" w:hAnsi="仿宋_GB2312" w:cs="仿宋_GB2312"/>
          <w:szCs w:val="32"/>
          <w:lang w:val="en-US" w:eastAsia="zh-CN"/>
        </w:rPr>
        <w:t>单位日常公用经费</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住房保障（类）支出__</w:t>
      </w:r>
      <w:r>
        <w:rPr>
          <w:rFonts w:hint="eastAsia" w:ascii="仿宋_GB2312" w:hAnsi="仿宋_GB2312" w:cs="仿宋_GB2312"/>
          <w:szCs w:val="32"/>
          <w:lang w:val="en-US" w:eastAsia="zh-CN"/>
        </w:rPr>
        <w:t>13.12</w:t>
      </w:r>
      <w:r>
        <w:rPr>
          <w:rFonts w:hint="eastAsia" w:ascii="仿宋_GB2312" w:hAnsi="仿宋_GB2312" w:eastAsia="仿宋_GB2312" w:cs="仿宋_GB2312"/>
          <w:szCs w:val="32"/>
        </w:rPr>
        <w:t>___万元，占__</w:t>
      </w:r>
      <w:r>
        <w:rPr>
          <w:rFonts w:hint="eastAsia" w:ascii="仿宋_GB2312" w:hAnsi="仿宋_GB2312" w:cs="仿宋_GB2312"/>
          <w:szCs w:val="32"/>
          <w:lang w:val="en-US" w:eastAsia="zh-CN"/>
        </w:rPr>
        <w:t>4.13</w:t>
      </w:r>
      <w:r>
        <w:rPr>
          <w:rFonts w:hint="eastAsia" w:ascii="仿宋_GB2312" w:hAnsi="仿宋_GB2312" w:eastAsia="仿宋_GB2312" w:cs="仿宋_GB2312"/>
          <w:szCs w:val="32"/>
        </w:rPr>
        <w:t>___%，主要用于</w:t>
      </w:r>
      <w:r>
        <w:rPr>
          <w:rFonts w:hint="eastAsia" w:ascii="仿宋_GB2312" w:hAnsi="仿宋_GB2312" w:cs="仿宋_GB2312"/>
          <w:szCs w:val="32"/>
          <w:lang w:val="en-US" w:eastAsia="zh-CN"/>
        </w:rPr>
        <w:t>职工住房公积金缴费</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年一般公共预算基本支出___</w:t>
      </w:r>
      <w:r>
        <w:rPr>
          <w:rFonts w:hint="eastAsia" w:ascii="仿宋_GB2312" w:hAnsi="仿宋_GB2312" w:cs="仿宋_GB2312"/>
          <w:szCs w:val="32"/>
          <w:lang w:val="en-US" w:eastAsia="zh-CN"/>
        </w:rPr>
        <w:t>170.19</w:t>
      </w:r>
      <w:r>
        <w:rPr>
          <w:rFonts w:hint="eastAsia" w:ascii="仿宋_GB2312" w:hAnsi="仿宋_GB2312" w:eastAsia="仿宋_GB2312" w:cs="仿宋_GB2312"/>
          <w:szCs w:val="32"/>
        </w:rPr>
        <w:t>____万元，其中：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人员经费____</w:t>
      </w:r>
      <w:r>
        <w:rPr>
          <w:rFonts w:hint="eastAsia" w:ascii="仿宋_GB2312" w:hAnsi="仿宋_GB2312" w:cs="仿宋_GB2312"/>
          <w:szCs w:val="32"/>
          <w:lang w:val="en-US" w:eastAsia="zh-CN"/>
        </w:rPr>
        <w:t>153.87</w:t>
      </w:r>
      <w:r>
        <w:rPr>
          <w:rFonts w:hint="eastAsia" w:ascii="仿宋_GB2312" w:hAnsi="仿宋_GB2312" w:eastAsia="仿宋_GB2312" w:cs="仿宋_GB2312"/>
          <w:szCs w:val="32"/>
        </w:rPr>
        <w:t>___万元，主要包括：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cs="仿宋_GB2312"/>
          <w:szCs w:val="32"/>
          <w:lang w:val="en-US" w:eastAsia="zh-CN"/>
        </w:rPr>
        <w:t>绩效工资、机关事业单位基本养老保险缴费、职业年金缴费、职工基本医疗保险缴费、其他</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16.32</w:t>
      </w:r>
      <w:r>
        <w:rPr>
          <w:rFonts w:hint="eastAsia" w:ascii="仿宋_GB2312" w:hAnsi="仿宋_GB2312" w:eastAsia="仿宋_GB2312" w:cs="仿宋_GB2312"/>
          <w:szCs w:val="32"/>
        </w:rPr>
        <w:t>___万元，主要包括：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咨询费、</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专用燃料费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cs="仿宋_GB2312"/>
          <w:szCs w:val="32"/>
          <w:lang w:val="en-US" w:eastAsia="zh-CN"/>
        </w:rPr>
        <w:t>其他交通费用、</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rPr>
          <w:szCs w:val="32"/>
        </w:rPr>
      </w:pPr>
    </w:p>
    <w:p>
      <w:pPr>
        <w:rPr>
          <w:szCs w:val="32"/>
        </w:rPr>
      </w:pPr>
    </w:p>
    <w:p>
      <w:pPr>
        <w:ind w:firstLine="640" w:firstLineChars="200"/>
        <w:rPr>
          <w:rFonts w:hint="eastAsia" w:ascii="黑体" w:hAnsi="黑体" w:eastAsia="黑体" w:cs="黑体"/>
          <w:szCs w:val="30"/>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w:t>
      </w:r>
      <w:r>
        <w:rPr>
          <w:rFonts w:hint="eastAsia" w:ascii="仿宋_GB2312" w:hAnsi="仿宋_GB2312" w:cs="仿宋_GB2312"/>
          <w:szCs w:val="32"/>
          <w:lang w:val="en-US" w:eastAsia="zh-CN"/>
        </w:rPr>
        <w:t>61.25</w:t>
      </w:r>
      <w:r>
        <w:rPr>
          <w:rFonts w:hint="eastAsia" w:ascii="仿宋_GB2312" w:hAnsi="仿宋_GB2312" w:eastAsia="仿宋_GB2312" w:cs="仿宋_GB2312"/>
          <w:szCs w:val="32"/>
        </w:rPr>
        <w:t>___万元，其中：政府采购货物预算_______万元、政府采购工程预算_______万元、政府采购服务预算____</w:t>
      </w:r>
      <w:r>
        <w:rPr>
          <w:rFonts w:hint="eastAsia" w:ascii="仿宋_GB2312" w:hAnsi="仿宋_GB2312" w:cs="仿宋_GB2312"/>
          <w:szCs w:val="32"/>
          <w:lang w:val="en-US" w:eastAsia="zh-CN"/>
        </w:rPr>
        <w:t>61.25</w:t>
      </w:r>
      <w:r>
        <w:rPr>
          <w:rFonts w:hint="eastAsia" w:ascii="仿宋_GB2312" w:hAnsi="仿宋_GB2312" w:eastAsia="仿宋_GB2312" w:cs="仿宋_GB2312"/>
          <w:szCs w:val="32"/>
        </w:rPr>
        <w:t>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8</w:t>
      </w:r>
      <w:r>
        <w:rPr>
          <w:rFonts w:hint="eastAsia" w:ascii="仿宋_GB2312" w:hAnsi="仿宋_GB2312" w:eastAsia="仿宋_GB2312" w:cs="仿宋_GB2312"/>
          <w:szCs w:val="32"/>
        </w:rPr>
        <w:t>月底，部门本级和所属各预算单位共有车辆___</w:t>
      </w:r>
      <w:r>
        <w:rPr>
          <w:rFonts w:hint="eastAsia" w:ascii="仿宋_GB2312" w:hAnsi="仿宋_GB2312" w:cs="仿宋_GB2312"/>
          <w:szCs w:val="32"/>
          <w:lang w:val="en-US" w:eastAsia="zh-CN"/>
        </w:rPr>
        <w:t>10</w:t>
      </w:r>
      <w:r>
        <w:rPr>
          <w:rFonts w:hint="eastAsia" w:ascii="仿宋_GB2312" w:hAnsi="仿宋_GB2312" w:eastAsia="仿宋_GB2312" w:cs="仿宋_GB2312"/>
          <w:szCs w:val="32"/>
        </w:rPr>
        <w:t>____辆，土地____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___平方米，房屋___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____平方米，单价50万元及以上的通用设备____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___台/套，单价100万元及以上的专用设备实有数___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w:t>
      </w:r>
      <w:r>
        <w:rPr>
          <w:rFonts w:hint="eastAsia" w:ascii="仿宋_GB2312" w:hAnsi="仿宋_GB2312" w:cs="仿宋_GB2312"/>
          <w:szCs w:val="32"/>
          <w:highlight w:val="none"/>
          <w:lang w:val="en-US" w:eastAsia="zh-CN"/>
        </w:rPr>
        <w:t>147.84</w:t>
      </w:r>
      <w:r>
        <w:rPr>
          <w:rFonts w:hint="eastAsia" w:ascii="仿宋_GB2312" w:hAnsi="仿宋_GB2312" w:eastAsia="仿宋_GB2312" w:cs="仿宋_GB2312"/>
          <w:szCs w:val="32"/>
          <w:highlight w:val="none"/>
        </w:rPr>
        <w:t>__万元，其中：一级项目__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__个，二级项目__</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__个；使用本年拨款___</w:t>
      </w:r>
      <w:r>
        <w:rPr>
          <w:rFonts w:hint="eastAsia" w:ascii="仿宋_GB2312" w:hAnsi="仿宋_GB2312" w:cs="仿宋_GB2312"/>
          <w:szCs w:val="32"/>
          <w:highlight w:val="none"/>
          <w:lang w:val="en-US" w:eastAsia="zh-CN"/>
        </w:rPr>
        <w:t>86.59</w:t>
      </w:r>
      <w:r>
        <w:rPr>
          <w:rFonts w:hint="eastAsia" w:ascii="仿宋_GB2312" w:hAnsi="仿宋_GB2312" w:eastAsia="仿宋_GB2312" w:cs="仿宋_GB2312"/>
          <w:szCs w:val="32"/>
          <w:highlight w:val="none"/>
        </w:rPr>
        <w:t>_万元，财政拨款结转__</w:t>
      </w:r>
      <w:r>
        <w:rPr>
          <w:rFonts w:hint="eastAsia" w:ascii="仿宋_GB2312" w:hAnsi="仿宋_GB2312" w:cs="仿宋_GB2312"/>
          <w:szCs w:val="32"/>
          <w:highlight w:val="none"/>
          <w:lang w:val="en-US" w:eastAsia="zh-CN"/>
        </w:rPr>
        <w:t>61.25</w:t>
      </w:r>
      <w:r>
        <w:rPr>
          <w:rFonts w:hint="eastAsia" w:ascii="仿宋_GB2312" w:hAnsi="仿宋_GB2312" w:eastAsia="仿宋_GB2312" w:cs="仿宋_GB2312"/>
          <w:szCs w:val="32"/>
          <w:highlight w:val="none"/>
        </w:rPr>
        <w:t>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1</w:t>
      </w:r>
      <w:r>
        <w:rPr>
          <w:rFonts w:hint="eastAsia" w:ascii="仿宋_GB2312" w:hAnsi="仿宋_GB2312" w:eastAsia="仿宋_GB2312" w:cs="仿宋_GB2312"/>
          <w:szCs w:val="32"/>
        </w:rPr>
        <w:t>__</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86.59</w:t>
      </w:r>
      <w:r>
        <w:rPr>
          <w:rFonts w:hint="eastAsia" w:ascii="仿宋_GB2312" w:hAnsi="仿宋_GB2312" w:eastAsia="仿宋_GB2312" w:cs="仿宋_GB2312"/>
          <w:szCs w:val="32"/>
        </w:rPr>
        <w:t>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jgzMzI1MWMzNTI4MWFlNGYwMjhiZDg4NmI4YzU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567BC2"/>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EE81248"/>
    <w:rsid w:val="1F351A10"/>
    <w:rsid w:val="1FED47E9"/>
    <w:rsid w:val="206816AC"/>
    <w:rsid w:val="222B0DCE"/>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816D94"/>
    <w:rsid w:val="29C45F24"/>
    <w:rsid w:val="29FE0485"/>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7857740"/>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8139A5"/>
    <w:rsid w:val="3DF23324"/>
    <w:rsid w:val="3E576D8F"/>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042FD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73BEB"/>
    <w:rsid w:val="5D5A7C63"/>
    <w:rsid w:val="5E256F6F"/>
    <w:rsid w:val="5F6235A9"/>
    <w:rsid w:val="5FE02547"/>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1B0FFB"/>
    <w:rsid w:val="6CF120A8"/>
    <w:rsid w:val="714213DD"/>
    <w:rsid w:val="717F272E"/>
    <w:rsid w:val="728027C6"/>
    <w:rsid w:val="72814B08"/>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43</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烟雨</cp:lastModifiedBy>
  <cp:lastPrinted>2024-01-25T03:20:00Z</cp:lastPrinted>
  <dcterms:modified xsi:type="dcterms:W3CDTF">2024-01-26T06:39:51Z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E3B504F074154AECA6F76409806C8484_13</vt:lpwstr>
  </property>
</Properties>
</file>