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rPr>
        <w:t>通榆县重点项目服务中心</w:t>
      </w:r>
    </w:p>
    <w:p>
      <w:pPr>
        <w:jc w:val="center"/>
        <w:rPr>
          <w:rFonts w:eastAsia="方正小标宋简体"/>
          <w:sz w:val="44"/>
          <w:szCs w:val="44"/>
        </w:rPr>
      </w:pPr>
      <w:r>
        <w:rPr>
          <w:rFonts w:hint="eastAsia" w:eastAsia="方正小标宋简体"/>
          <w:sz w:val="44"/>
          <w:szCs w:val="44"/>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ind w:firstLine="640" w:firstLineChars="200"/>
        <w:rPr>
          <w:rFonts w:eastAsia="楷体_GB2312"/>
        </w:rPr>
      </w:pPr>
      <w:r>
        <w:rPr>
          <w:rFonts w:hint="eastAsia" w:eastAsia="楷体_GB2312"/>
        </w:rPr>
        <w:t>(一)负责拟订区域内重点项目建设规划和制定年度计划，并组织实施；</w:t>
      </w:r>
    </w:p>
    <w:p>
      <w:pPr>
        <w:pStyle w:val="51"/>
        <w:ind w:firstLine="640" w:firstLineChars="200"/>
        <w:rPr>
          <w:rFonts w:eastAsia="楷体_GB2312"/>
        </w:rPr>
      </w:pPr>
      <w:r>
        <w:rPr>
          <w:rFonts w:hint="eastAsia" w:eastAsia="楷体_GB2312"/>
        </w:rPr>
        <w:t>(二)负责区域内重点项目信息的规划、收集、整理、汇总，建立项目储备库，适时完成项目储备库的维护、更新工作：</w:t>
      </w:r>
    </w:p>
    <w:p>
      <w:pPr>
        <w:pStyle w:val="51"/>
        <w:ind w:firstLine="640" w:firstLineChars="200"/>
        <w:rPr>
          <w:rFonts w:eastAsia="楷体_GB2312"/>
        </w:rPr>
      </w:pPr>
      <w:r>
        <w:rPr>
          <w:rFonts w:hint="eastAsia" w:eastAsia="楷体_GB2312"/>
        </w:rPr>
        <w:t>(三）负责全县工业项目规划、呈报、审批、检查、验收。</w:t>
      </w:r>
    </w:p>
    <w:p>
      <w:pPr>
        <w:pStyle w:val="51"/>
        <w:ind w:firstLine="640" w:firstLineChars="200"/>
        <w:rPr>
          <w:rFonts w:eastAsia="楷体_GB2312"/>
        </w:rPr>
      </w:pPr>
      <w:r>
        <w:rPr>
          <w:rFonts w:hint="eastAsia" w:eastAsia="楷体_GB2312"/>
        </w:rPr>
        <w:t>（四）协调组织重点建设项目的可行性研究，指导重点项目的评估、论证、策划、包装、推介和管理；</w:t>
      </w:r>
    </w:p>
    <w:p>
      <w:pPr>
        <w:pStyle w:val="51"/>
        <w:ind w:firstLine="640" w:firstLineChars="200"/>
        <w:rPr>
          <w:rFonts w:eastAsia="楷体_GB2312"/>
        </w:rPr>
      </w:pPr>
      <w:r>
        <w:rPr>
          <w:rFonts w:hint="eastAsia" w:eastAsia="楷体_GB2312"/>
        </w:rPr>
        <w:t>(五)负责重点项目信息编发工作，向社会各界发布项目信息：</w:t>
      </w:r>
    </w:p>
    <w:p>
      <w:pPr>
        <w:pStyle w:val="51"/>
        <w:ind w:firstLine="640" w:firstLineChars="200"/>
        <w:rPr>
          <w:rFonts w:eastAsia="楷体_GB2312"/>
        </w:rPr>
      </w:pPr>
      <w:r>
        <w:rPr>
          <w:rFonts w:hint="eastAsia" w:eastAsia="楷体_GB2312"/>
        </w:rPr>
        <w:t>(六)加强重点项目服务管理，及时掌握项目建设情况，协调相关部门解决项目建设过程中遇到的注册、登记、立项、规划、土地供给等方面存在的问题，负责组织和管理重点项目的稽查工作、对建设项目的内容、质量等情况予以监督及时纠正在建项目在内容、质量、资金运作方面存在的问题，定期通报和报告项目工作情况;</w:t>
      </w:r>
    </w:p>
    <w:p>
      <w:pPr>
        <w:pStyle w:val="51"/>
        <w:ind w:firstLine="640" w:firstLineChars="200"/>
        <w:rPr>
          <w:rFonts w:eastAsia="楷体_GB2312"/>
        </w:rPr>
      </w:pPr>
      <w:r>
        <w:rPr>
          <w:rFonts w:hint="eastAsia" w:eastAsia="楷体_GB2312"/>
        </w:rPr>
        <w:t>（七）建立重点项目调度、协调和监督管理制度，并负责组织实施；</w:t>
      </w:r>
    </w:p>
    <w:p>
      <w:pPr>
        <w:pStyle w:val="51"/>
        <w:ind w:firstLine="640" w:firstLineChars="200"/>
        <w:rPr>
          <w:rFonts w:eastAsia="楷体_GB2312"/>
        </w:rPr>
      </w:pPr>
      <w:r>
        <w:rPr>
          <w:rFonts w:hint="eastAsia" w:eastAsia="楷体_GB2312"/>
        </w:rPr>
        <w:t>（八）加强重点项目调研工作，总结发现项目工作中存在的问题，提出解决问题的意见和建议，为区域发展规划提供决策依据;</w:t>
      </w:r>
    </w:p>
    <w:p>
      <w:pPr>
        <w:ind w:firstLine="640" w:firstLineChars="200"/>
        <w:rPr>
          <w:rFonts w:eastAsia="楷体_GB2312"/>
        </w:rPr>
      </w:pPr>
      <w:r>
        <w:rPr>
          <w:rFonts w:hint="eastAsia" w:eastAsia="楷体_GB2312"/>
        </w:rPr>
        <w:t>（九）完成领导交办的其它工作</w:t>
      </w:r>
    </w:p>
    <w:p>
      <w:pPr>
        <w:ind w:firstLine="640" w:firstLineChars="200"/>
      </w:pPr>
      <w:r>
        <w:rPr>
          <w:rFonts w:eastAsia="楷体_GB2312"/>
        </w:rPr>
        <w:t>二、机构设置</w:t>
      </w:r>
    </w:p>
    <w:p>
      <w:pPr>
        <w:pStyle w:val="51"/>
        <w:ind w:firstLine="640" w:firstLineChars="200"/>
        <w:rPr>
          <w:rFonts w:eastAsia="楷体"/>
        </w:rPr>
      </w:pPr>
      <w:r>
        <w:rPr>
          <w:rFonts w:hint="eastAsia" w:eastAsia="楷体_GB2312"/>
        </w:rPr>
        <w:t>根据职责任务，核定事业编制11人，特殊人员引进1人，本年度实有在职人员12人。</w:t>
      </w: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112.50</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112.50</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151.91</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20.72</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20.72</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12.06</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12.06</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6.63</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6.63</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rPr>
              <w:t>151.91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151.91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706"/>
        <w:gridCol w:w="851"/>
        <w:gridCol w:w="850"/>
        <w:gridCol w:w="851"/>
        <w:gridCol w:w="283"/>
        <w:gridCol w:w="284"/>
        <w:gridCol w:w="425"/>
        <w:gridCol w:w="284"/>
        <w:gridCol w:w="283"/>
        <w:gridCol w:w="284"/>
        <w:gridCol w:w="283"/>
        <w:gridCol w:w="284"/>
        <w:gridCol w:w="54"/>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tcPr>
          <w:p>
            <w:pPr>
              <w:autoSpaceDN w:val="0"/>
              <w:jc w:val="left"/>
              <w:textAlignment w:val="center"/>
              <w:rPr>
                <w:rFonts w:eastAsia="华文细黑"/>
                <w:color w:val="000000"/>
                <w:sz w:val="20"/>
              </w:rPr>
            </w:pPr>
          </w:p>
        </w:tc>
        <w:tc>
          <w:tcPr>
            <w:tcW w:w="4534" w:type="dxa"/>
            <w:gridSpan w:val="8"/>
            <w:tcBorders>
              <w:bottom w:val="single" w:color="000000" w:sz="4" w:space="0"/>
            </w:tcBorders>
            <w:vAlign w:val="center"/>
          </w:tcPr>
          <w:p>
            <w:pPr>
              <w:autoSpaceDN w:val="0"/>
              <w:jc w:val="left"/>
              <w:textAlignment w:val="center"/>
              <w:rPr>
                <w:rFonts w:eastAsia="华文细黑"/>
                <w:color w:val="000000"/>
                <w:sz w:val="20"/>
              </w:rPr>
            </w:pPr>
          </w:p>
        </w:tc>
        <w:tc>
          <w:tcPr>
            <w:tcW w:w="850" w:type="dxa"/>
            <w:gridSpan w:val="3"/>
            <w:vAlign w:val="center"/>
          </w:tcPr>
          <w:p>
            <w:pPr>
              <w:autoSpaceDN w:val="0"/>
              <w:jc w:val="left"/>
              <w:textAlignment w:val="center"/>
              <w:rPr>
                <w:rFonts w:eastAsia="华文细黑"/>
                <w:color w:val="000000"/>
                <w:sz w:val="20"/>
              </w:rPr>
            </w:pPr>
          </w:p>
        </w:tc>
        <w:tc>
          <w:tcPr>
            <w:tcW w:w="338"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134"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851"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111"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832"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851"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4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134" w:type="dxa"/>
            <w:gridSpan w:val="2"/>
            <w:tcBorders>
              <w:left w:val="single" w:color="000000" w:sz="4" w:space="0"/>
              <w:right w:val="single" w:color="000000" w:sz="4" w:space="0"/>
            </w:tcBorders>
            <w:vAlign w:val="center"/>
          </w:tcPr>
          <w:p>
            <w:pPr>
              <w:widowControl/>
              <w:jc w:val="left"/>
              <w:rPr>
                <w:rFonts w:eastAsia="宋体"/>
                <w:color w:val="000000"/>
                <w:sz w:val="20"/>
              </w:rPr>
            </w:pPr>
            <w:r>
              <w:rPr>
                <w:rFonts w:hint="eastAsia" w:eastAsia="宋体"/>
                <w:color w:val="000000"/>
                <w:sz w:val="20"/>
              </w:rPr>
              <w:t>通榆县重点项目服务中心</w:t>
            </w:r>
          </w:p>
        </w:tc>
        <w:tc>
          <w:tcPr>
            <w:tcW w:w="85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151.91</w:t>
            </w:r>
          </w:p>
        </w:tc>
        <w:tc>
          <w:tcPr>
            <w:tcW w:w="85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151.91</w:t>
            </w:r>
          </w:p>
        </w:tc>
        <w:tc>
          <w:tcPr>
            <w:tcW w:w="85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151.91</w:t>
            </w:r>
          </w:p>
        </w:tc>
        <w:tc>
          <w:tcPr>
            <w:tcW w:w="283"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5"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24"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151.91</w:t>
            </w: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151.91</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151.91</w:t>
            </w: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112.50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112.50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发展与改革事务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112.50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112.50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112.50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112.50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二、社会保障和就业支出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20.72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20.72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20.72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20.72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center"/>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16.09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16.09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3.93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3.93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0</w:t>
                  </w:r>
                  <w:r>
                    <w:rPr>
                      <w:rFonts w:eastAsia="宋体"/>
                      <w:color w:val="000000"/>
                      <w:kern w:val="0"/>
                      <w:sz w:val="20"/>
                    </w:rPr>
                    <w:t>.70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0</w:t>
                  </w:r>
                  <w:r>
                    <w:rPr>
                      <w:rFonts w:eastAsia="宋体"/>
                      <w:color w:val="000000"/>
                      <w:kern w:val="0"/>
                      <w:sz w:val="20"/>
                    </w:rPr>
                    <w:t>.70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6.63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6.63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6.63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6.63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事业行政单位医疗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6.43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6.43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 xml:space="preserve">　 </w:t>
                  </w:r>
                  <w:r>
                    <w:rPr>
                      <w:rFonts w:eastAsia="宋体"/>
                      <w:color w:val="000000"/>
                      <w:kern w:val="0"/>
                      <w:sz w:val="20"/>
                    </w:rPr>
                    <w:t xml:space="preserve"> </w:t>
                  </w: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0.20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0.20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12.06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12.06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12.06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12.06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12.06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12.06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151.91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151.91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31"/>
              <w:gridCol w:w="545"/>
              <w:gridCol w:w="1721"/>
              <w:gridCol w:w="864"/>
              <w:gridCol w:w="839"/>
              <w:gridCol w:w="649"/>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83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545"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3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545"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151.91</w:t>
                  </w: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151.91</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112.50</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rPr>
                      <w:rFonts w:eastAsia="宋体"/>
                      <w:kern w:val="0"/>
                      <w:sz w:val="20"/>
                    </w:rPr>
                  </w:pPr>
                  <w:r>
                    <w:rPr>
                      <w:rFonts w:hint="eastAsia" w:eastAsia="宋体"/>
                      <w:kern w:val="0"/>
                      <w:sz w:val="20"/>
                    </w:rPr>
                    <w:t>112.50</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151.91</w:t>
                  </w: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rPr>
                    <w:t>151.91</w:t>
                  </w: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20.72</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r>
                    <w:rPr>
                      <w:rFonts w:hint="eastAsia" w:eastAsia="宋体"/>
                      <w:kern w:val="0"/>
                      <w:sz w:val="20"/>
                    </w:rPr>
                    <w:t>20.72</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6.63</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r>
                    <w:rPr>
                      <w:rFonts w:hint="eastAsia" w:eastAsia="宋体"/>
                      <w:kern w:val="0"/>
                      <w:sz w:val="20"/>
                    </w:rPr>
                    <w:t>6.63</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12.06</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12.06</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151.91</w:t>
                  </w: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rPr>
                    <w:t>151.91</w:t>
                  </w: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151.91</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151.91</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39"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649"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宋体"/>
                      <w:kern w:val="0"/>
                      <w:sz w:val="20"/>
                    </w:rPr>
                    <w:t>151.91</w:t>
                  </w:r>
                  <w:r>
                    <w:rPr>
                      <w:rFonts w:eastAsia="黑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宋体"/>
                      <w:kern w:val="0"/>
                      <w:sz w:val="20"/>
                    </w:rPr>
                    <w:t>151.91</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151.91</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151.91</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方正小标宋简体"/>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center"/>
                    <w:rPr>
                      <w:rFonts w:eastAsia="华文细黑"/>
                      <w:color w:val="000000"/>
                      <w:kern w:val="0"/>
                      <w:sz w:val="36"/>
                      <w:szCs w:val="36"/>
                    </w:rPr>
                  </w:pP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188.42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10.56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发展与改革事务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188.42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10.56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188.42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10.56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16.09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ind w:firstLine="400" w:firstLineChars="200"/>
                    <w:rPr>
                      <w:rFonts w:ascii="Arial" w:hAnsi="Arial" w:cs="Arial"/>
                      <w:sz w:val="20"/>
                    </w:rPr>
                  </w:pPr>
                  <w:r>
                    <w:rPr>
                      <w:rFonts w:hint="eastAsia" w:ascii="Arial" w:hAnsi="Arial" w:cs="Arial"/>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cs="Arial"/>
                      <w:sz w:val="20"/>
                    </w:rPr>
                  </w:pPr>
                  <w:r>
                    <w:rPr>
                      <w:rFonts w:hint="eastAsia" w:ascii="Arial" w:hAnsi="Arial" w:cs="Arial"/>
                      <w:sz w:val="20"/>
                    </w:rPr>
                    <w:t xml:space="preserve">　 </w:t>
                  </w:r>
                  <w:r>
                    <w:rPr>
                      <w:rFonts w:ascii="Arial" w:hAnsi="Arial" w:cs="Arial"/>
                      <w:sz w:val="20"/>
                    </w:rPr>
                    <w:t xml:space="preserve"> </w:t>
                  </w:r>
                  <w:r>
                    <w:rPr>
                      <w:rFonts w:hint="eastAsia" w:ascii="Arial" w:hAnsi="Arial" w:cs="Arial"/>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xml:space="preserve">　 </w:t>
                  </w:r>
                  <w:r>
                    <w:rPr>
                      <w:rFonts w:cs="Arial" w:asciiTheme="majorEastAsia" w:hAnsiTheme="majorEastAsia" w:eastAsiaTheme="majorEastAsia"/>
                      <w:sz w:val="20"/>
                    </w:rPr>
                    <w:t xml:space="preserve"> </w:t>
                  </w:r>
                  <w:r>
                    <w:rPr>
                      <w:rFonts w:hint="eastAsia" w:cs="Arial" w:asciiTheme="majorEastAsia" w:hAnsiTheme="majorEastAsia" w:eastAsiaTheme="majorEastAsia"/>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hint="eastAsia" w:ascii="微软雅黑" w:hAnsi="微软雅黑" w:eastAsia="微软雅黑" w:cs="微软雅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rPr>
                    <w:t>151.91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b/>
                      <w:color w:val="000000"/>
                      <w:kern w:val="0"/>
                      <w:sz w:val="20"/>
                    </w:rPr>
                  </w:pPr>
                  <w:r>
                    <w:rPr>
                      <w:rFonts w:eastAsia="宋体"/>
                      <w:kern w:val="0"/>
                      <w:sz w:val="20"/>
                    </w:rPr>
                    <w:t>151.91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kern w:val="0"/>
                      <w:sz w:val="20"/>
                    </w:rPr>
                    <w:t>141.35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10.56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9039" w:type="dxa"/>
        <w:jc w:val="center"/>
        <w:tblLayout w:type="fixed"/>
        <w:tblCellMar>
          <w:top w:w="0" w:type="dxa"/>
          <w:left w:w="108" w:type="dxa"/>
          <w:bottom w:w="0" w:type="dxa"/>
          <w:right w:w="108" w:type="dxa"/>
        </w:tblCellMar>
      </w:tblPr>
      <w:tblGrid>
        <w:gridCol w:w="108"/>
        <w:gridCol w:w="3068"/>
        <w:gridCol w:w="108"/>
        <w:gridCol w:w="2112"/>
        <w:gridCol w:w="108"/>
        <w:gridCol w:w="1596"/>
        <w:gridCol w:w="1831"/>
        <w:gridCol w:w="108"/>
      </w:tblGrid>
      <w:tr>
        <w:tblPrEx>
          <w:tblCellMar>
            <w:top w:w="0" w:type="dxa"/>
            <w:left w:w="108" w:type="dxa"/>
            <w:bottom w:w="0" w:type="dxa"/>
            <w:right w:w="108" w:type="dxa"/>
          </w:tblCellMar>
        </w:tblPrEx>
        <w:trPr>
          <w:gridBefore w:val="1"/>
          <w:wBefore w:w="108" w:type="dxa"/>
          <w:trHeight w:val="615" w:hRule="atLeast"/>
          <w:jc w:val="center"/>
        </w:trPr>
        <w:tc>
          <w:tcPr>
            <w:tcW w:w="8931" w:type="dxa"/>
            <w:gridSpan w:val="7"/>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gridAfter w:val="1"/>
          <w:wAfter w:w="108" w:type="dxa"/>
          <w:trHeight w:val="812" w:hRule="atLeast"/>
          <w:jc w:val="center"/>
        </w:trPr>
        <w:tc>
          <w:tcPr>
            <w:tcW w:w="3176"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gridAfter w:val="1"/>
          <w:wAfter w:w="108" w:type="dxa"/>
          <w:trHeight w:val="489"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一、工资福利支出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sz w:val="20"/>
              </w:rPr>
              <w:t>141.35</w:t>
            </w:r>
          </w:p>
          <w:p>
            <w:pPr>
              <w:jc w:val="center"/>
              <w:rPr>
                <w:sz w:val="20"/>
              </w:rPr>
            </w:pP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sz w:val="20"/>
              </w:rPr>
              <w:t>141.35</w:t>
            </w:r>
          </w:p>
          <w:p>
            <w:pPr>
              <w:jc w:val="center"/>
              <w:rPr>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基本工资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5</w:t>
            </w:r>
            <w:r>
              <w:rPr>
                <w:sz w:val="20"/>
              </w:rPr>
              <w:t>3.82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5</w:t>
            </w:r>
            <w:r>
              <w:rPr>
                <w:sz w:val="20"/>
              </w:rPr>
              <w:t>3.82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16"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津贴补贴</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.75</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.75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奖金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1.27</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1.27</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ind w:firstLine="200" w:firstLineChars="100"/>
              <w:rPr>
                <w:rFonts w:ascii="Arial" w:hAnsi="Arial" w:cs="Arial"/>
                <w:sz w:val="20"/>
              </w:rPr>
            </w:pPr>
            <w:r>
              <w:rPr>
                <w:rFonts w:hint="eastAsia" w:ascii="Arial" w:hAnsi="Arial" w:cs="Arial"/>
                <w:sz w:val="20"/>
              </w:rPr>
              <w:t>绩效工资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1.69</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1.69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机关事业单位基本养老保险缴费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6.09</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6.09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职业年金缴费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.93</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.93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职工基本医疗保险缴费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6</w:t>
            </w:r>
            <w:r>
              <w:rPr>
                <w:sz w:val="20"/>
              </w:rPr>
              <w:t>.43</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6</w:t>
            </w:r>
            <w:r>
              <w:rPr>
                <w:sz w:val="20"/>
              </w:rPr>
              <w:t>.43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其他社会保障缴费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.90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.90</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住房公积金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2.06</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2.06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其他工资福利支出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.41</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.41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二、商品和服务支出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sz w:val="20"/>
              </w:rPr>
              <w:t>5.06</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sz w:val="20"/>
              </w:rPr>
              <w:t>5.06</w:t>
            </w:r>
          </w:p>
        </w:tc>
      </w:tr>
      <w:tr>
        <w:tblPrEx>
          <w:tblCellMar>
            <w:top w:w="0" w:type="dxa"/>
            <w:left w:w="108" w:type="dxa"/>
            <w:bottom w:w="0" w:type="dxa"/>
            <w:right w:w="108" w:type="dxa"/>
          </w:tblCellMar>
        </w:tblPrEx>
        <w:trPr>
          <w:gridAfter w:val="1"/>
          <w:wAfter w:w="108" w:type="dxa"/>
          <w:trHeight w:val="41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办公费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.76</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3</w:t>
            </w:r>
            <w:r>
              <w:rPr>
                <w:sz w:val="20"/>
              </w:rPr>
              <w:t>.76</w:t>
            </w:r>
          </w:p>
        </w:tc>
      </w:tr>
      <w:tr>
        <w:tblPrEx>
          <w:tblCellMar>
            <w:top w:w="0" w:type="dxa"/>
            <w:left w:w="108" w:type="dxa"/>
            <w:bottom w:w="0" w:type="dxa"/>
            <w:right w:w="108" w:type="dxa"/>
          </w:tblCellMar>
        </w:tblPrEx>
        <w:trPr>
          <w:gridAfter w:val="1"/>
          <w:wAfter w:w="108" w:type="dxa"/>
          <w:trHeight w:val="426"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手续费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.10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0</w:t>
            </w:r>
            <w:r>
              <w:rPr>
                <w:sz w:val="20"/>
              </w:rPr>
              <w:t>.10</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差旅费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.20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0"/>
              </w:rPr>
            </w:pPr>
            <w:r>
              <w:rPr>
                <w:rFonts w:hint="eastAsia"/>
                <w:sz w:val="20"/>
              </w:rPr>
              <w:t>1</w:t>
            </w:r>
            <w:r>
              <w:rPr>
                <w:sz w:val="20"/>
              </w:rPr>
              <w:t>.20</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eastAsia="宋体" w:cs="Arial"/>
                <w:kern w:val="0"/>
                <w:sz w:val="20"/>
              </w:rPr>
            </w:pPr>
            <w:r>
              <w:rPr>
                <w:rFonts w:hint="eastAsia" w:cs="Arial"/>
                <w:sz w:val="20"/>
              </w:rPr>
              <w:t>三、资本性支出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hint="eastAsia" w:eastAsia="宋体"/>
                <w:sz w:val="20"/>
              </w:rPr>
              <w:t>5</w:t>
            </w:r>
            <w:r>
              <w:rPr>
                <w:rFonts w:eastAsia="宋体"/>
                <w:sz w:val="20"/>
              </w:rPr>
              <w:t>.50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hint="eastAsia" w:eastAsia="宋体"/>
                <w:sz w:val="20"/>
              </w:rPr>
              <w:t>5</w:t>
            </w:r>
            <w:r>
              <w:rPr>
                <w:rFonts w:eastAsia="宋体"/>
                <w:sz w:val="20"/>
              </w:rPr>
              <w:t>.50</w:t>
            </w:r>
          </w:p>
        </w:tc>
      </w:tr>
      <w:tr>
        <w:tblPrEx>
          <w:tblCellMar>
            <w:top w:w="0" w:type="dxa"/>
            <w:left w:w="108" w:type="dxa"/>
            <w:bottom w:w="0" w:type="dxa"/>
            <w:right w:w="108" w:type="dxa"/>
          </w:tblCellMar>
        </w:tblPrEx>
        <w:trPr>
          <w:gridAfter w:val="1"/>
          <w:wAfter w:w="108" w:type="dxa"/>
          <w:trHeight w:val="331" w:hRule="atLeast"/>
          <w:jc w:val="center"/>
        </w:trPr>
        <w:tc>
          <w:tcPr>
            <w:tcW w:w="3176" w:type="dxa"/>
            <w:gridSpan w:val="2"/>
            <w:tcBorders>
              <w:top w:val="nil"/>
              <w:left w:val="single" w:color="000000" w:sz="4" w:space="0"/>
              <w:bottom w:val="single" w:color="000000" w:sz="4" w:space="0"/>
              <w:right w:val="single" w:color="000000" w:sz="4" w:space="0"/>
            </w:tcBorders>
            <w:shd w:val="clear" w:color="auto" w:fill="auto"/>
            <w:vAlign w:val="center"/>
          </w:tcPr>
          <w:p>
            <w:pPr>
              <w:rPr>
                <w:rFonts w:ascii="Arial" w:hAnsi="Arial" w:cs="Arial"/>
                <w:sz w:val="20"/>
              </w:rPr>
            </w:pPr>
            <w:r>
              <w:rPr>
                <w:rFonts w:ascii="Arial" w:hAnsi="Arial" w:cs="Arial"/>
                <w:sz w:val="20"/>
              </w:rPr>
              <w:t>　办公设备购置</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hint="eastAsia" w:eastAsia="宋体"/>
                <w:sz w:val="20"/>
              </w:rPr>
              <w:t>5</w:t>
            </w:r>
            <w:r>
              <w:rPr>
                <w:rFonts w:eastAsia="宋体"/>
                <w:sz w:val="20"/>
              </w:rPr>
              <w:t>.50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hint="eastAsia" w:eastAsia="宋体"/>
                <w:sz w:val="20"/>
              </w:rPr>
              <w:t>5</w:t>
            </w:r>
            <w:r>
              <w:rPr>
                <w:rFonts w:eastAsia="宋体"/>
                <w:sz w:val="20"/>
              </w:rPr>
              <w:t>.50</w:t>
            </w:r>
          </w:p>
        </w:tc>
      </w:tr>
      <w:tr>
        <w:tblPrEx>
          <w:tblCellMar>
            <w:top w:w="0" w:type="dxa"/>
            <w:left w:w="108" w:type="dxa"/>
            <w:bottom w:w="0" w:type="dxa"/>
            <w:right w:w="108" w:type="dxa"/>
          </w:tblCellMar>
        </w:tblPrEx>
        <w:trPr>
          <w:gridBefore w:val="1"/>
          <w:wBefore w:w="108" w:type="dxa"/>
          <w:trHeight w:val="70" w:hRule="atLeast"/>
          <w:jc w:val="center"/>
        </w:trPr>
        <w:tc>
          <w:tcPr>
            <w:tcW w:w="3176" w:type="dxa"/>
            <w:gridSpan w:val="2"/>
            <w:tcBorders>
              <w:top w:val="nil"/>
              <w:left w:val="nil"/>
              <w:bottom w:val="nil"/>
              <w:right w:val="nil"/>
            </w:tcBorders>
            <w:vAlign w:val="center"/>
          </w:tcPr>
          <w:p>
            <w:pPr>
              <w:widowControl/>
              <w:jc w:val="center"/>
              <w:rPr>
                <w:rFonts w:eastAsia="宋体"/>
                <w:kern w:val="0"/>
                <w:sz w:val="20"/>
              </w:rPr>
            </w:pPr>
          </w:p>
        </w:tc>
        <w:tc>
          <w:tcPr>
            <w:tcW w:w="2220" w:type="dxa"/>
            <w:gridSpan w:val="2"/>
            <w:tcBorders>
              <w:top w:val="nil"/>
              <w:left w:val="nil"/>
              <w:bottom w:val="nil"/>
              <w:right w:val="nil"/>
            </w:tcBorders>
            <w:vAlign w:val="center"/>
          </w:tcPr>
          <w:p>
            <w:pPr>
              <w:widowControl/>
              <w:jc w:val="center"/>
              <w:rPr>
                <w:rFonts w:eastAsia="宋体"/>
                <w:kern w:val="0"/>
                <w:sz w:val="20"/>
              </w:rPr>
            </w:pPr>
          </w:p>
        </w:tc>
        <w:tc>
          <w:tcPr>
            <w:tcW w:w="3535" w:type="dxa"/>
            <w:gridSpan w:val="3"/>
            <w:tcBorders>
              <w:top w:val="nil"/>
              <w:left w:val="nil"/>
              <w:bottom w:val="nil"/>
              <w:right w:val="nil"/>
            </w:tcBorders>
            <w:vAlign w:val="center"/>
          </w:tcPr>
          <w:p>
            <w:pPr>
              <w:widowControl/>
              <w:jc w:val="center"/>
              <w:rPr>
                <w:rFonts w:eastAsia="华文细黑"/>
                <w:kern w:val="0"/>
                <w:sz w:val="20"/>
              </w:rPr>
            </w:pP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1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12 </w:t>
            </w:r>
            <w:r>
              <w:rPr>
                <w:color w:val="000000"/>
                <w:kern w:val="0"/>
                <w:sz w:val="28"/>
                <w:szCs w:val="28"/>
              </w:rPr>
              <w:t>人，其中：在职人员</w:t>
            </w:r>
            <w:r>
              <w:rPr>
                <w:rFonts w:eastAsia="宋体"/>
                <w:color w:val="000000"/>
                <w:kern w:val="0"/>
                <w:sz w:val="28"/>
                <w:szCs w:val="28"/>
                <w:u w:val="single"/>
              </w:rPr>
              <w:t xml:space="preserve"> 12 </w:t>
            </w:r>
            <w:r>
              <w:rPr>
                <w:color w:val="000000"/>
                <w:kern w:val="0"/>
                <w:sz w:val="28"/>
                <w:szCs w:val="28"/>
              </w:rPr>
              <w:t>人，离退休人员</w:t>
            </w:r>
            <w:r>
              <w:rPr>
                <w:rFonts w:eastAsia="宋体"/>
                <w:color w:val="000000"/>
                <w:kern w:val="0"/>
                <w:sz w:val="28"/>
                <w:szCs w:val="28"/>
                <w:u w:val="single"/>
              </w:rPr>
              <w:t xml:space="preserve"> 0 </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02"/>
        <w:gridCol w:w="708"/>
        <w:gridCol w:w="295"/>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602"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524"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602"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52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602" w:type="dxa"/>
            <w:vMerge w:val="continue"/>
            <w:vAlign w:val="center"/>
          </w:tcPr>
          <w:p>
            <w:pPr>
              <w:autoSpaceDN w:val="0"/>
              <w:jc w:val="center"/>
              <w:textAlignment w:val="center"/>
              <w:rPr>
                <w:rFonts w:ascii="Calibri" w:hAnsi="Calibri" w:eastAsia="华文细黑"/>
                <w:color w:val="000000"/>
                <w:sz w:val="20"/>
                <w:szCs w:val="22"/>
              </w:rPr>
            </w:pPr>
          </w:p>
        </w:tc>
        <w:tc>
          <w:tcPr>
            <w:tcW w:w="70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295"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exact"/>
          <w:jc w:val="center"/>
        </w:trPr>
        <w:tc>
          <w:tcPr>
            <w:tcW w:w="759" w:type="dxa"/>
            <w:vAlign w:val="center"/>
          </w:tcPr>
          <w:p>
            <w:pPr>
              <w:spacing w:line="240" w:lineRule="atLeast"/>
              <w:jc w:val="left"/>
              <w:rPr>
                <w:rFonts w:ascii="Calibri" w:hAnsi="Calibri" w:eastAsia="楷体"/>
                <w:kern w:val="0"/>
                <w:sz w:val="20"/>
              </w:rPr>
            </w:pPr>
          </w:p>
        </w:tc>
        <w:tc>
          <w:tcPr>
            <w:tcW w:w="1063" w:type="dxa"/>
            <w:vAlign w:val="center"/>
          </w:tcPr>
          <w:p>
            <w:pPr>
              <w:spacing w:line="240" w:lineRule="atLeast"/>
              <w:jc w:val="center"/>
              <w:rPr>
                <w:rFonts w:ascii="Calibri" w:hAnsi="Calibri" w:eastAsia="楷体"/>
                <w:kern w:val="0"/>
                <w:sz w:val="20"/>
              </w:rPr>
            </w:pPr>
          </w:p>
        </w:tc>
        <w:tc>
          <w:tcPr>
            <w:tcW w:w="1107" w:type="dxa"/>
            <w:vAlign w:val="center"/>
          </w:tcPr>
          <w:p>
            <w:pPr>
              <w:spacing w:line="240" w:lineRule="atLeast"/>
              <w:jc w:val="center"/>
              <w:rPr>
                <w:rFonts w:ascii="Calibri" w:hAnsi="Calibri" w:eastAsia="楷体"/>
                <w:kern w:val="0"/>
                <w:sz w:val="20"/>
              </w:rPr>
            </w:pPr>
          </w:p>
        </w:tc>
        <w:tc>
          <w:tcPr>
            <w:tcW w:w="864" w:type="dxa"/>
            <w:vAlign w:val="center"/>
          </w:tcPr>
          <w:p>
            <w:pPr>
              <w:spacing w:line="240" w:lineRule="atLeast"/>
              <w:jc w:val="center"/>
              <w:rPr>
                <w:rFonts w:ascii="Calibri" w:hAnsi="Calibri" w:eastAsia="楷体"/>
                <w:kern w:val="0"/>
                <w:sz w:val="20"/>
              </w:rPr>
            </w:pPr>
          </w:p>
        </w:tc>
        <w:tc>
          <w:tcPr>
            <w:tcW w:w="602" w:type="dxa"/>
            <w:vAlign w:val="center"/>
          </w:tcPr>
          <w:p>
            <w:pPr>
              <w:spacing w:line="240" w:lineRule="atLeast"/>
              <w:jc w:val="center"/>
              <w:rPr>
                <w:rFonts w:ascii="Calibri" w:hAnsi="Calibri" w:eastAsia="楷体"/>
                <w:kern w:val="0"/>
                <w:sz w:val="20"/>
              </w:rPr>
            </w:pPr>
          </w:p>
        </w:tc>
        <w:tc>
          <w:tcPr>
            <w:tcW w:w="708" w:type="dxa"/>
            <w:vAlign w:val="center"/>
          </w:tcPr>
          <w:p>
            <w:pPr>
              <w:spacing w:line="240" w:lineRule="atLeast"/>
              <w:jc w:val="center"/>
              <w:rPr>
                <w:rFonts w:ascii="Calibri" w:hAnsi="Calibri" w:eastAsia="楷体"/>
                <w:kern w:val="0"/>
                <w:sz w:val="20"/>
              </w:rPr>
            </w:pPr>
          </w:p>
        </w:tc>
        <w:tc>
          <w:tcPr>
            <w:tcW w:w="295" w:type="dxa"/>
            <w:vAlign w:val="center"/>
          </w:tcPr>
          <w:p>
            <w:pPr>
              <w:spacing w:line="240" w:lineRule="atLeast"/>
              <w:jc w:val="center"/>
              <w:rPr>
                <w:rFonts w:ascii="Calibri" w:hAnsi="Calibri" w:eastAsia="楷体"/>
                <w:kern w:val="0"/>
                <w:sz w:val="20"/>
              </w:rPr>
            </w:pPr>
          </w:p>
        </w:tc>
        <w:tc>
          <w:tcPr>
            <w:tcW w:w="521" w:type="dxa"/>
            <w:vAlign w:val="center"/>
          </w:tcPr>
          <w:p>
            <w:pPr>
              <w:spacing w:line="240" w:lineRule="atLeast"/>
              <w:jc w:val="center"/>
              <w:rPr>
                <w:rFonts w:ascii="Calibri" w:hAnsi="Calibri" w:eastAsia="楷体"/>
                <w:kern w:val="0"/>
                <w:sz w:val="20"/>
              </w:rPr>
            </w:pPr>
          </w:p>
        </w:tc>
        <w:tc>
          <w:tcPr>
            <w:tcW w:w="564" w:type="dxa"/>
            <w:vAlign w:val="center"/>
          </w:tcPr>
          <w:p>
            <w:pPr>
              <w:spacing w:line="240" w:lineRule="atLeast"/>
              <w:jc w:val="center"/>
              <w:rPr>
                <w:rFonts w:ascii="Calibri" w:hAnsi="Calibri" w:eastAsia="楷体"/>
                <w:kern w:val="0"/>
                <w:sz w:val="20"/>
              </w:rPr>
            </w:pPr>
          </w:p>
        </w:tc>
        <w:tc>
          <w:tcPr>
            <w:tcW w:w="532" w:type="dxa"/>
            <w:vAlign w:val="center"/>
          </w:tcPr>
          <w:p>
            <w:pPr>
              <w:spacing w:line="240" w:lineRule="atLeast"/>
              <w:jc w:val="center"/>
              <w:rPr>
                <w:rFonts w:ascii="Calibri" w:hAnsi="Calibri" w:eastAsia="楷体"/>
                <w:kern w:val="0"/>
                <w:sz w:val="20"/>
              </w:rPr>
            </w:pPr>
          </w:p>
        </w:tc>
        <w:tc>
          <w:tcPr>
            <w:tcW w:w="598" w:type="dxa"/>
            <w:vAlign w:val="center"/>
          </w:tcPr>
          <w:p>
            <w:pPr>
              <w:spacing w:line="240" w:lineRule="atLeast"/>
              <w:jc w:val="center"/>
              <w:rPr>
                <w:rFonts w:ascii="Calibri" w:hAnsi="Calibri" w:eastAsia="楷体"/>
                <w:kern w:val="0"/>
                <w:sz w:val="20"/>
              </w:rPr>
            </w:pPr>
          </w:p>
        </w:tc>
        <w:tc>
          <w:tcPr>
            <w:tcW w:w="443" w:type="dxa"/>
            <w:vAlign w:val="center"/>
          </w:tcPr>
          <w:p>
            <w:pPr>
              <w:spacing w:line="240" w:lineRule="atLeast"/>
              <w:jc w:val="center"/>
              <w:rPr>
                <w:rFonts w:ascii="Calibri" w:hAnsi="Calibri" w:eastAsia="楷体"/>
                <w:kern w:val="0"/>
                <w:sz w:val="20"/>
              </w:rPr>
            </w:pPr>
          </w:p>
        </w:tc>
        <w:tc>
          <w:tcPr>
            <w:tcW w:w="425" w:type="dxa"/>
            <w:vAlign w:val="center"/>
          </w:tcPr>
          <w:p>
            <w:pPr>
              <w:spacing w:line="240" w:lineRule="atLeast"/>
              <w:jc w:val="center"/>
              <w:rPr>
                <w:rFonts w:ascii="Calibri" w:hAnsi="Calibri" w:eastAsia="楷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240" w:lineRule="atLeast"/>
              <w:jc w:val="center"/>
              <w:rPr>
                <w:rFonts w:ascii="Calibri" w:hAnsi="Calibri" w:eastAsia="楷体"/>
                <w:kern w:val="0"/>
                <w:sz w:val="20"/>
              </w:rPr>
            </w:pPr>
          </w:p>
        </w:tc>
        <w:tc>
          <w:tcPr>
            <w:tcW w:w="1063" w:type="dxa"/>
            <w:vAlign w:val="center"/>
          </w:tcPr>
          <w:p>
            <w:pPr>
              <w:spacing w:line="240" w:lineRule="atLeast"/>
              <w:jc w:val="center"/>
              <w:rPr>
                <w:rFonts w:ascii="Calibri" w:hAnsi="Calibri" w:eastAsia="楷体"/>
                <w:kern w:val="0"/>
                <w:szCs w:val="32"/>
              </w:rPr>
            </w:pPr>
          </w:p>
        </w:tc>
        <w:tc>
          <w:tcPr>
            <w:tcW w:w="1107" w:type="dxa"/>
            <w:vAlign w:val="center"/>
          </w:tcPr>
          <w:p>
            <w:pPr>
              <w:spacing w:line="240" w:lineRule="atLeast"/>
              <w:jc w:val="center"/>
              <w:rPr>
                <w:rFonts w:ascii="Calibri" w:hAnsi="Calibri" w:eastAsia="楷体"/>
                <w:kern w:val="0"/>
                <w:szCs w:val="32"/>
              </w:rPr>
            </w:pPr>
          </w:p>
        </w:tc>
        <w:tc>
          <w:tcPr>
            <w:tcW w:w="864" w:type="dxa"/>
            <w:vAlign w:val="center"/>
          </w:tcPr>
          <w:p>
            <w:pPr>
              <w:spacing w:line="240" w:lineRule="atLeast"/>
              <w:jc w:val="center"/>
              <w:rPr>
                <w:rFonts w:ascii="Calibri" w:hAnsi="Calibri" w:eastAsia="楷体"/>
                <w:kern w:val="0"/>
                <w:szCs w:val="32"/>
              </w:rPr>
            </w:pPr>
          </w:p>
        </w:tc>
        <w:tc>
          <w:tcPr>
            <w:tcW w:w="602" w:type="dxa"/>
            <w:vAlign w:val="center"/>
          </w:tcPr>
          <w:p>
            <w:pPr>
              <w:spacing w:line="240" w:lineRule="atLeast"/>
              <w:jc w:val="center"/>
              <w:rPr>
                <w:rFonts w:ascii="Calibri" w:hAnsi="Calibri" w:eastAsia="楷体"/>
                <w:kern w:val="0"/>
                <w:szCs w:val="32"/>
              </w:rPr>
            </w:pPr>
          </w:p>
        </w:tc>
        <w:tc>
          <w:tcPr>
            <w:tcW w:w="708" w:type="dxa"/>
            <w:vAlign w:val="center"/>
          </w:tcPr>
          <w:p>
            <w:pPr>
              <w:spacing w:line="240" w:lineRule="atLeast"/>
              <w:jc w:val="center"/>
              <w:rPr>
                <w:rFonts w:ascii="Calibri" w:hAnsi="Calibri" w:eastAsia="楷体"/>
                <w:kern w:val="0"/>
                <w:szCs w:val="32"/>
              </w:rPr>
            </w:pPr>
          </w:p>
        </w:tc>
        <w:tc>
          <w:tcPr>
            <w:tcW w:w="295" w:type="dxa"/>
            <w:vAlign w:val="center"/>
          </w:tcPr>
          <w:p>
            <w:pPr>
              <w:spacing w:line="240" w:lineRule="atLeast"/>
              <w:jc w:val="center"/>
              <w:rPr>
                <w:rFonts w:ascii="Calibri" w:hAnsi="Calibri" w:eastAsia="楷体"/>
                <w:kern w:val="0"/>
                <w:szCs w:val="32"/>
              </w:rPr>
            </w:pPr>
          </w:p>
        </w:tc>
        <w:tc>
          <w:tcPr>
            <w:tcW w:w="521" w:type="dxa"/>
            <w:vAlign w:val="center"/>
          </w:tcPr>
          <w:p>
            <w:pPr>
              <w:spacing w:line="240" w:lineRule="atLeast"/>
              <w:jc w:val="center"/>
              <w:rPr>
                <w:rFonts w:ascii="Calibri" w:hAnsi="Calibri" w:eastAsia="楷体"/>
                <w:kern w:val="0"/>
                <w:szCs w:val="32"/>
              </w:rPr>
            </w:pPr>
          </w:p>
        </w:tc>
        <w:tc>
          <w:tcPr>
            <w:tcW w:w="564" w:type="dxa"/>
            <w:vAlign w:val="center"/>
          </w:tcPr>
          <w:p>
            <w:pPr>
              <w:spacing w:line="240" w:lineRule="atLeast"/>
              <w:jc w:val="center"/>
              <w:rPr>
                <w:rFonts w:ascii="Calibri" w:hAnsi="Calibri" w:eastAsia="楷体"/>
                <w:kern w:val="0"/>
                <w:szCs w:val="32"/>
              </w:rPr>
            </w:pPr>
          </w:p>
        </w:tc>
        <w:tc>
          <w:tcPr>
            <w:tcW w:w="532" w:type="dxa"/>
            <w:vAlign w:val="center"/>
          </w:tcPr>
          <w:p>
            <w:pPr>
              <w:spacing w:line="240" w:lineRule="atLeast"/>
              <w:jc w:val="center"/>
              <w:rPr>
                <w:rFonts w:ascii="Calibri" w:hAnsi="Calibri" w:eastAsia="楷体"/>
                <w:kern w:val="0"/>
                <w:szCs w:val="32"/>
              </w:rPr>
            </w:pPr>
          </w:p>
        </w:tc>
        <w:tc>
          <w:tcPr>
            <w:tcW w:w="598" w:type="dxa"/>
            <w:vAlign w:val="center"/>
          </w:tcPr>
          <w:p>
            <w:pPr>
              <w:spacing w:line="240" w:lineRule="atLeast"/>
              <w:jc w:val="center"/>
              <w:rPr>
                <w:rFonts w:ascii="Calibri" w:hAnsi="Calibri" w:eastAsia="楷体"/>
                <w:kern w:val="0"/>
                <w:szCs w:val="32"/>
              </w:rPr>
            </w:pPr>
          </w:p>
        </w:tc>
        <w:tc>
          <w:tcPr>
            <w:tcW w:w="443" w:type="dxa"/>
            <w:vAlign w:val="center"/>
          </w:tcPr>
          <w:p>
            <w:pPr>
              <w:spacing w:line="240" w:lineRule="atLeast"/>
              <w:jc w:val="center"/>
              <w:rPr>
                <w:rFonts w:ascii="Calibri" w:hAnsi="Calibri" w:eastAsia="楷体"/>
                <w:kern w:val="0"/>
                <w:szCs w:val="32"/>
              </w:rPr>
            </w:pPr>
          </w:p>
        </w:tc>
        <w:tc>
          <w:tcPr>
            <w:tcW w:w="425" w:type="dxa"/>
            <w:vAlign w:val="center"/>
          </w:tcPr>
          <w:p>
            <w:pPr>
              <w:spacing w:line="240" w:lineRule="atLeas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 w:val="20"/>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vAlign w:val="center"/>
          </w:tcPr>
          <w:p>
            <w:pPr>
              <w:autoSpaceDN w:val="0"/>
              <w:jc w:val="center"/>
              <w:textAlignment w:val="center"/>
              <w:rPr>
                <w:rFonts w:ascii="Calibri" w:hAnsi="Calibri" w:eastAsia="华文细黑"/>
                <w:color w:val="000000"/>
                <w:sz w:val="20"/>
                <w:szCs w:val="2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eastAsia="楷体"/>
          <w:szCs w:val="30"/>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w:t>
      </w:r>
      <w:r>
        <w:rPr>
          <w:rFonts w:ascii="仿宋_GB2312" w:hAnsi="仿宋_GB2312" w:cs="仿宋_GB2312"/>
          <w:szCs w:val="32"/>
          <w:u w:val="single"/>
        </w:rPr>
        <w:t>151.91</w:t>
      </w:r>
      <w:r>
        <w:rPr>
          <w:rFonts w:hint="eastAsia" w:ascii="仿宋_GB2312" w:hAnsi="仿宋_GB2312" w:cs="仿宋_GB2312"/>
          <w:szCs w:val="32"/>
        </w:rPr>
        <w:t>万元，其中：当年预算</w:t>
      </w:r>
      <w:r>
        <w:rPr>
          <w:rFonts w:ascii="仿宋_GB2312" w:hAnsi="仿宋_GB2312" w:cs="仿宋_GB2312"/>
          <w:szCs w:val="32"/>
          <w:u w:val="single"/>
        </w:rPr>
        <w:t>151.91</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万元。2024年当年预算比2023年预算减少</w:t>
      </w:r>
      <w:r>
        <w:rPr>
          <w:rFonts w:ascii="仿宋_GB2312" w:hAnsi="仿宋_GB2312" w:cs="仿宋_GB2312"/>
          <w:szCs w:val="32"/>
          <w:u w:val="single"/>
        </w:rPr>
        <w:t>13.93</w:t>
      </w:r>
      <w:r>
        <w:rPr>
          <w:rFonts w:hint="eastAsia" w:ascii="仿宋_GB2312" w:hAnsi="仿宋_GB2312" w:cs="仿宋_GB2312"/>
          <w:szCs w:val="32"/>
        </w:rPr>
        <w:t>万元，主要原因是</w:t>
      </w:r>
      <w:r>
        <w:rPr>
          <w:rFonts w:hint="eastAsia" w:ascii="仿宋_GB2312" w:hAnsi="仿宋_GB2312" w:cs="仿宋_GB2312"/>
          <w:szCs w:val="32"/>
        </w:rPr>
        <w:softHyphen/>
      </w:r>
      <w:r>
        <w:rPr>
          <w:rFonts w:hint="eastAsia" w:ascii="仿宋_GB2312" w:hAnsi="仿宋_GB2312" w:cs="仿宋_GB2312"/>
          <w:szCs w:val="32"/>
        </w:rPr>
        <w:softHyphen/>
      </w:r>
      <w:r>
        <w:rPr>
          <w:rFonts w:hint="eastAsia" w:ascii="仿宋_GB2312" w:hAnsi="仿宋_GB2312" w:cs="仿宋_GB2312"/>
          <w:szCs w:val="32"/>
        </w:rPr>
        <w:softHyphen/>
      </w:r>
      <w:r>
        <w:rPr>
          <w:rFonts w:hint="eastAsia" w:ascii="仿宋_GB2312" w:hAnsi="仿宋_GB2312" w:cs="仿宋_GB2312"/>
          <w:szCs w:val="32"/>
          <w:u w:val="single"/>
        </w:rPr>
        <w:t>人员经费减少</w:t>
      </w:r>
      <w:r>
        <w:rPr>
          <w:rFonts w:hint="eastAsia" w:ascii="仿宋_GB2312" w:hAnsi="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二、2024年收入预算情况</w:t>
      </w:r>
    </w:p>
    <w:p>
      <w:pPr>
        <w:ind w:firstLine="640" w:firstLineChars="200"/>
        <w:rPr>
          <w:rFonts w:ascii="仿宋_GB2312" w:hAnsi="仿宋_GB2312" w:cs="仿宋_GB2312"/>
          <w:szCs w:val="32"/>
        </w:rPr>
      </w:pPr>
      <w:r>
        <w:rPr>
          <w:rFonts w:hint="eastAsia" w:ascii="仿宋_GB2312" w:hAnsi="仿宋_GB2312" w:cs="仿宋_GB2312"/>
          <w:szCs w:val="32"/>
        </w:rPr>
        <w:t>2024年收入预算</w:t>
      </w:r>
      <w:r>
        <w:rPr>
          <w:rFonts w:ascii="仿宋_GB2312" w:hAnsi="仿宋_GB2312" w:cs="仿宋_GB2312"/>
          <w:szCs w:val="32"/>
          <w:u w:val="single"/>
        </w:rPr>
        <w:t>151.91</w:t>
      </w:r>
      <w:r>
        <w:rPr>
          <w:rFonts w:hint="eastAsia" w:ascii="仿宋_GB2312" w:hAnsi="仿宋_GB2312" w:cs="仿宋_GB2312"/>
          <w:szCs w:val="32"/>
        </w:rPr>
        <w:t>万元，其中：本年收入</w:t>
      </w:r>
      <w:r>
        <w:rPr>
          <w:rFonts w:ascii="仿宋_GB2312" w:hAnsi="仿宋_GB2312" w:cs="仿宋_GB2312"/>
          <w:szCs w:val="32"/>
          <w:u w:val="single"/>
        </w:rPr>
        <w:t>151.91</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%；上年结转</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%。本年收入中，一般公共预算拨款收入</w:t>
      </w:r>
      <w:r>
        <w:rPr>
          <w:rFonts w:ascii="仿宋_GB2312" w:hAnsi="仿宋_GB2312" w:cs="仿宋_GB2312"/>
          <w:szCs w:val="32"/>
          <w:u w:val="single"/>
        </w:rPr>
        <w:t>151.91</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%；上年结转中，一般公共预算拨款结转</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w:t>
      </w:r>
    </w:p>
    <w:p>
      <w:pPr>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hint="eastAsia" w:ascii="黑体" w:hAnsi="黑体" w:eastAsia="黑体" w:cs="黑体"/>
          <w:szCs w:val="32"/>
        </w:rPr>
        <w:t>三、2024年支出预算情况</w:t>
      </w:r>
    </w:p>
    <w:p>
      <w:pPr>
        <w:ind w:firstLine="640" w:firstLineChars="200"/>
        <w:rPr>
          <w:szCs w:val="32"/>
        </w:rPr>
      </w:pPr>
      <w:r>
        <w:rPr>
          <w:rFonts w:hint="eastAsia" w:ascii="仿宋_GB2312" w:hAnsi="仿宋_GB2312" w:cs="仿宋_GB2312"/>
          <w:szCs w:val="32"/>
        </w:rPr>
        <w:t>2024年支出预算</w:t>
      </w:r>
      <w:r>
        <w:rPr>
          <w:rFonts w:ascii="仿宋_GB2312" w:hAnsi="仿宋_GB2312" w:cs="仿宋_GB2312"/>
          <w:szCs w:val="32"/>
          <w:u w:val="single"/>
        </w:rPr>
        <w:t>151.91</w:t>
      </w:r>
      <w:r>
        <w:rPr>
          <w:rFonts w:hint="eastAsia" w:ascii="仿宋_GB2312" w:hAnsi="仿宋_GB2312" w:cs="仿宋_GB2312"/>
          <w:szCs w:val="32"/>
        </w:rPr>
        <w:t>万元，其中：基本支出</w:t>
      </w:r>
      <w:r>
        <w:rPr>
          <w:rFonts w:ascii="仿宋_GB2312" w:hAnsi="仿宋_GB2312" w:cs="仿宋_GB2312"/>
          <w:szCs w:val="32"/>
          <w:u w:val="single"/>
        </w:rPr>
        <w:t>151.91</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%；项目支出</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ascii="黑体" w:hAnsi="黑体" w:eastAsia="黑体" w:cs="黑体"/>
          <w:szCs w:val="32"/>
        </w:rPr>
      </w:pP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w:t>
      </w:r>
      <w:r>
        <w:rPr>
          <w:rFonts w:ascii="仿宋_GB2312" w:hAnsi="仿宋_GB2312" w:cs="仿宋_GB2312"/>
          <w:szCs w:val="32"/>
          <w:u w:val="single"/>
        </w:rPr>
        <w:t>151.91</w:t>
      </w:r>
      <w:r>
        <w:rPr>
          <w:rFonts w:hint="eastAsia" w:ascii="仿宋_GB2312" w:hAnsi="仿宋_GB2312" w:cs="仿宋_GB2312"/>
          <w:szCs w:val="32"/>
        </w:rPr>
        <w:t>万元，其中：本年收入</w:t>
      </w:r>
      <w:r>
        <w:rPr>
          <w:rFonts w:ascii="仿宋_GB2312" w:hAnsi="仿宋_GB2312" w:cs="仿宋_GB2312"/>
          <w:szCs w:val="32"/>
          <w:u w:val="single"/>
        </w:rPr>
        <w:t>151.91</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万元。支出包括：</w:t>
      </w:r>
      <w:r>
        <w:rPr>
          <w:rFonts w:hint="eastAsia" w:ascii="仿宋_GB2312" w:hAnsi="仿宋_GB2312" w:cs="仿宋_GB2312"/>
          <w:kern w:val="0"/>
          <w:szCs w:val="32"/>
        </w:rPr>
        <w:t>一般公共服务支出</w:t>
      </w:r>
      <w:r>
        <w:rPr>
          <w:rFonts w:ascii="仿宋_GB2312" w:hAnsi="仿宋_GB2312" w:cs="仿宋_GB2312"/>
          <w:szCs w:val="32"/>
          <w:u w:val="single"/>
        </w:rPr>
        <w:t>112.50</w:t>
      </w:r>
      <w:r>
        <w:rPr>
          <w:rFonts w:hint="eastAsia" w:ascii="仿宋_GB2312" w:hAnsi="仿宋_GB2312" w:cs="仿宋_GB2312"/>
          <w:szCs w:val="32"/>
        </w:rPr>
        <w:t>万元，</w:t>
      </w:r>
      <w:r>
        <w:rPr>
          <w:rFonts w:hint="eastAsia" w:ascii="仿宋_GB2312" w:hAnsi="仿宋_GB2312" w:cs="仿宋_GB2312"/>
          <w:kern w:val="0"/>
          <w:szCs w:val="32"/>
        </w:rPr>
        <w:t>社会保障和就业支出</w:t>
      </w:r>
      <w:r>
        <w:rPr>
          <w:rFonts w:ascii="仿宋_GB2312" w:hAnsi="仿宋_GB2312" w:cs="仿宋_GB2312"/>
          <w:szCs w:val="32"/>
          <w:u w:val="single"/>
        </w:rPr>
        <w:t>20.72</w:t>
      </w:r>
      <w:r>
        <w:rPr>
          <w:rFonts w:hint="eastAsia" w:ascii="仿宋_GB2312" w:hAnsi="仿宋_GB2312" w:cs="仿宋_GB2312"/>
          <w:szCs w:val="32"/>
        </w:rPr>
        <w:t>万元，</w:t>
      </w:r>
      <w:r>
        <w:rPr>
          <w:rFonts w:hint="eastAsia" w:ascii="仿宋_GB2312" w:hAnsi="仿宋_GB2312" w:cs="仿宋_GB2312"/>
          <w:kern w:val="0"/>
          <w:szCs w:val="32"/>
        </w:rPr>
        <w:t>卫生健康支出</w:t>
      </w:r>
      <w:r>
        <w:rPr>
          <w:rFonts w:ascii="仿宋_GB2312" w:hAnsi="仿宋_GB2312" w:cs="仿宋_GB2312"/>
          <w:szCs w:val="32"/>
          <w:u w:val="single"/>
        </w:rPr>
        <w:t>6.63</w:t>
      </w:r>
      <w:r>
        <w:rPr>
          <w:rFonts w:hint="eastAsia" w:ascii="仿宋_GB2312" w:hAnsi="仿宋_GB2312" w:cs="仿宋_GB2312"/>
          <w:szCs w:val="32"/>
        </w:rPr>
        <w:t>万元，</w:t>
      </w:r>
      <w:r>
        <w:rPr>
          <w:rFonts w:hint="eastAsia" w:ascii="仿宋_GB2312" w:hAnsi="仿宋_GB2312" w:cs="仿宋_GB2312"/>
          <w:kern w:val="0"/>
          <w:szCs w:val="32"/>
        </w:rPr>
        <w:t>住房保障支出</w:t>
      </w:r>
      <w:r>
        <w:rPr>
          <w:rFonts w:ascii="仿宋_GB2312" w:hAnsi="仿宋_GB2312" w:cs="仿宋_GB2312"/>
          <w:szCs w:val="32"/>
          <w:u w:val="single"/>
        </w:rPr>
        <w:t>12.06</w:t>
      </w:r>
      <w:r>
        <w:rPr>
          <w:rFonts w:hint="eastAsia" w:ascii="仿宋_GB2312" w:hAnsi="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40" w:firstLineChars="200"/>
        <w:rPr>
          <w:rFonts w:eastAsia="黑体"/>
          <w:szCs w:val="30"/>
        </w:rPr>
      </w:pPr>
      <w:r>
        <w:rPr>
          <w:rFonts w:hint="eastAsia" w:ascii="黑体" w:hAnsi="黑体" w:eastAsia="黑体" w:cs="黑体"/>
          <w:szCs w:val="30"/>
        </w:rPr>
        <w:t>五、2024年一般公共预算支出情况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2024年一般公共预算拨款</w:t>
      </w:r>
      <w:r>
        <w:rPr>
          <w:rFonts w:ascii="仿宋_GB2312" w:hAnsi="仿宋_GB2312" w:cs="仿宋_GB2312"/>
          <w:szCs w:val="32"/>
          <w:u w:val="single"/>
        </w:rPr>
        <w:t>151.91</w:t>
      </w:r>
      <w:r>
        <w:rPr>
          <w:rFonts w:hint="eastAsia" w:ascii="仿宋_GB2312" w:hAnsi="仿宋_GB2312" w:cs="仿宋_GB2312"/>
          <w:szCs w:val="32"/>
        </w:rPr>
        <w:t>万元，其中：基本支出</w:t>
      </w:r>
      <w:r>
        <w:rPr>
          <w:rFonts w:ascii="仿宋_GB2312" w:hAnsi="仿宋_GB2312" w:cs="仿宋_GB2312"/>
          <w:szCs w:val="32"/>
          <w:u w:val="single"/>
        </w:rPr>
        <w:t>151.91</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%；项目支出</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%。基本支出中，人员经费</w:t>
      </w:r>
      <w:r>
        <w:rPr>
          <w:rFonts w:ascii="仿宋_GB2312" w:hAnsi="仿宋_GB2312" w:cs="仿宋_GB2312"/>
          <w:szCs w:val="32"/>
          <w:u w:val="single"/>
        </w:rPr>
        <w:t>141.35</w:t>
      </w:r>
      <w:r>
        <w:rPr>
          <w:rFonts w:hint="eastAsia" w:ascii="仿宋_GB2312" w:hAnsi="仿宋_GB2312" w:cs="仿宋_GB2312"/>
          <w:szCs w:val="32"/>
        </w:rPr>
        <w:t>万元，占</w:t>
      </w:r>
      <w:r>
        <w:rPr>
          <w:rFonts w:ascii="仿宋_GB2312" w:hAnsi="仿宋_GB2312" w:cs="仿宋_GB2312"/>
          <w:szCs w:val="32"/>
          <w:u w:val="single"/>
        </w:rPr>
        <w:t>93.05</w:t>
      </w:r>
      <w:r>
        <w:rPr>
          <w:rFonts w:hint="eastAsia" w:ascii="仿宋_GB2312" w:hAnsi="仿宋_GB2312" w:cs="仿宋_GB2312"/>
          <w:szCs w:val="32"/>
        </w:rPr>
        <w:t>%；公用经费</w:t>
      </w:r>
      <w:r>
        <w:rPr>
          <w:rFonts w:ascii="仿宋_GB2312" w:hAnsi="仿宋_GB2312" w:cs="仿宋_GB2312"/>
          <w:szCs w:val="32"/>
          <w:u w:val="single"/>
        </w:rPr>
        <w:t>10.56</w:t>
      </w:r>
      <w:r>
        <w:rPr>
          <w:rFonts w:hint="eastAsia" w:ascii="仿宋_GB2312" w:hAnsi="仿宋_GB2312" w:cs="仿宋_GB2312"/>
          <w:szCs w:val="32"/>
        </w:rPr>
        <w:t>万元，占</w:t>
      </w:r>
      <w:r>
        <w:rPr>
          <w:rFonts w:ascii="仿宋_GB2312" w:hAnsi="仿宋_GB2312" w:cs="仿宋_GB2312"/>
          <w:szCs w:val="32"/>
          <w:u w:val="single"/>
        </w:rPr>
        <w:t>6.95</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一般公共服务（类）支出</w:t>
      </w:r>
      <w:r>
        <w:rPr>
          <w:rFonts w:ascii="仿宋_GB2312" w:hAnsi="仿宋_GB2312" w:cs="仿宋_GB2312"/>
          <w:szCs w:val="32"/>
          <w:u w:val="single"/>
        </w:rPr>
        <w:t>112.50</w:t>
      </w:r>
      <w:r>
        <w:rPr>
          <w:rFonts w:hint="eastAsia" w:ascii="仿宋_GB2312" w:hAnsi="仿宋_GB2312" w:cs="仿宋_GB2312"/>
          <w:szCs w:val="32"/>
        </w:rPr>
        <w:t>万元，占</w:t>
      </w:r>
      <w:r>
        <w:rPr>
          <w:rFonts w:ascii="仿宋_GB2312" w:hAnsi="仿宋_GB2312" w:cs="仿宋_GB2312"/>
          <w:szCs w:val="32"/>
          <w:u w:val="single"/>
        </w:rPr>
        <w:t>74.06</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履行单位职责需要发生人员经费及日常公用经费支出</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社会保障和就业（类）支出</w:t>
      </w:r>
      <w:r>
        <w:rPr>
          <w:rFonts w:ascii="仿宋_GB2312" w:hAnsi="仿宋_GB2312" w:cs="仿宋_GB2312"/>
          <w:szCs w:val="32"/>
          <w:u w:val="single"/>
        </w:rPr>
        <w:t>20.72</w:t>
      </w:r>
      <w:r>
        <w:rPr>
          <w:rFonts w:hint="eastAsia" w:ascii="仿宋_GB2312" w:hAnsi="仿宋_GB2312" w:cs="仿宋_GB2312"/>
          <w:szCs w:val="32"/>
        </w:rPr>
        <w:t>万元，占</w:t>
      </w:r>
      <w:r>
        <w:rPr>
          <w:rFonts w:ascii="仿宋_GB2312" w:hAnsi="仿宋_GB2312" w:cs="仿宋_GB2312"/>
          <w:szCs w:val="32"/>
          <w:u w:val="single"/>
        </w:rPr>
        <w:t>13.64</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履行单位职责需要发生人员社会保险缴费支出</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卫生健康支出</w:t>
      </w:r>
      <w:r>
        <w:rPr>
          <w:rFonts w:ascii="仿宋_GB2312" w:hAnsi="仿宋_GB2312" w:cs="仿宋_GB2312"/>
          <w:szCs w:val="32"/>
          <w:u w:val="single"/>
        </w:rPr>
        <w:t>6.63</w:t>
      </w:r>
      <w:r>
        <w:rPr>
          <w:rFonts w:hint="eastAsia" w:ascii="仿宋_GB2312" w:hAnsi="仿宋_GB2312" w:cs="仿宋_GB2312"/>
          <w:szCs w:val="32"/>
        </w:rPr>
        <w:t>万元，占</w:t>
      </w:r>
      <w:r>
        <w:rPr>
          <w:rFonts w:ascii="仿宋_GB2312" w:hAnsi="仿宋_GB2312" w:cs="仿宋_GB2312"/>
          <w:szCs w:val="32"/>
          <w:u w:val="single"/>
        </w:rPr>
        <w:t>4.36</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履行单位职责需要发生的人员医疗保险缴费支出</w:t>
      </w:r>
      <w:r>
        <w:rPr>
          <w:rFonts w:hint="eastAsia" w:ascii="仿宋_GB2312" w:hAnsi="仿宋_GB2312" w:cs="仿宋_GB2312"/>
          <w:szCs w:val="32"/>
        </w:rPr>
        <w:t>_。</w:t>
      </w:r>
    </w:p>
    <w:p>
      <w:pPr>
        <w:spacing w:line="520" w:lineRule="exact"/>
        <w:ind w:firstLine="200"/>
        <w:rPr>
          <w:szCs w:val="32"/>
        </w:rPr>
      </w:pPr>
      <w:r>
        <w:rPr>
          <w:rFonts w:hint="eastAsia" w:ascii="仿宋_GB2312" w:hAnsi="仿宋_GB2312" w:cs="仿宋_GB2312"/>
          <w:szCs w:val="32"/>
        </w:rPr>
        <w:t>住房保障（类）支出</w:t>
      </w:r>
      <w:r>
        <w:rPr>
          <w:rFonts w:ascii="仿宋_GB2312" w:hAnsi="仿宋_GB2312" w:cs="仿宋_GB2312"/>
          <w:szCs w:val="32"/>
          <w:u w:val="single"/>
        </w:rPr>
        <w:t>12.06</w:t>
      </w:r>
      <w:r>
        <w:rPr>
          <w:rFonts w:hint="eastAsia" w:ascii="仿宋_GB2312" w:hAnsi="仿宋_GB2312" w:cs="仿宋_GB2312"/>
          <w:szCs w:val="32"/>
        </w:rPr>
        <w:t>万元，占</w:t>
      </w:r>
      <w:r>
        <w:rPr>
          <w:rFonts w:ascii="仿宋_GB2312" w:hAnsi="仿宋_GB2312" w:cs="仿宋_GB2312"/>
          <w:szCs w:val="32"/>
          <w:u w:val="single"/>
        </w:rPr>
        <w:t>7.94</w:t>
      </w:r>
      <w:r>
        <w:rPr>
          <w:rFonts w:hint="eastAsia" w:ascii="仿宋_GB2312" w:hAnsi="仿宋_GB2312" w:cs="仿宋_GB2312"/>
          <w:szCs w:val="32"/>
        </w:rPr>
        <w:t>%，主要用于_</w:t>
      </w:r>
      <w:r>
        <w:rPr>
          <w:rFonts w:hint="eastAsia" w:ascii="仿宋_GB2312" w:hAnsi="仿宋_GB2312" w:cs="仿宋_GB2312"/>
          <w:szCs w:val="32"/>
          <w:u w:val="single"/>
        </w:rPr>
        <w:t>履行单位职责需要发生人员住房公积金缴费支出</w:t>
      </w:r>
      <w:r>
        <w:rPr>
          <w:rFonts w:hint="eastAsia" w:ascii="仿宋_GB2312" w:hAnsi="仿宋_GB2312" w:cs="仿宋_GB2312"/>
          <w:szCs w:val="32"/>
        </w:rPr>
        <w:t>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w:t>
      </w:r>
      <w:r>
        <w:rPr>
          <w:rFonts w:ascii="仿宋_GB2312" w:hAnsi="仿宋_GB2312" w:cs="仿宋_GB2312"/>
          <w:szCs w:val="32"/>
          <w:u w:val="single"/>
        </w:rPr>
        <w:t>151.91</w:t>
      </w:r>
      <w:r>
        <w:rPr>
          <w:rFonts w:hint="eastAsia" w:ascii="仿宋_GB2312" w:hAnsi="仿宋_GB2312" w:cs="仿宋_GB2312"/>
          <w:szCs w:val="32"/>
        </w:rPr>
        <w:t>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w:t>
      </w:r>
      <w:r>
        <w:rPr>
          <w:rFonts w:hint="eastAsia" w:ascii="仿宋_GB2312" w:hAnsi="仿宋_GB2312" w:cs="仿宋_GB2312"/>
          <w:szCs w:val="32"/>
          <w:u w:val="single"/>
        </w:rPr>
        <w:t>141.35</w:t>
      </w:r>
      <w:r>
        <w:rPr>
          <w:rFonts w:hint="eastAsia" w:ascii="仿宋_GB2312" w:hAnsi="仿宋_GB2312" w:cs="仿宋_GB2312"/>
          <w:szCs w:val="32"/>
        </w:rPr>
        <w:t>万元，主要包括：</w:t>
      </w:r>
      <w:r>
        <w:rPr>
          <w:rFonts w:hint="eastAsia" w:ascii="仿宋_GB2312" w:hAnsi="仿宋_GB2312" w:cs="仿宋_GB2312"/>
          <w:kern w:val="0"/>
          <w:szCs w:val="32"/>
        </w:rPr>
        <w:t>基本工资</w:t>
      </w:r>
      <w:r>
        <w:rPr>
          <w:rFonts w:ascii="仿宋_GB2312" w:hAnsi="仿宋_GB2312" w:cs="仿宋_GB2312"/>
          <w:kern w:val="0"/>
          <w:szCs w:val="32"/>
          <w:u w:val="single"/>
        </w:rPr>
        <w:t>53.82</w:t>
      </w:r>
      <w:r>
        <w:rPr>
          <w:rFonts w:hint="eastAsia" w:ascii="仿宋_GB2312" w:hAnsi="仿宋_GB2312" w:cs="仿宋_GB2312"/>
          <w:kern w:val="0"/>
          <w:szCs w:val="32"/>
        </w:rPr>
        <w:t>万元、津贴补贴</w:t>
      </w:r>
      <w:r>
        <w:rPr>
          <w:rFonts w:ascii="仿宋_GB2312" w:hAnsi="仿宋_GB2312" w:cs="仿宋_GB2312"/>
          <w:kern w:val="0"/>
          <w:szCs w:val="32"/>
          <w:u w:val="single"/>
        </w:rPr>
        <w:t>3.75</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奖金</w:t>
      </w:r>
      <w:r>
        <w:rPr>
          <w:rFonts w:ascii="仿宋_GB2312" w:hAnsi="仿宋_GB2312" w:cs="仿宋_GB2312"/>
          <w:kern w:val="0"/>
          <w:szCs w:val="32"/>
          <w:u w:val="single"/>
        </w:rPr>
        <w:t>11.27</w:t>
      </w:r>
      <w:r>
        <w:rPr>
          <w:rFonts w:hint="eastAsia" w:ascii="仿宋_GB2312" w:hAnsi="仿宋_GB2312" w:cs="仿宋_GB2312"/>
          <w:kern w:val="0"/>
          <w:szCs w:val="32"/>
        </w:rPr>
        <w:t>万元</w:t>
      </w:r>
      <w:r>
        <w:rPr>
          <w:rFonts w:hint="eastAsia" w:ascii="仿宋_GB2312" w:hAnsi="仿宋_GB2312" w:cs="仿宋_GB2312"/>
          <w:szCs w:val="32"/>
        </w:rPr>
        <w:t>、绩效工资</w:t>
      </w:r>
      <w:r>
        <w:rPr>
          <w:rFonts w:hint="eastAsia" w:ascii="仿宋_GB2312" w:hAnsi="仿宋_GB2312" w:cs="仿宋_GB2312"/>
          <w:szCs w:val="32"/>
          <w:u w:val="single"/>
        </w:rPr>
        <w:t>3</w:t>
      </w:r>
      <w:r>
        <w:rPr>
          <w:rFonts w:ascii="仿宋_GB2312" w:hAnsi="仿宋_GB2312" w:cs="仿宋_GB2312"/>
          <w:szCs w:val="32"/>
          <w:u w:val="single"/>
        </w:rPr>
        <w:t>1.69</w:t>
      </w:r>
      <w:r>
        <w:rPr>
          <w:rFonts w:hint="eastAsia" w:ascii="仿宋_GB2312" w:hAnsi="仿宋_GB2312" w:cs="仿宋_GB2312"/>
          <w:szCs w:val="32"/>
        </w:rPr>
        <w:t>万元、</w:t>
      </w:r>
      <w:r>
        <w:rPr>
          <w:rFonts w:hint="eastAsia" w:ascii="仿宋_GB2312" w:hAnsi="仿宋_GB2312" w:cs="仿宋_GB2312"/>
          <w:kern w:val="0"/>
          <w:szCs w:val="32"/>
        </w:rPr>
        <w:t>社会保障缴费</w:t>
      </w:r>
      <w:r>
        <w:rPr>
          <w:rFonts w:ascii="仿宋_GB2312" w:hAnsi="仿宋_GB2312" w:cs="仿宋_GB2312"/>
          <w:kern w:val="0"/>
          <w:szCs w:val="32"/>
          <w:u w:val="single"/>
        </w:rPr>
        <w:t>27.35</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其他工资福利支出</w:t>
      </w:r>
      <w:r>
        <w:rPr>
          <w:rFonts w:ascii="仿宋_GB2312" w:hAnsi="仿宋_GB2312" w:cs="仿宋_GB2312"/>
          <w:kern w:val="0"/>
          <w:szCs w:val="32"/>
          <w:u w:val="single"/>
        </w:rPr>
        <w:t>1.41</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住房公积金</w:t>
      </w:r>
      <w:r>
        <w:rPr>
          <w:rFonts w:hint="eastAsia" w:ascii="仿宋_GB2312" w:hAnsi="仿宋_GB2312" w:cs="仿宋_GB2312"/>
          <w:kern w:val="0"/>
          <w:szCs w:val="32"/>
          <w:u w:val="single"/>
        </w:rPr>
        <w:t>12.06</w:t>
      </w:r>
      <w:r>
        <w:rPr>
          <w:rFonts w:hint="eastAsia" w:ascii="仿宋_GB2312" w:hAnsi="仿宋_GB2312" w:cs="仿宋_GB2312"/>
          <w:kern w:val="0"/>
          <w:szCs w:val="32"/>
        </w:rPr>
        <w:t>万元。</w:t>
      </w:r>
    </w:p>
    <w:p>
      <w:pPr>
        <w:ind w:firstLine="640" w:firstLineChars="200"/>
        <w:rPr>
          <w:szCs w:val="32"/>
        </w:rPr>
      </w:pPr>
      <w:r>
        <w:rPr>
          <w:rFonts w:hint="eastAsia" w:ascii="仿宋_GB2312" w:hAnsi="仿宋_GB2312" w:cs="仿宋_GB2312"/>
          <w:kern w:val="0"/>
          <w:szCs w:val="32"/>
        </w:rPr>
        <w:t>公用经费</w:t>
      </w:r>
      <w:r>
        <w:rPr>
          <w:rFonts w:ascii="仿宋_GB2312" w:hAnsi="仿宋_GB2312" w:cs="仿宋_GB2312"/>
          <w:szCs w:val="32"/>
          <w:u w:val="single"/>
        </w:rPr>
        <w:t>10.56</w:t>
      </w:r>
      <w:r>
        <w:rPr>
          <w:rFonts w:hint="eastAsia" w:ascii="仿宋_GB2312" w:hAnsi="仿宋_GB2312" w:cs="仿宋_GB2312"/>
          <w:szCs w:val="32"/>
        </w:rPr>
        <w:t>万元，主要包括：</w:t>
      </w:r>
      <w:r>
        <w:rPr>
          <w:rFonts w:hint="eastAsia" w:ascii="仿宋_GB2312" w:hAnsi="仿宋_GB2312" w:cs="仿宋_GB2312"/>
          <w:kern w:val="0"/>
          <w:szCs w:val="32"/>
        </w:rPr>
        <w:t>办公费</w:t>
      </w:r>
      <w:r>
        <w:rPr>
          <w:rFonts w:ascii="仿宋_GB2312" w:hAnsi="仿宋_GB2312" w:cs="仿宋_GB2312"/>
          <w:kern w:val="0"/>
          <w:szCs w:val="32"/>
          <w:u w:val="single"/>
        </w:rPr>
        <w:t>3.76</w:t>
      </w:r>
      <w:r>
        <w:rPr>
          <w:rFonts w:hint="eastAsia" w:ascii="仿宋_GB2312" w:hAnsi="仿宋_GB2312" w:cs="仿宋_GB2312"/>
          <w:kern w:val="0"/>
          <w:szCs w:val="32"/>
        </w:rPr>
        <w:t>万元</w:t>
      </w:r>
      <w:r>
        <w:rPr>
          <w:rFonts w:hint="eastAsia" w:ascii="仿宋_GB2312" w:hAnsi="仿宋_GB2312" w:cs="仿宋_GB2312"/>
          <w:szCs w:val="32"/>
        </w:rPr>
        <w:t>、手续</w:t>
      </w:r>
      <w:r>
        <w:rPr>
          <w:rFonts w:hint="eastAsia" w:ascii="仿宋_GB2312" w:hAnsi="仿宋_GB2312" w:cs="仿宋_GB2312"/>
          <w:kern w:val="0"/>
          <w:szCs w:val="32"/>
        </w:rPr>
        <w:t>费</w:t>
      </w:r>
      <w:r>
        <w:rPr>
          <w:rFonts w:hint="eastAsia" w:ascii="仿宋_GB2312" w:hAnsi="仿宋_GB2312" w:cs="仿宋_GB2312"/>
          <w:kern w:val="0"/>
          <w:szCs w:val="32"/>
          <w:u w:val="single"/>
        </w:rPr>
        <w:t>0</w:t>
      </w:r>
      <w:r>
        <w:rPr>
          <w:rFonts w:ascii="仿宋_GB2312" w:hAnsi="仿宋_GB2312" w:cs="仿宋_GB2312"/>
          <w:kern w:val="0"/>
          <w:szCs w:val="32"/>
          <w:u w:val="single"/>
        </w:rPr>
        <w:t>.1</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差旅费</w:t>
      </w:r>
      <w:r>
        <w:rPr>
          <w:rFonts w:ascii="仿宋_GB2312" w:hAnsi="仿宋_GB2312" w:cs="仿宋_GB2312"/>
          <w:kern w:val="0"/>
          <w:szCs w:val="32"/>
          <w:u w:val="single"/>
        </w:rPr>
        <w:t>1.2</w:t>
      </w:r>
      <w:r>
        <w:rPr>
          <w:rFonts w:hint="eastAsia" w:ascii="仿宋_GB2312" w:hAnsi="仿宋_GB2312" w:cs="仿宋_GB2312"/>
          <w:kern w:val="0"/>
          <w:szCs w:val="32"/>
        </w:rPr>
        <w:t>万元</w:t>
      </w:r>
      <w:r>
        <w:rPr>
          <w:rFonts w:hint="eastAsia" w:ascii="仿宋_GB2312" w:hAnsi="仿宋_GB2312" w:cs="仿宋_GB2312"/>
          <w:szCs w:val="32"/>
        </w:rPr>
        <w:t>、办公设备购置</w:t>
      </w:r>
      <w:r>
        <w:rPr>
          <w:rFonts w:ascii="仿宋_GB2312" w:hAnsi="仿宋_GB2312" w:cs="仿宋_GB2312"/>
          <w:kern w:val="0"/>
          <w:szCs w:val="32"/>
          <w:u w:val="single"/>
        </w:rPr>
        <w:t>5.5</w:t>
      </w:r>
      <w:r>
        <w:rPr>
          <w:rFonts w:hint="eastAsia" w:ascii="仿宋_GB2312" w:hAnsi="仿宋_GB2312" w:cs="仿宋_GB2312"/>
          <w:kern w:val="0"/>
          <w:szCs w:val="32"/>
        </w:rPr>
        <w:t>万元。</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七、2024年一般公共预算财政拨款“三公”经费情况</w:t>
      </w:r>
    </w:p>
    <w:p>
      <w:pPr>
        <w:ind w:firstLine="640" w:firstLineChars="200"/>
        <w:rPr>
          <w:rFonts w:ascii="仿宋_GB2312" w:hAnsi="仿宋_GB2312" w:cs="仿宋_GB2312"/>
          <w:szCs w:val="32"/>
        </w:rPr>
      </w:pPr>
      <w:r>
        <w:rPr>
          <w:rFonts w:hint="eastAsia" w:ascii="仿宋_GB2312" w:hAnsi="仿宋_GB2312" w:cs="仿宋_GB2312"/>
          <w:szCs w:val="32"/>
        </w:rPr>
        <w:t>2024年“三公”经费预算数为</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w:t>
      </w:r>
      <w:r>
        <w:rPr>
          <w:rFonts w:ascii="仿宋_GB2312" w:hAnsi="仿宋_GB2312" w:cs="仿宋_GB2312"/>
          <w:szCs w:val="32"/>
        </w:rPr>
        <w:t>3</w:t>
      </w:r>
      <w:r>
        <w:rPr>
          <w:rFonts w:hint="eastAsia" w:ascii="仿宋_GB2312" w:hAnsi="仿宋_GB2312" w:cs="仿宋_GB2312"/>
          <w:szCs w:val="32"/>
        </w:rPr>
        <w:t>年预算数减少</w:t>
      </w:r>
      <w:r>
        <w:rPr>
          <w:rFonts w:ascii="仿宋_GB2312" w:hAnsi="仿宋_GB2312" w:cs="仿宋_GB2312"/>
          <w:szCs w:val="32"/>
          <w:u w:val="single"/>
        </w:rPr>
        <w:t>0</w:t>
      </w:r>
      <w:r>
        <w:rPr>
          <w:rFonts w:hint="eastAsia" w:ascii="仿宋_GB2312" w:hAnsi="仿宋_GB2312" w:cs="仿宋_GB2312"/>
          <w:szCs w:val="32"/>
        </w:rPr>
        <w:t>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万元，主要原因是_______________。</w:t>
      </w:r>
    </w:p>
    <w:p>
      <w:pPr>
        <w:ind w:firstLine="640" w:firstLineChars="200"/>
        <w:rPr>
          <w:rFonts w:ascii="仿宋_GB2312" w:hAnsi="仿宋_GB2312" w:cs="仿宋_GB2312"/>
          <w:szCs w:val="32"/>
        </w:rPr>
      </w:pPr>
      <w:r>
        <w:rPr>
          <w:rFonts w:hint="eastAsia" w:ascii="仿宋_GB2312" w:hAnsi="仿宋_GB2312" w:cs="仿宋_GB2312"/>
          <w:szCs w:val="32"/>
        </w:rPr>
        <w:t>2.公务接待费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5</w:t>
      </w:r>
      <w:r>
        <w:rPr>
          <w:rFonts w:hint="eastAsia" w:ascii="仿宋_GB2312" w:hAnsi="仿宋_GB2312" w:cs="仿宋_GB2312"/>
          <w:szCs w:val="32"/>
        </w:rPr>
        <w:t>万元。2024年当年预算数比2023年预算数减少</w:t>
      </w:r>
      <w:r>
        <w:rPr>
          <w:rFonts w:ascii="仿宋_GB2312" w:hAnsi="仿宋_GB2312" w:cs="仿宋_GB2312"/>
          <w:szCs w:val="32"/>
          <w:u w:val="single"/>
        </w:rPr>
        <w:t>0</w:t>
      </w:r>
      <w:r>
        <w:rPr>
          <w:rFonts w:hint="eastAsia" w:ascii="仿宋_GB2312" w:hAnsi="仿宋_GB2312" w:cs="仿宋_GB2312"/>
          <w:szCs w:val="32"/>
        </w:rPr>
        <w:t>万元，主要原因是</w:t>
      </w:r>
      <w:r>
        <w:rPr>
          <w:rFonts w:hint="eastAsia" w:ascii="仿宋_GB2312" w:hAnsi="仿宋_GB2312" w:cs="仿宋_GB2312"/>
          <w:szCs w:val="32"/>
          <w:u w:val="single"/>
        </w:rPr>
        <w:t xml:space="preserve"> </w:t>
      </w:r>
      <w:r>
        <w:rPr>
          <w:rFonts w:ascii="仿宋_GB2312" w:hAnsi="仿宋_GB2312" w:cs="仿宋_GB2312"/>
          <w:szCs w:val="32"/>
          <w:u w:val="single"/>
        </w:rPr>
        <w:t xml:space="preserve">         </w:t>
      </w:r>
      <w:r>
        <w:rPr>
          <w:rFonts w:hint="eastAsia" w:ascii="仿宋_GB2312" w:hAnsi="仿宋_GB2312" w:cs="仿宋_GB2312"/>
          <w:szCs w:val="32"/>
        </w:rPr>
        <w:t>。</w:t>
      </w:r>
    </w:p>
    <w:p>
      <w:pPr>
        <w:ind w:firstLine="640" w:firstLineChars="200"/>
        <w:rPr>
          <w:rFonts w:ascii="仿宋_GB2312" w:hAnsi="仿宋_GB2312" w:cs="仿宋_GB2312"/>
          <w:szCs w:val="32"/>
        </w:rPr>
      </w:pPr>
      <w:r>
        <w:rPr>
          <w:rFonts w:hint="eastAsia" w:ascii="仿宋_GB2312" w:hAnsi="仿宋_GB2312" w:cs="仿宋_GB2312"/>
          <w:szCs w:val="32"/>
        </w:rPr>
        <w:t>3.公务用车购置及运行费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_万元；上年结转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万元。公务用车运行维护费</w:t>
      </w:r>
      <w:r>
        <w:rPr>
          <w:rFonts w:ascii="仿宋_GB2312" w:hAnsi="仿宋_GB2312" w:cs="仿宋_GB2312"/>
          <w:szCs w:val="32"/>
          <w:u w:val="single"/>
        </w:rPr>
        <w:t>0</w:t>
      </w:r>
      <w:r>
        <w:rPr>
          <w:rFonts w:hint="eastAsia" w:ascii="仿宋_GB2312" w:hAnsi="仿宋_GB2312" w:cs="仿宋_GB2312"/>
          <w:szCs w:val="32"/>
        </w:rPr>
        <w:t>万元，其中：当年预算</w:t>
      </w:r>
      <w:r>
        <w:rPr>
          <w:rFonts w:hint="eastAsia"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万元，主要原因是_____；公务用车购置费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八、2024年政府性基金预算支出情况</w:t>
      </w:r>
    </w:p>
    <w:p>
      <w:pPr>
        <w:ind w:firstLine="640"/>
        <w:rPr>
          <w:szCs w:val="32"/>
        </w:rPr>
      </w:pPr>
      <w:r>
        <w:rPr>
          <w:rFonts w:hint="eastAsia" w:ascii="仿宋_GB2312" w:hAnsi="仿宋_GB2312" w:cs="仿宋_GB2312"/>
          <w:szCs w:val="32"/>
        </w:rPr>
        <w:t>2024年无政府性基金预算支出。</w:t>
      </w:r>
    </w:p>
    <w:p>
      <w:pPr>
        <w:ind w:firstLine="640" w:firstLineChars="200"/>
        <w:rPr>
          <w:rFonts w:ascii="黑体" w:hAnsi="黑体" w:eastAsia="黑体" w:cs="黑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ascii="仿宋_GB2312" w:hAnsi="仿宋_GB2312" w:cs="仿宋_GB2312"/>
          <w:szCs w:val="32"/>
        </w:rPr>
      </w:pPr>
      <w:r>
        <w:rPr>
          <w:rFonts w:hint="eastAsia" w:ascii="仿宋_GB2312" w:hAnsi="仿宋_GB2312" w:cs="仿宋_GB2312"/>
          <w:szCs w:val="32"/>
        </w:rPr>
        <w:t>2024年无国有资本经营预算支出。</w:t>
      </w:r>
    </w:p>
    <w:p>
      <w:pPr>
        <w:ind w:firstLine="640" w:firstLineChars="200"/>
        <w:rPr>
          <w:rFonts w:eastAsia="楷体"/>
          <w:szCs w:val="32"/>
        </w:rPr>
      </w:pPr>
      <w:bookmarkStart w:id="0" w:name="_GoBack"/>
      <w:bookmarkEnd w:id="0"/>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2024年部门本级</w:t>
      </w:r>
      <w:r>
        <w:rPr>
          <w:rFonts w:hint="eastAsia" w:ascii="仿宋_GB2312" w:hAnsi="仿宋_GB2312" w:cs="仿宋_GB2312"/>
          <w:szCs w:val="32"/>
          <w:u w:val="single"/>
        </w:rPr>
        <w:t>1</w:t>
      </w:r>
      <w:r>
        <w:rPr>
          <w:rFonts w:hint="eastAsia" w:ascii="仿宋_GB2312" w:hAnsi="仿宋_GB2312" w:cs="仿宋_GB2312"/>
          <w:szCs w:val="32"/>
        </w:rPr>
        <w:t>家行政单位的机关运行经费财政拨款预算</w:t>
      </w:r>
      <w:r>
        <w:rPr>
          <w:rFonts w:ascii="仿宋_GB2312" w:hAnsi="仿宋_GB2312" w:cs="仿宋_GB2312"/>
          <w:szCs w:val="32"/>
          <w:u w:val="single"/>
        </w:rPr>
        <w:t>0</w:t>
      </w:r>
      <w:r>
        <w:rPr>
          <w:rFonts w:hint="eastAsia" w:ascii="仿宋_GB2312" w:hAnsi="仿宋_GB2312" w:cs="仿宋_GB2312"/>
          <w:szCs w:val="32"/>
        </w:rPr>
        <w:t>万元，比202</w:t>
      </w:r>
      <w:r>
        <w:rPr>
          <w:rFonts w:ascii="仿宋_GB2312" w:hAnsi="仿宋_GB2312" w:cs="仿宋_GB2312"/>
          <w:szCs w:val="32"/>
        </w:rPr>
        <w:t>3</w:t>
      </w:r>
      <w:r>
        <w:rPr>
          <w:rFonts w:hint="eastAsia" w:ascii="仿宋_GB2312" w:hAnsi="仿宋_GB2312" w:cs="仿宋_GB2312"/>
          <w:szCs w:val="32"/>
        </w:rPr>
        <w:t>年预算增加</w:t>
      </w:r>
      <w:r>
        <w:rPr>
          <w:rFonts w:ascii="仿宋_GB2312" w:hAnsi="仿宋_GB2312" w:cs="仿宋_GB2312"/>
          <w:szCs w:val="32"/>
          <w:u w:val="single"/>
        </w:rPr>
        <w:t>0</w:t>
      </w:r>
      <w:r>
        <w:rPr>
          <w:rFonts w:hint="eastAsia" w:ascii="仿宋_GB2312" w:hAnsi="仿宋_GB2312" w:cs="仿宋_GB2312"/>
          <w:szCs w:val="32"/>
        </w:rPr>
        <w:t>万元，增长</w:t>
      </w:r>
      <w:r>
        <w:rPr>
          <w:rFonts w:ascii="仿宋_GB2312" w:hAnsi="仿宋_GB2312" w:cs="仿宋_GB2312"/>
          <w:szCs w:val="32"/>
          <w:u w:val="single"/>
        </w:rPr>
        <w:t>0</w:t>
      </w:r>
      <w:r>
        <w:rPr>
          <w:rFonts w:hint="eastAsia" w:ascii="仿宋_GB2312" w:hAnsi="仿宋_GB2312" w:cs="仿宋_GB2312"/>
          <w:szCs w:val="32"/>
        </w:rPr>
        <w:t>%，主要原因是</w:t>
      </w:r>
      <w:r>
        <w:rPr>
          <w:rFonts w:hint="eastAsia" w:ascii="仿宋_GB2312" w:hAnsi="仿宋_GB2312" w:cs="仿宋_GB2312"/>
          <w:szCs w:val="32"/>
          <w:u w:val="single"/>
        </w:rPr>
        <w:t xml:space="preserve"> </w:t>
      </w:r>
      <w:r>
        <w:rPr>
          <w:rFonts w:ascii="仿宋_GB2312" w:hAnsi="仿宋_GB2312" w:cs="仿宋_GB2312"/>
          <w:szCs w:val="32"/>
          <w:u w:val="single"/>
        </w:rPr>
        <w:t xml:space="preserve">       </w:t>
      </w:r>
      <w:r>
        <w:rPr>
          <w:rFonts w:hint="eastAsia" w:ascii="仿宋_GB2312" w:hAnsi="仿宋_GB2312" w:cs="仿宋_GB2312"/>
          <w:szCs w:val="32"/>
        </w:rPr>
        <w:t>。</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（二）政府采购情况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2024年政府采购预算总额</w:t>
      </w:r>
      <w:r>
        <w:rPr>
          <w:rFonts w:ascii="仿宋_GB2312" w:hAnsi="仿宋_GB2312" w:cs="仿宋_GB2312"/>
          <w:szCs w:val="32"/>
          <w:u w:val="single"/>
        </w:rPr>
        <w:t>0</w:t>
      </w:r>
      <w:r>
        <w:rPr>
          <w:rFonts w:hint="eastAsia" w:ascii="仿宋_GB2312" w:hAnsi="仿宋_GB2312" w:cs="仿宋_GB2312"/>
          <w:szCs w:val="32"/>
        </w:rPr>
        <w:t>万元，其中：政府采购货物预算</w:t>
      </w:r>
      <w:r>
        <w:rPr>
          <w:rFonts w:ascii="仿宋_GB2312" w:hAnsi="仿宋_GB2312" w:cs="仿宋_GB2312"/>
          <w:szCs w:val="32"/>
          <w:u w:val="single"/>
        </w:rPr>
        <w:t>0</w:t>
      </w:r>
      <w:r>
        <w:rPr>
          <w:rFonts w:hint="eastAsia" w:ascii="仿宋_GB2312" w:hAnsi="仿宋_GB2312" w:cs="仿宋_GB2312"/>
          <w:szCs w:val="32"/>
        </w:rPr>
        <w:t>万元、政府采购工程预算</w:t>
      </w:r>
      <w:r>
        <w:rPr>
          <w:rFonts w:ascii="仿宋_GB2312" w:hAnsi="仿宋_GB2312" w:cs="仿宋_GB2312"/>
          <w:szCs w:val="32"/>
          <w:u w:val="single"/>
        </w:rPr>
        <w:t>0</w:t>
      </w:r>
      <w:r>
        <w:rPr>
          <w:rFonts w:hint="eastAsia" w:ascii="仿宋_GB2312" w:hAnsi="仿宋_GB2312" w:cs="仿宋_GB2312"/>
          <w:szCs w:val="32"/>
        </w:rPr>
        <w:t>万元、政府采购服务预算</w:t>
      </w:r>
      <w:r>
        <w:rPr>
          <w:rFonts w:ascii="仿宋_GB2312" w:hAnsi="仿宋_GB2312" w:cs="仿宋_GB2312"/>
          <w:szCs w:val="32"/>
          <w:u w:val="single"/>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截至2023年8月底，部门本级和所属各预算单位共有车辆</w:t>
      </w:r>
      <w:r>
        <w:rPr>
          <w:rFonts w:ascii="仿宋_GB2312" w:hAnsi="仿宋_GB2312" w:cs="仿宋_GB2312"/>
          <w:szCs w:val="32"/>
          <w:u w:val="single"/>
        </w:rPr>
        <w:t>0</w:t>
      </w:r>
      <w:r>
        <w:rPr>
          <w:rFonts w:hint="eastAsia" w:ascii="仿宋_GB2312" w:hAnsi="仿宋_GB2312" w:cs="仿宋_GB2312"/>
          <w:szCs w:val="32"/>
        </w:rPr>
        <w:t>辆，土地</w:t>
      </w:r>
      <w:r>
        <w:rPr>
          <w:rFonts w:ascii="仿宋_GB2312" w:hAnsi="仿宋_GB2312" w:cs="仿宋_GB2312"/>
          <w:szCs w:val="32"/>
          <w:u w:val="single"/>
        </w:rPr>
        <w:t>0</w:t>
      </w:r>
      <w:r>
        <w:rPr>
          <w:rFonts w:hint="eastAsia" w:ascii="仿宋_GB2312" w:hAnsi="仿宋_GB2312" w:cs="仿宋_GB2312"/>
          <w:szCs w:val="32"/>
        </w:rPr>
        <w:t>平方米，房屋</w:t>
      </w:r>
      <w:r>
        <w:rPr>
          <w:rFonts w:ascii="仿宋_GB2312" w:hAnsi="仿宋_GB2312" w:cs="仿宋_GB2312"/>
          <w:szCs w:val="32"/>
          <w:u w:val="single"/>
        </w:rPr>
        <w:t>0</w:t>
      </w:r>
      <w:r>
        <w:rPr>
          <w:rFonts w:hint="eastAsia" w:ascii="仿宋_GB2312" w:hAnsi="仿宋_GB2312" w:cs="仿宋_GB2312"/>
          <w:szCs w:val="32"/>
        </w:rPr>
        <w:t>平方米，单价50万元及以上的通用设备</w:t>
      </w:r>
      <w:r>
        <w:rPr>
          <w:rFonts w:ascii="仿宋_GB2312" w:hAnsi="仿宋_GB2312" w:cs="仿宋_GB2312"/>
          <w:szCs w:val="32"/>
          <w:u w:val="single"/>
        </w:rPr>
        <w:t>0</w:t>
      </w:r>
      <w:r>
        <w:rPr>
          <w:rFonts w:hint="eastAsia" w:ascii="仿宋_GB2312" w:hAnsi="仿宋_GB2312" w:cs="仿宋_GB2312"/>
          <w:szCs w:val="32"/>
        </w:rPr>
        <w:t>台/套，单价100万元及以上的专用设备实有数</w:t>
      </w:r>
      <w:r>
        <w:rPr>
          <w:rFonts w:ascii="仿宋_GB2312" w:hAnsi="仿宋_GB2312" w:cs="仿宋_GB2312"/>
          <w:szCs w:val="32"/>
          <w:u w:val="single"/>
        </w:rPr>
        <w:t>0</w:t>
      </w:r>
      <w:r>
        <w:rPr>
          <w:rFonts w:hint="eastAsia" w:ascii="仿宋_GB2312" w:hAnsi="仿宋_GB2312" w:cs="仿宋_GB2312"/>
          <w:szCs w:val="32"/>
        </w:rPr>
        <w:t>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2024年部门预算安排购置车辆</w:t>
      </w:r>
      <w:r>
        <w:rPr>
          <w:rFonts w:ascii="仿宋_GB2312" w:hAnsi="仿宋_GB2312" w:cs="仿宋_GB2312"/>
          <w:szCs w:val="32"/>
          <w:u w:val="single"/>
        </w:rPr>
        <w:t>0</w:t>
      </w:r>
      <w:r>
        <w:rPr>
          <w:rFonts w:hint="eastAsia" w:ascii="仿宋_GB2312" w:hAnsi="仿宋_GB2312" w:cs="仿宋_GB2312"/>
          <w:szCs w:val="32"/>
        </w:rPr>
        <w:t>辆，安排购置土地</w:t>
      </w:r>
      <w:r>
        <w:rPr>
          <w:rFonts w:ascii="仿宋_GB2312" w:hAnsi="仿宋_GB2312" w:cs="仿宋_GB2312"/>
          <w:szCs w:val="32"/>
          <w:u w:val="single"/>
        </w:rPr>
        <w:t>0</w:t>
      </w:r>
      <w:r>
        <w:rPr>
          <w:rFonts w:hint="eastAsia" w:ascii="仿宋_GB2312" w:hAnsi="仿宋_GB2312" w:cs="仿宋_GB2312"/>
          <w:szCs w:val="32"/>
        </w:rPr>
        <w:t>平方米，安排购置房屋</w:t>
      </w:r>
      <w:r>
        <w:rPr>
          <w:rFonts w:ascii="仿宋_GB2312" w:hAnsi="仿宋_GB2312" w:cs="仿宋_GB2312"/>
          <w:szCs w:val="32"/>
          <w:u w:val="single"/>
        </w:rPr>
        <w:t>0</w:t>
      </w:r>
      <w:r>
        <w:rPr>
          <w:rFonts w:hint="eastAsia" w:ascii="仿宋_GB2312" w:hAnsi="仿宋_GB2312" w:cs="仿宋_GB2312"/>
          <w:szCs w:val="32"/>
        </w:rPr>
        <w:t>平方米，计划新增单价50万元及以上的通用设备</w:t>
      </w:r>
      <w:r>
        <w:rPr>
          <w:rFonts w:ascii="仿宋_GB2312" w:hAnsi="仿宋_GB2312" w:cs="仿宋_GB2312"/>
          <w:szCs w:val="32"/>
          <w:u w:val="single"/>
        </w:rPr>
        <w:t>0</w:t>
      </w:r>
      <w:r>
        <w:rPr>
          <w:rFonts w:hint="eastAsia" w:ascii="仿宋_GB2312" w:hAnsi="仿宋_GB2312" w:cs="仿宋_GB2312"/>
          <w:szCs w:val="32"/>
        </w:rPr>
        <w:t>台/套，计划新增单价100万元及以上的专用设备实有数</w:t>
      </w:r>
      <w:r>
        <w:rPr>
          <w:rFonts w:ascii="仿宋_GB2312" w:hAnsi="仿宋_GB2312" w:cs="仿宋_GB2312"/>
          <w:szCs w:val="32"/>
          <w:u w:val="single"/>
        </w:rPr>
        <w:t>0</w:t>
      </w:r>
      <w:r>
        <w:rPr>
          <w:rFonts w:hint="eastAsia" w:ascii="仿宋_GB2312" w:hAnsi="仿宋_GB2312" w:cs="仿宋_GB2312"/>
          <w:szCs w:val="32"/>
        </w:rPr>
        <w:t>台/套。</w:t>
      </w:r>
    </w:p>
    <w:p>
      <w:pPr>
        <w:numPr>
          <w:ilvl w:val="0"/>
          <w:numId w:val="1"/>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2024年部门项目支出</w:t>
      </w:r>
      <w:r>
        <w:rPr>
          <w:rFonts w:ascii="仿宋_GB2312" w:hAnsi="仿宋_GB2312" w:cs="仿宋_GB2312"/>
          <w:szCs w:val="32"/>
          <w:u w:val="single"/>
        </w:rPr>
        <w:t>0</w:t>
      </w:r>
      <w:r>
        <w:rPr>
          <w:rFonts w:hint="eastAsia" w:ascii="仿宋_GB2312" w:hAnsi="仿宋_GB2312" w:cs="仿宋_GB2312"/>
          <w:szCs w:val="32"/>
        </w:rPr>
        <w:t>万元，其中：一级项目</w:t>
      </w:r>
      <w:r>
        <w:rPr>
          <w:rFonts w:ascii="仿宋_GB2312" w:hAnsi="仿宋_GB2312" w:cs="仿宋_GB2312"/>
          <w:szCs w:val="32"/>
          <w:u w:val="single"/>
        </w:rPr>
        <w:t>0</w:t>
      </w:r>
      <w:r>
        <w:rPr>
          <w:rFonts w:hint="eastAsia" w:ascii="仿宋_GB2312" w:hAnsi="仿宋_GB2312" w:cs="仿宋_GB2312"/>
          <w:szCs w:val="32"/>
        </w:rPr>
        <w:t>个，二级项目</w:t>
      </w:r>
      <w:r>
        <w:rPr>
          <w:rFonts w:ascii="仿宋_GB2312" w:hAnsi="仿宋_GB2312" w:cs="仿宋_GB2312"/>
          <w:szCs w:val="32"/>
          <w:u w:val="single"/>
        </w:rPr>
        <w:t>0</w:t>
      </w:r>
      <w:r>
        <w:rPr>
          <w:rFonts w:hint="eastAsia" w:ascii="仿宋_GB2312" w:hAnsi="仿宋_GB2312" w:cs="仿宋_GB2312"/>
          <w:szCs w:val="32"/>
        </w:rPr>
        <w:t>个；使用本年拨款</w:t>
      </w:r>
      <w:r>
        <w:rPr>
          <w:rFonts w:ascii="仿宋_GB2312" w:hAnsi="仿宋_GB2312" w:cs="仿宋_GB2312"/>
          <w:szCs w:val="32"/>
          <w:u w:val="single"/>
        </w:rPr>
        <w:t>0</w:t>
      </w:r>
      <w:r>
        <w:rPr>
          <w:rFonts w:hint="eastAsia" w:ascii="仿宋_GB2312" w:hAnsi="仿宋_GB2312" w:cs="仿宋_GB2312"/>
          <w:szCs w:val="32"/>
        </w:rPr>
        <w:t>万元，财政拨款结转</w:t>
      </w:r>
      <w:r>
        <w:rPr>
          <w:rFonts w:ascii="仿宋_GB2312" w:hAnsi="仿宋_GB2312" w:cs="仿宋_GB2312"/>
          <w:szCs w:val="32"/>
          <w:u w:val="single"/>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ascii="仿宋_GB2312" w:hAnsi="仿宋_GB2312" w:cs="仿宋_GB2312"/>
          <w:szCs w:val="32"/>
        </w:rPr>
      </w:pPr>
      <w:r>
        <w:rPr>
          <w:rFonts w:hint="eastAsia" w:ascii="仿宋_GB2312" w:hAnsi="仿宋_GB2312" w:cs="仿宋_GB2312"/>
        </w:rPr>
        <w:t>按照全面实施预算绩效管理的要求，结合本部门职能和重点工作，2024年确定</w:t>
      </w:r>
      <w:r>
        <w:rPr>
          <w:rFonts w:ascii="仿宋_GB2312" w:hAnsi="仿宋_GB2312" w:cs="仿宋_GB2312"/>
          <w:szCs w:val="32"/>
          <w:u w:val="single"/>
        </w:rPr>
        <w:t>0</w:t>
      </w:r>
      <w:r>
        <w:rPr>
          <w:rFonts w:hint="eastAsia" w:ascii="仿宋_GB2312" w:hAnsi="仿宋_GB2312" w:cs="仿宋_GB2312"/>
        </w:rPr>
        <w:t>个一级项目支出的绩效目标和指标向社会公开，涉及金额</w:t>
      </w:r>
      <w:r>
        <w:rPr>
          <w:rFonts w:ascii="仿宋_GB2312" w:hAnsi="仿宋_GB2312" w:cs="仿宋_GB2312"/>
          <w:szCs w:val="32"/>
          <w:u w:val="single"/>
        </w:rPr>
        <w:t>0</w:t>
      </w:r>
      <w:r>
        <w:rPr>
          <w:rFonts w:hint="eastAsia" w:ascii="仿宋_GB2312" w:hAnsi="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细黑">
    <w:altName w:val="微软雅黑"/>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20</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156"/>
  <w:drawingGridVerticalSpacing w:val="287"/>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mNmQwNGI3ZjgzMTY2YTE4OTlhMDRhMzliNDdjMzYifQ=="/>
  </w:docVars>
  <w:rsids>
    <w:rsidRoot w:val="48674ED2"/>
    <w:rsid w:val="00080C63"/>
    <w:rsid w:val="0008766F"/>
    <w:rsid w:val="000C6D48"/>
    <w:rsid w:val="000D0667"/>
    <w:rsid w:val="000D7FB8"/>
    <w:rsid w:val="00102492"/>
    <w:rsid w:val="00145456"/>
    <w:rsid w:val="001578B3"/>
    <w:rsid w:val="001F3DDC"/>
    <w:rsid w:val="0021141A"/>
    <w:rsid w:val="002153DA"/>
    <w:rsid w:val="002300BA"/>
    <w:rsid w:val="00292A39"/>
    <w:rsid w:val="002A5441"/>
    <w:rsid w:val="002E7CD8"/>
    <w:rsid w:val="00367BC1"/>
    <w:rsid w:val="00396D8D"/>
    <w:rsid w:val="004072E5"/>
    <w:rsid w:val="00426F96"/>
    <w:rsid w:val="00487479"/>
    <w:rsid w:val="004B5644"/>
    <w:rsid w:val="004E05BB"/>
    <w:rsid w:val="00514321"/>
    <w:rsid w:val="00515F36"/>
    <w:rsid w:val="0053113D"/>
    <w:rsid w:val="00584D1B"/>
    <w:rsid w:val="00586A56"/>
    <w:rsid w:val="00586D15"/>
    <w:rsid w:val="005D5B16"/>
    <w:rsid w:val="005F314F"/>
    <w:rsid w:val="005F4F68"/>
    <w:rsid w:val="00613188"/>
    <w:rsid w:val="00623896"/>
    <w:rsid w:val="006358AE"/>
    <w:rsid w:val="006B3914"/>
    <w:rsid w:val="00757D19"/>
    <w:rsid w:val="00762430"/>
    <w:rsid w:val="007638E0"/>
    <w:rsid w:val="007A086A"/>
    <w:rsid w:val="00812796"/>
    <w:rsid w:val="00825722"/>
    <w:rsid w:val="00841DA8"/>
    <w:rsid w:val="00851A6F"/>
    <w:rsid w:val="00870789"/>
    <w:rsid w:val="0087487B"/>
    <w:rsid w:val="00876AFD"/>
    <w:rsid w:val="00896C22"/>
    <w:rsid w:val="008C034B"/>
    <w:rsid w:val="008C5198"/>
    <w:rsid w:val="008E7880"/>
    <w:rsid w:val="0091631A"/>
    <w:rsid w:val="00932BEF"/>
    <w:rsid w:val="00983A8D"/>
    <w:rsid w:val="009B2F41"/>
    <w:rsid w:val="009C52E6"/>
    <w:rsid w:val="009E093A"/>
    <w:rsid w:val="009E3033"/>
    <w:rsid w:val="00A34894"/>
    <w:rsid w:val="00A73E5D"/>
    <w:rsid w:val="00A822A5"/>
    <w:rsid w:val="00A96058"/>
    <w:rsid w:val="00AD4E96"/>
    <w:rsid w:val="00B05DD3"/>
    <w:rsid w:val="00B06DE4"/>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65154"/>
    <w:rsid w:val="00D71247"/>
    <w:rsid w:val="00D76BBF"/>
    <w:rsid w:val="00DE3472"/>
    <w:rsid w:val="00DF0F79"/>
    <w:rsid w:val="00E00855"/>
    <w:rsid w:val="00E22C47"/>
    <w:rsid w:val="00E56F79"/>
    <w:rsid w:val="00E64963"/>
    <w:rsid w:val="00E67450"/>
    <w:rsid w:val="00E82D48"/>
    <w:rsid w:val="00E87F78"/>
    <w:rsid w:val="00EA0445"/>
    <w:rsid w:val="00EB7105"/>
    <w:rsid w:val="00EC73B7"/>
    <w:rsid w:val="00EE1F67"/>
    <w:rsid w:val="00F220CA"/>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EED3D7F"/>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4">
    <w:name w:val="页脚 New New New New New"/>
    <w:basedOn w:val="1"/>
    <w:qFormat/>
    <w:uiPriority w:val="0"/>
    <w:pPr>
      <w:tabs>
        <w:tab w:val="center" w:pos="4153"/>
        <w:tab w:val="right" w:pos="8306"/>
      </w:tabs>
      <w:snapToGrid w:val="0"/>
      <w:jc w:val="left"/>
    </w:pPr>
    <w:rPr>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sz w:val="18"/>
    </w:rPr>
  </w:style>
  <w:style w:type="paragraph" w:customStyle="1" w:styleId="54">
    <w:name w:val="页脚 New New New New New New New New New"/>
    <w:basedOn w:val="1"/>
    <w:qFormat/>
    <w:uiPriority w:val="0"/>
    <w:pPr>
      <w:tabs>
        <w:tab w:val="center" w:pos="4153"/>
        <w:tab w:val="right" w:pos="8306"/>
      </w:tabs>
      <w:snapToGrid w:val="0"/>
      <w:jc w:val="left"/>
    </w:pPr>
    <w:rPr>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sz w:val="18"/>
    </w:rPr>
  </w:style>
  <w:style w:type="paragraph" w:customStyle="1" w:styleId="60">
    <w:name w:val="页脚 New New New New New New"/>
    <w:basedOn w:val="1"/>
    <w:qFormat/>
    <w:uiPriority w:val="0"/>
    <w:pPr>
      <w:tabs>
        <w:tab w:val="center" w:pos="4153"/>
        <w:tab w:val="right" w:pos="8306"/>
      </w:tabs>
      <w:snapToGrid w:val="0"/>
      <w:jc w:val="left"/>
    </w:pPr>
    <w:rPr>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Template>
  <Pages>30</Pages>
  <Words>6491</Words>
  <Characters>7537</Characters>
  <Lines>69</Lines>
  <Paragraphs>19</Paragraphs>
  <TotalTime>209</TotalTime>
  <ScaleCrop>false</ScaleCrop>
  <LinksUpToDate>false</LinksUpToDate>
  <CharactersWithSpaces>8103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2024-01-24T06:26:00Z</dcterms:created>
  <dc:creator>Administrator</dc:creator>
  <cp:lastModifiedBy>Administrator</cp:lastModifiedBy>
  <cp:lastPrinted>2022-02-21T08:08:00Z</cp:lastPrinted>
  <dcterms:modified xsi:type="dcterms:W3CDTF">2024-01-31T08:22:17Z</dcterms:modified>
  <dc:title>主  持  词</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