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rPr>
        <w:t>通榆县资源综合利用服务中心</w:t>
      </w:r>
    </w:p>
    <w:p>
      <w:pPr>
        <w:jc w:val="center"/>
        <w:rPr>
          <w:rFonts w:eastAsia="方正小标宋简体"/>
          <w:sz w:val="44"/>
          <w:szCs w:val="44"/>
        </w:rPr>
      </w:pPr>
      <w:r>
        <w:rPr>
          <w:rFonts w:hint="eastAsia" w:eastAsia="方正小标宋简体"/>
          <w:sz w:val="44"/>
          <w:szCs w:val="44"/>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pPr>
      <w:r>
        <w:t>五、</w:t>
      </w:r>
      <w:r>
        <w:rPr>
          <w:rFonts w:hint="eastAsia"/>
        </w:rPr>
        <w:t>一般公共预算支出表</w:t>
      </w:r>
    </w:p>
    <w:p>
      <w:pPr>
        <w:ind w:left="320" w:leftChars="100" w:firstLine="320" w:firstLineChars="100"/>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pPr>
      <w:r>
        <w:rPr>
          <w:rFonts w:hint="eastAsia"/>
        </w:rPr>
        <w:t>九、国有资本经营</w:t>
      </w:r>
      <w:r>
        <w:t>预算支出表</w:t>
      </w:r>
    </w:p>
    <w:p>
      <w:pPr>
        <w:ind w:left="320" w:leftChars="100" w:firstLine="320" w:firstLineChars="100"/>
      </w:pPr>
      <w:r>
        <w:rPr>
          <w:rFonts w:hint="eastAsia"/>
        </w:rPr>
        <w:t>十、项目支出表</w:t>
      </w:r>
    </w:p>
    <w:p>
      <w:pPr>
        <w:ind w:left="320" w:leftChars="100" w:firstLine="320" w:firstLineChars="100"/>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800" w:firstLineChars="250"/>
        <w:rPr>
          <w:rFonts w:ascii="仿宋" w:hAnsi="仿宋" w:eastAsia="仿宋" w:cs="仿宋"/>
          <w:szCs w:val="32"/>
        </w:rPr>
      </w:pPr>
      <w:r>
        <w:rPr>
          <w:rFonts w:hint="eastAsia" w:ascii="仿宋" w:hAnsi="仿宋" w:eastAsia="仿宋" w:cs="仿宋"/>
          <w:szCs w:val="32"/>
        </w:rPr>
        <w:t>(一)研究解决全县经济、社会与资源发展的重大问题，推进可持续发展战略；提出资源节约和综合利用的战略、政策及规划，参与编制全县环境保护规划；组织协调环保产业有关工作；承担生态县建设领导小组日常工作。</w:t>
      </w:r>
    </w:p>
    <w:p>
      <w:pPr>
        <w:ind w:firstLine="800" w:firstLineChars="250"/>
        <w:rPr>
          <w:rFonts w:ascii="仿宋" w:hAnsi="仿宋" w:eastAsia="仿宋" w:cs="仿宋"/>
          <w:szCs w:val="32"/>
        </w:rPr>
      </w:pPr>
      <w:r>
        <w:rPr>
          <w:rFonts w:hint="eastAsia" w:ascii="仿宋" w:hAnsi="仿宋" w:eastAsia="仿宋" w:cs="仿宋"/>
          <w:szCs w:val="32"/>
        </w:rPr>
        <w:t>(二）研究拟订全县区域经济发展规划和政策；拟订和协调国土整治、开发、保护的政策及规划，参与编制水资源平衡与节约规划、生态建设和环境整治规划。</w:t>
      </w:r>
    </w:p>
    <w:p>
      <w:pPr>
        <w:ind w:firstLine="800" w:firstLineChars="250"/>
        <w:rPr>
          <w:rFonts w:ascii="仿宋" w:hAnsi="仿宋" w:eastAsia="仿宋" w:cs="仿宋"/>
          <w:szCs w:val="32"/>
        </w:rPr>
      </w:pPr>
      <w:r>
        <w:rPr>
          <w:rFonts w:hint="eastAsia" w:ascii="仿宋" w:hAnsi="仿宋" w:eastAsia="仿宋" w:cs="仿宋"/>
          <w:szCs w:val="32"/>
        </w:rPr>
        <w:t>(三)承担全县固定资产投资项目的节能评估和审查工作。</w:t>
      </w:r>
    </w:p>
    <w:p>
      <w:pPr>
        <w:ind w:firstLine="800" w:firstLineChars="250"/>
        <w:rPr>
          <w:rFonts w:ascii="仿宋" w:hAnsi="仿宋" w:eastAsia="仿宋" w:cs="仿宋"/>
          <w:szCs w:val="32"/>
        </w:rPr>
      </w:pPr>
      <w:r>
        <w:rPr>
          <w:rFonts w:hint="eastAsia" w:ascii="仿宋" w:hAnsi="仿宋" w:eastAsia="仿宋" w:cs="仿宋"/>
          <w:szCs w:val="32"/>
        </w:rPr>
        <w:t>(四)编制生态县建设中，长期规划审批，上报全县生态建设项目年度计划，组织实施生态建设工程项目，项目施工调度与工程检查验收；负责全县生态建设资料统计，整理，归案工作。</w:t>
      </w:r>
    </w:p>
    <w:p>
      <w:pPr>
        <w:ind w:firstLine="640" w:firstLineChars="200"/>
        <w:rPr>
          <w:rFonts w:ascii="仿宋" w:hAnsi="仿宋" w:eastAsia="仿宋" w:cs="仿宋"/>
          <w:szCs w:val="32"/>
        </w:rPr>
      </w:pPr>
      <w:r>
        <w:rPr>
          <w:rFonts w:hint="eastAsia" w:ascii="仿宋" w:hAnsi="仿宋" w:eastAsia="仿宋" w:cs="仿宋"/>
          <w:szCs w:val="32"/>
        </w:rPr>
        <w:t>（五）政府资金和项目管理。</w:t>
      </w:r>
    </w:p>
    <w:p>
      <w:pPr>
        <w:ind w:firstLine="640" w:firstLineChars="200"/>
        <w:rPr>
          <w:rFonts w:eastAsia="楷体_GB2312"/>
        </w:rPr>
      </w:pPr>
      <w:r>
        <w:rPr>
          <w:rFonts w:hint="eastAsia" w:ascii="仿宋" w:hAnsi="仿宋" w:eastAsia="仿宋" w:cs="仿宋"/>
          <w:szCs w:val="32"/>
        </w:rPr>
        <w:t>(六)自然资源保护。</w:t>
      </w:r>
    </w:p>
    <w:p>
      <w:pPr>
        <w:ind w:firstLine="640" w:firstLineChars="200"/>
      </w:pPr>
      <w:r>
        <w:rPr>
          <w:rFonts w:eastAsia="楷体_GB2312"/>
        </w:rPr>
        <w:t>二、机构设置</w:t>
      </w:r>
    </w:p>
    <w:p>
      <w:pPr>
        <w:pStyle w:val="51"/>
        <w:ind w:firstLine="640" w:firstLineChars="200"/>
        <w:rPr>
          <w:rFonts w:eastAsia="楷体"/>
        </w:rPr>
      </w:pPr>
      <w:r>
        <w:rPr>
          <w:rFonts w:hint="eastAsia" w:eastAsia="楷体_GB2312"/>
        </w:rPr>
        <w:t>根据职责任务，核定事业编制人数8人，本年度实有在职人员8人。</w:t>
      </w:r>
    </w:p>
    <w:p>
      <w:pPr>
        <w:pStyle w:val="51"/>
        <w:ind w:firstLine="640" w:firstLineChars="200"/>
        <w:rPr>
          <w:rFonts w:ascii="仿宋_GB2312" w:hAnsi="仿宋_GB2312" w:eastAsia="仿宋_GB2312" w:cs="仿宋_GB2312"/>
        </w:rPr>
      </w:pPr>
      <w:r>
        <w:rPr>
          <w:rFonts w:hint="eastAsia" w:ascii="仿宋_GB2312" w:hAnsi="仿宋_GB2312" w:eastAsia="仿宋_GB2312" w:cs="仿宋_GB2312"/>
        </w:rPr>
        <w:t>。</w:t>
      </w:r>
    </w:p>
    <w:p>
      <w:pPr>
        <w:pStyle w:val="51"/>
        <w:ind w:firstLine="640" w:firstLineChars="200"/>
        <w:rPr>
          <w:rFonts w:hAnsi="楷体" w:eastAsia="楷体"/>
        </w:rPr>
      </w:pPr>
    </w:p>
    <w:p>
      <w:pP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2024年预算数</w:t>
            </w:r>
          </w:p>
        </w:tc>
        <w:tc>
          <w:tcPr>
            <w:tcW w:w="11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103.91</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103.91</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left"/>
              <w:rPr>
                <w:rFonts w:eastAsia="宋体"/>
                <w:bCs/>
                <w:color w:val="000000"/>
                <w:kern w:val="0"/>
                <w:sz w:val="20"/>
              </w:rPr>
            </w:pPr>
            <w:r>
              <w:rPr>
                <w:rFonts w:hint="eastAsia" w:ascii="仿宋_GB2312"/>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77.06</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77.06</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103.91</w:t>
            </w: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kern w:val="0"/>
                <w:sz w:val="20"/>
              </w:rPr>
              <w:t>103.91</w:t>
            </w: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14.11</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14.11</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8.22</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color w:val="000000"/>
                <w:kern w:val="0"/>
                <w:sz w:val="20"/>
              </w:rPr>
              <w:t>8.22</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4.52</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color w:val="000000"/>
                <w:kern w:val="0"/>
                <w:sz w:val="20"/>
              </w:rPr>
              <w:t>4.52</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eastAsia="宋体"/>
                <w:sz w:val="20"/>
              </w:rPr>
            </w:pPr>
          </w:p>
        </w:tc>
        <w:tc>
          <w:tcPr>
            <w:tcW w:w="1073" w:type="dxa"/>
            <w:tcBorders>
              <w:top w:val="nil"/>
              <w:left w:val="nil"/>
              <w:bottom w:val="single" w:color="auto" w:sz="4" w:space="0"/>
              <w:right w:val="single" w:color="auto" w:sz="4" w:space="0"/>
            </w:tcBorders>
            <w:vAlign w:val="center"/>
          </w:tcPr>
          <w:p>
            <w:pPr>
              <w:jc w:val="center"/>
              <w:rPr>
                <w:rFonts w:eastAsia="宋体"/>
                <w:sz w:val="20"/>
              </w:rPr>
            </w:pPr>
          </w:p>
        </w:tc>
        <w:tc>
          <w:tcPr>
            <w:tcW w:w="1200" w:type="dxa"/>
            <w:tcBorders>
              <w:top w:val="nil"/>
              <w:left w:val="single" w:color="auto" w:sz="4" w:space="0"/>
              <w:bottom w:val="single" w:color="auto" w:sz="4" w:space="0"/>
              <w:right w:val="nil"/>
            </w:tcBorders>
            <w:vAlign w:val="center"/>
          </w:tcPr>
          <w:p>
            <w:pPr>
              <w:jc w:val="center"/>
              <w:rPr>
                <w:rFonts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eastAsia="宋体"/>
                <w:bCs/>
                <w:sz w:val="20"/>
              </w:rPr>
            </w:pPr>
            <w:r>
              <w:rPr>
                <w:rFonts w:hint="eastAsia" w:ascii="仿宋_GB2312"/>
                <w:bCs/>
                <w:color w:val="000000"/>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sz w:val="20"/>
              </w:rPr>
            </w:pPr>
          </w:p>
        </w:tc>
        <w:tc>
          <w:tcPr>
            <w:tcW w:w="1158" w:type="dxa"/>
            <w:tcBorders>
              <w:top w:val="nil"/>
              <w:left w:val="nil"/>
              <w:bottom w:val="single" w:color="auto" w:sz="4" w:space="0"/>
              <w:right w:val="single" w:color="auto" w:sz="4" w:space="0"/>
            </w:tcBorders>
            <w:vAlign w:val="center"/>
          </w:tcPr>
          <w:p>
            <w:pPr>
              <w:jc w:val="center"/>
              <w:rPr>
                <w:rFonts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103.91</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103.91</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hint="eastAsia" w:eastAsia="宋体"/>
                <w:kern w:val="0"/>
                <w:sz w:val="20"/>
              </w:rPr>
              <w:t>103.91</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103.91</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rPr>
              <w:t xml:space="preserve">  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103.91</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103.91</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103.91</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103.91</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28" w:type="dxa"/>
        <w:jc w:val="center"/>
        <w:tblLayout w:type="fixed"/>
        <w:tblCellMar>
          <w:top w:w="0" w:type="dxa"/>
          <w:left w:w="108" w:type="dxa"/>
          <w:bottom w:w="0" w:type="dxa"/>
          <w:right w:w="108" w:type="dxa"/>
        </w:tblCellMar>
      </w:tblPr>
      <w:tblGrid>
        <w:gridCol w:w="428"/>
        <w:gridCol w:w="706"/>
        <w:gridCol w:w="851"/>
        <w:gridCol w:w="850"/>
        <w:gridCol w:w="851"/>
        <w:gridCol w:w="283"/>
        <w:gridCol w:w="284"/>
        <w:gridCol w:w="425"/>
        <w:gridCol w:w="284"/>
        <w:gridCol w:w="283"/>
        <w:gridCol w:w="284"/>
        <w:gridCol w:w="283"/>
        <w:gridCol w:w="284"/>
        <w:gridCol w:w="54"/>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tcPr>
          <w:p>
            <w:pPr>
              <w:autoSpaceDN w:val="0"/>
              <w:jc w:val="left"/>
              <w:textAlignment w:val="center"/>
              <w:rPr>
                <w:rFonts w:eastAsia="华文细黑"/>
                <w:color w:val="000000"/>
                <w:sz w:val="20"/>
              </w:rPr>
            </w:pPr>
          </w:p>
        </w:tc>
        <w:tc>
          <w:tcPr>
            <w:tcW w:w="4534" w:type="dxa"/>
            <w:gridSpan w:val="8"/>
            <w:tcBorders>
              <w:bottom w:val="single" w:color="000000" w:sz="4" w:space="0"/>
            </w:tcBorders>
            <w:vAlign w:val="center"/>
          </w:tcPr>
          <w:p>
            <w:pPr>
              <w:autoSpaceDN w:val="0"/>
              <w:jc w:val="left"/>
              <w:textAlignment w:val="center"/>
              <w:rPr>
                <w:rFonts w:eastAsia="华文细黑"/>
                <w:color w:val="000000"/>
                <w:sz w:val="20"/>
              </w:rPr>
            </w:pPr>
          </w:p>
        </w:tc>
        <w:tc>
          <w:tcPr>
            <w:tcW w:w="850" w:type="dxa"/>
            <w:gridSpan w:val="3"/>
            <w:vAlign w:val="center"/>
          </w:tcPr>
          <w:p>
            <w:pPr>
              <w:autoSpaceDN w:val="0"/>
              <w:jc w:val="left"/>
              <w:textAlignment w:val="center"/>
              <w:rPr>
                <w:rFonts w:eastAsia="华文细黑"/>
                <w:color w:val="000000"/>
                <w:sz w:val="20"/>
              </w:rPr>
            </w:pPr>
          </w:p>
        </w:tc>
        <w:tc>
          <w:tcPr>
            <w:tcW w:w="338" w:type="dxa"/>
            <w:gridSpan w:val="2"/>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134"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color w:val="000000"/>
                <w:sz w:val="20"/>
              </w:rPr>
              <w:t>部门       （单位）</w:t>
            </w:r>
          </w:p>
        </w:tc>
        <w:tc>
          <w:tcPr>
            <w:tcW w:w="851"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总计</w:t>
            </w:r>
          </w:p>
        </w:tc>
        <w:tc>
          <w:tcPr>
            <w:tcW w:w="4111"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当年预算</w:t>
            </w:r>
          </w:p>
        </w:tc>
        <w:tc>
          <w:tcPr>
            <w:tcW w:w="2832"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851"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小计</w:t>
            </w: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一般公</w:t>
            </w:r>
          </w:p>
          <w:p>
            <w:pPr>
              <w:autoSpaceDN w:val="0"/>
              <w:jc w:val="center"/>
              <w:rPr>
                <w:rFonts w:eastAsia="宋体"/>
                <w:sz w:val="20"/>
              </w:rPr>
            </w:pPr>
            <w:r>
              <w:rPr>
                <w:rFonts w:hint="eastAsia" w:eastAsia="宋体"/>
                <w:sz w:val="20"/>
              </w:rPr>
              <w:t>共预算</w:t>
            </w: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政府性基</w:t>
            </w:r>
          </w:p>
          <w:p>
            <w:pPr>
              <w:autoSpaceDN w:val="0"/>
              <w:jc w:val="center"/>
              <w:rPr>
                <w:rFonts w:eastAsia="宋体"/>
                <w:sz w:val="20"/>
              </w:rPr>
            </w:pPr>
            <w:r>
              <w:rPr>
                <w:rFonts w:hint="eastAsia" w:eastAsia="宋体"/>
                <w:sz w:val="20"/>
              </w:rPr>
              <w:t>金预算</w:t>
            </w: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国有资本</w:t>
            </w:r>
          </w:p>
          <w:p>
            <w:pPr>
              <w:autoSpaceDN w:val="0"/>
              <w:jc w:val="center"/>
              <w:rPr>
                <w:rFonts w:eastAsia="宋体"/>
                <w:sz w:val="20"/>
              </w:rPr>
            </w:pPr>
            <w:r>
              <w:rPr>
                <w:rFonts w:hint="eastAsia" w:eastAsia="宋体"/>
                <w:sz w:val="20"/>
              </w:rPr>
              <w:t>经营预算</w:t>
            </w:r>
          </w:p>
        </w:tc>
        <w:tc>
          <w:tcPr>
            <w:tcW w:w="425"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财政专户</w:t>
            </w:r>
          </w:p>
          <w:p>
            <w:pPr>
              <w:autoSpaceDN w:val="0"/>
              <w:jc w:val="center"/>
              <w:rPr>
                <w:rFonts w:eastAsia="宋体"/>
                <w:sz w:val="20"/>
              </w:rPr>
            </w:pPr>
            <w:r>
              <w:rPr>
                <w:rFonts w:hint="eastAsia" w:eastAsia="宋体"/>
                <w:sz w:val="20"/>
              </w:rPr>
              <w:t>管理资金</w:t>
            </w: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事业收入</w:t>
            </w: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事业单位</w:t>
            </w:r>
          </w:p>
          <w:p>
            <w:pPr>
              <w:autoSpaceDN w:val="0"/>
              <w:jc w:val="center"/>
              <w:rPr>
                <w:rFonts w:eastAsia="宋体"/>
                <w:sz w:val="20"/>
              </w:rPr>
            </w:pPr>
            <w:r>
              <w:rPr>
                <w:rFonts w:hint="eastAsia" w:eastAsia="宋体"/>
                <w:sz w:val="20"/>
              </w:rPr>
              <w:t>经营收入</w:t>
            </w: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上级</w:t>
            </w:r>
          </w:p>
          <w:p>
            <w:pPr>
              <w:autoSpaceDN w:val="0"/>
              <w:jc w:val="center"/>
              <w:rPr>
                <w:rFonts w:eastAsia="宋体"/>
                <w:sz w:val="20"/>
              </w:rPr>
            </w:pPr>
            <w:r>
              <w:rPr>
                <w:rFonts w:hint="eastAsia" w:eastAsia="宋体"/>
                <w:sz w:val="20"/>
              </w:rPr>
              <w:t>补助</w:t>
            </w:r>
          </w:p>
          <w:p>
            <w:pPr>
              <w:autoSpaceDN w:val="0"/>
              <w:jc w:val="center"/>
              <w:rPr>
                <w:rFonts w:eastAsia="宋体"/>
                <w:sz w:val="20"/>
              </w:rPr>
            </w:pPr>
            <w:r>
              <w:rPr>
                <w:rFonts w:hint="eastAsia" w:eastAsia="宋体"/>
                <w:sz w:val="20"/>
              </w:rPr>
              <w:t>收入</w:t>
            </w: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附属单位</w:t>
            </w:r>
          </w:p>
          <w:p>
            <w:pPr>
              <w:autoSpaceDN w:val="0"/>
              <w:jc w:val="center"/>
              <w:rPr>
                <w:rFonts w:eastAsia="宋体"/>
                <w:sz w:val="20"/>
              </w:rPr>
            </w:pPr>
            <w:r>
              <w:rPr>
                <w:rFonts w:hint="eastAsia" w:eastAsia="宋体"/>
                <w:sz w:val="20"/>
              </w:rPr>
              <w:t>上缴收入</w:t>
            </w: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其他</w:t>
            </w:r>
          </w:p>
          <w:p>
            <w:pPr>
              <w:autoSpaceDN w:val="0"/>
              <w:jc w:val="center"/>
              <w:rPr>
                <w:rFonts w:eastAsia="宋体"/>
                <w:sz w:val="20"/>
              </w:rPr>
            </w:pPr>
            <w:r>
              <w:rPr>
                <w:rFonts w:hint="eastAsia" w:eastAsia="宋体"/>
                <w:sz w:val="20"/>
              </w:rPr>
              <w:t>收入</w:t>
            </w: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eastAsia="宋体"/>
                <w:sz w:val="20"/>
              </w:rPr>
            </w:pPr>
            <w:r>
              <w:rPr>
                <w:rFonts w:hint="eastAsia" w:eastAsia="宋体"/>
                <w:sz w:val="20"/>
              </w:rPr>
              <w:t>用事业基</w:t>
            </w:r>
          </w:p>
          <w:p>
            <w:pPr>
              <w:autoSpaceDN w:val="0"/>
              <w:jc w:val="center"/>
              <w:rPr>
                <w:rFonts w:eastAsia="宋体"/>
                <w:sz w:val="20"/>
              </w:rPr>
            </w:pPr>
            <w:r>
              <w:rPr>
                <w:rFonts w:hint="eastAsia" w:eastAsia="宋体"/>
                <w:sz w:val="20"/>
              </w:rPr>
              <w:t>金弥补收</w:t>
            </w:r>
          </w:p>
          <w:p>
            <w:pPr>
              <w:autoSpaceDN w:val="0"/>
              <w:jc w:val="center"/>
              <w:rPr>
                <w:rFonts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134" w:type="dxa"/>
            <w:gridSpan w:val="2"/>
            <w:tcBorders>
              <w:left w:val="single" w:color="000000" w:sz="4" w:space="0"/>
              <w:right w:val="single" w:color="000000" w:sz="4" w:space="0"/>
            </w:tcBorders>
            <w:vAlign w:val="center"/>
          </w:tcPr>
          <w:p>
            <w:pPr>
              <w:widowControl/>
              <w:jc w:val="left"/>
              <w:rPr>
                <w:rFonts w:eastAsia="宋体"/>
                <w:color w:val="000000"/>
                <w:sz w:val="20"/>
              </w:rPr>
            </w:pPr>
            <w:r>
              <w:rPr>
                <w:rFonts w:hint="eastAsia" w:eastAsia="宋体"/>
                <w:color w:val="000000"/>
                <w:sz w:val="20"/>
              </w:rPr>
              <w:t>通榆县资源综合利用服务中心</w:t>
            </w:r>
          </w:p>
        </w:tc>
        <w:tc>
          <w:tcPr>
            <w:tcW w:w="851"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rPr>
              <w:t>103.91</w:t>
            </w:r>
          </w:p>
        </w:tc>
        <w:tc>
          <w:tcPr>
            <w:tcW w:w="850"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rPr>
              <w:t>103.91</w:t>
            </w:r>
          </w:p>
        </w:tc>
        <w:tc>
          <w:tcPr>
            <w:tcW w:w="851"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rPr>
              <w:t>103.91</w:t>
            </w:r>
          </w:p>
        </w:tc>
        <w:tc>
          <w:tcPr>
            <w:tcW w:w="283"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28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5" w:type="dxa"/>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eastAsia="宋体"/>
                <w:color w:val="000000"/>
                <w:sz w:val="20"/>
              </w:rPr>
            </w:pPr>
          </w:p>
        </w:tc>
        <w:tc>
          <w:tcPr>
            <w:tcW w:w="28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3"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3"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24"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rPr>
              <w:t>103.91</w:t>
            </w: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rPr>
              <w:t>103.91</w:t>
            </w: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rPr>
              <w:t>103.91</w:t>
            </w: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0" w:type="auto"/>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p>
                <w:p>
                  <w:pPr>
                    <w:widowControl/>
                    <w:jc w:val="center"/>
                    <w:rPr>
                      <w:rFonts w:eastAsia="宋体"/>
                      <w:color w:val="000000"/>
                      <w:sz w:val="20"/>
                    </w:rPr>
                  </w:pPr>
                  <w:r>
                    <w:rPr>
                      <w:rFonts w:eastAsia="宋体"/>
                      <w:color w:val="000000"/>
                      <w:sz w:val="20"/>
                    </w:rPr>
                    <w:t>基本</w:t>
                  </w:r>
                </w:p>
                <w:p>
                  <w:pPr>
                    <w:widowControl/>
                    <w:jc w:val="center"/>
                    <w:rPr>
                      <w:rFonts w:eastAsia="宋体"/>
                      <w:color w:val="000000"/>
                      <w:sz w:val="20"/>
                    </w:rPr>
                  </w:pPr>
                  <w:r>
                    <w:rPr>
                      <w:rFonts w:eastAsia="宋体"/>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r>
                    <w:rPr>
                      <w:rFonts w:hint="eastAsia" w:eastAsia="宋体"/>
                      <w:color w:val="000000"/>
                      <w:sz w:val="20"/>
                    </w:rPr>
                    <w:t>事业单位</w:t>
                  </w:r>
                </w:p>
                <w:p>
                  <w:pPr>
                    <w:widowControl/>
                    <w:jc w:val="center"/>
                    <w:rPr>
                      <w:rFonts w:eastAsia="华文细黑"/>
                      <w:color w:val="000000"/>
                      <w:kern w:val="0"/>
                      <w:sz w:val="20"/>
                    </w:rPr>
                  </w:pPr>
                  <w:r>
                    <w:rPr>
                      <w:rFonts w:hint="eastAsia" w:eastAsia="宋体"/>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77.06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77.06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发展与改革事务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77.06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77.06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77.06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77.06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二、社会保障和就业支出</w:t>
                  </w: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14.11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14.11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eastAsia="宋体"/>
                      <w:color w:val="000000"/>
                      <w:kern w:val="0"/>
                      <w:sz w:val="20"/>
                    </w:rPr>
                  </w:pP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14.11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14.11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center"/>
                    <w:rPr>
                      <w:rFonts w:eastAsia="宋体"/>
                      <w:color w:val="000000"/>
                      <w:kern w:val="0"/>
                      <w:sz w:val="20"/>
                    </w:rPr>
                  </w:pP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10.95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10.95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eastAsia="宋体"/>
                      <w:color w:val="000000"/>
                      <w:kern w:val="0"/>
                      <w:sz w:val="20"/>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2.68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2.68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eastAsia="宋体"/>
                      <w:color w:val="000000"/>
                      <w:kern w:val="0"/>
                      <w:sz w:val="20"/>
                    </w:rPr>
                  </w:pPr>
                  <w:r>
                    <w:rPr>
                      <w:rFonts w:hint="eastAsia" w:eastAsia="宋体"/>
                      <w:color w:val="000000"/>
                      <w:kern w:val="0"/>
                      <w:sz w:val="20"/>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0.48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0.48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4.52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4.52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eastAsia="宋体"/>
                      <w:color w:val="000000"/>
                      <w:kern w:val="0"/>
                      <w:sz w:val="20"/>
                    </w:rPr>
                  </w:pPr>
                  <w:r>
                    <w:rPr>
                      <w:rFonts w:hint="eastAsia" w:eastAsia="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4.52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4.52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eastAsia="宋体"/>
                      <w:color w:val="000000"/>
                      <w:kern w:val="0"/>
                      <w:sz w:val="20"/>
                    </w:rPr>
                  </w:pPr>
                  <w:r>
                    <w:rPr>
                      <w:rFonts w:hint="eastAsia" w:eastAsia="宋体"/>
                      <w:color w:val="000000"/>
                      <w:kern w:val="0"/>
                      <w:sz w:val="20"/>
                    </w:rPr>
                    <w:t>事业行政单位医疗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4.38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4.38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 xml:space="preserve">　 </w:t>
                  </w:r>
                  <w:r>
                    <w:rPr>
                      <w:rFonts w:eastAsia="宋体"/>
                      <w:color w:val="000000"/>
                      <w:kern w:val="0"/>
                      <w:sz w:val="20"/>
                    </w:rPr>
                    <w:t xml:space="preserve"> </w:t>
                  </w:r>
                  <w:r>
                    <w:rPr>
                      <w:rFonts w:hint="eastAsia" w:eastAsia="宋体"/>
                      <w:color w:val="000000"/>
                      <w:kern w:val="0"/>
                      <w:sz w:val="20"/>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0.14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0.14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8.22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8.22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cs="Arial" w:asciiTheme="majorEastAsia" w:hAnsiTheme="majorEastAsia" w:eastAsiaTheme="majorEastAsia"/>
                      <w:kern w:val="0"/>
                      <w:sz w:val="20"/>
                    </w:rPr>
                  </w:pPr>
                  <w:r>
                    <w:rPr>
                      <w:rFonts w:hint="eastAsia" w:cs="Arial" w:asciiTheme="majorEastAsia" w:hAnsiTheme="majorEastAsia" w:eastAsiaTheme="majorEastAsia"/>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8.22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8.22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cs="Arial" w:asciiTheme="majorEastAsia" w:hAnsiTheme="majorEastAsia" w:eastAsiaTheme="majorEastAsia"/>
                      <w:kern w:val="0"/>
                      <w:sz w:val="20"/>
                    </w:rPr>
                  </w:pPr>
                  <w:r>
                    <w:rPr>
                      <w:rFonts w:hint="eastAsia" w:cs="Arial" w:asciiTheme="majorEastAsia" w:hAnsiTheme="majorEastAsia" w:eastAsiaTheme="majorEastAsia"/>
                      <w:sz w:val="20"/>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8.22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8.22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103.91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103.91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31"/>
              <w:gridCol w:w="545"/>
              <w:gridCol w:w="1721"/>
              <w:gridCol w:w="864"/>
              <w:gridCol w:w="839"/>
              <w:gridCol w:w="649"/>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831"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545"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14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3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545"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6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  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103.91</w:t>
                  </w: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103.91</w:t>
                  </w: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eastAsia="宋体" w:cs="宋体"/>
                      <w:bCs/>
                      <w:kern w:val="0"/>
                      <w:sz w:val="20"/>
                    </w:rPr>
                  </w:pPr>
                  <w:r>
                    <w:rPr>
                      <w:rFonts w:hint="eastAsia" w:ascii="宋体" w:hAnsi="宋体" w:eastAsia="宋体" w:cs="宋体"/>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77.06</w:t>
                  </w: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rPr>
                      <w:rFonts w:eastAsia="宋体"/>
                      <w:kern w:val="0"/>
                      <w:sz w:val="20"/>
                    </w:rPr>
                  </w:pPr>
                  <w:r>
                    <w:rPr>
                      <w:rFonts w:hint="eastAsia" w:eastAsia="宋体"/>
                      <w:kern w:val="0"/>
                      <w:sz w:val="20"/>
                    </w:rPr>
                    <w:t>77.06</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103.91</w:t>
                  </w: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r>
                    <w:rPr>
                      <w:rFonts w:hint="eastAsia" w:eastAsia="宋体"/>
                      <w:kern w:val="0"/>
                      <w:sz w:val="20"/>
                    </w:rPr>
                    <w:t>103.91</w:t>
                  </w: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14.11</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r>
                    <w:rPr>
                      <w:rFonts w:hint="eastAsia" w:eastAsia="宋体"/>
                      <w:kern w:val="0"/>
                      <w:sz w:val="20"/>
                    </w:rPr>
                    <w:t>14.11</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4.52</w:t>
                  </w: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r>
                    <w:rPr>
                      <w:rFonts w:hint="eastAsia" w:eastAsia="宋体"/>
                      <w:kern w:val="0"/>
                      <w:sz w:val="20"/>
                    </w:rPr>
                    <w:t>4.52</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8.22</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r>
                    <w:rPr>
                      <w:rFonts w:hint="eastAsia" w:eastAsia="宋体"/>
                      <w:kern w:val="0"/>
                      <w:sz w:val="20"/>
                    </w:rPr>
                    <w:t>8.22</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103.91</w:t>
                  </w: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r>
                    <w:rPr>
                      <w:rFonts w:hint="eastAsia" w:eastAsia="宋体"/>
                      <w:kern w:val="0"/>
                      <w:sz w:val="20"/>
                    </w:rPr>
                    <w:t>103.91</w:t>
                  </w: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103.91</w:t>
                  </w: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r>
                    <w:rPr>
                      <w:rFonts w:hint="eastAsia" w:eastAsia="宋体"/>
                      <w:kern w:val="0"/>
                      <w:sz w:val="20"/>
                    </w:rPr>
                    <w:t>103.91</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39"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649"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r>
                    <w:rPr>
                      <w:rFonts w:hint="eastAsia" w:eastAsia="宋体"/>
                      <w:kern w:val="0"/>
                      <w:sz w:val="20"/>
                    </w:rPr>
                    <w:t>103.91</w:t>
                  </w:r>
                  <w:r>
                    <w:rPr>
                      <w:rFonts w:eastAsia="黑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r>
                    <w:rPr>
                      <w:rFonts w:hint="eastAsia" w:eastAsia="宋体"/>
                      <w:kern w:val="0"/>
                      <w:sz w:val="20"/>
                    </w:rPr>
                    <w:t>103.91</w:t>
                  </w: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103.91</w:t>
                  </w: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r>
                    <w:rPr>
                      <w:rFonts w:hint="eastAsia" w:eastAsia="宋体"/>
                      <w:kern w:val="0"/>
                      <w:sz w:val="20"/>
                    </w:rPr>
                    <w:t>103.91</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jc w:val="center"/>
                    <w:rPr>
                      <w:rFonts w:eastAsia="方正小标宋简体"/>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center"/>
                    <w:rPr>
                      <w:rFonts w:eastAsia="华文细黑"/>
                      <w:color w:val="000000"/>
                      <w:kern w:val="0"/>
                      <w:sz w:val="36"/>
                      <w:szCs w:val="36"/>
                    </w:rPr>
                  </w:pP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77.06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77.06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69.38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7.68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发展与改革事务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77.06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77.06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69.38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7.68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77.06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77.06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69.38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7.68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14.11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14.11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14.11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14.11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14.11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14.11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10.95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10.95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10.95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ind w:firstLine="400" w:firstLineChars="200"/>
                    <w:rPr>
                      <w:rFonts w:ascii="Arial" w:hAnsi="Arial" w:cs="Arial"/>
                      <w:sz w:val="20"/>
                    </w:rPr>
                  </w:pPr>
                  <w:r>
                    <w:rPr>
                      <w:rFonts w:hint="eastAsia" w:ascii="Arial" w:hAnsi="Arial" w:cs="Arial"/>
                      <w:sz w:val="20"/>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4.38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4.38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4.38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cs="Arial"/>
                      <w:sz w:val="20"/>
                    </w:rPr>
                  </w:pPr>
                  <w:r>
                    <w:rPr>
                      <w:rFonts w:hint="eastAsia" w:ascii="Arial" w:hAnsi="Arial" w:cs="Arial"/>
                      <w:sz w:val="20"/>
                    </w:rPr>
                    <w:t xml:space="preserve">　 </w:t>
                  </w:r>
                  <w:r>
                    <w:rPr>
                      <w:rFonts w:ascii="Arial" w:hAnsi="Arial" w:cs="Arial"/>
                      <w:sz w:val="20"/>
                    </w:rPr>
                    <w:t xml:space="preserve"> </w:t>
                  </w:r>
                  <w:r>
                    <w:rPr>
                      <w:rFonts w:hint="eastAsia" w:ascii="Arial" w:hAnsi="Arial" w:cs="Arial"/>
                      <w:sz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cs="Arial" w:asciiTheme="majorEastAsia" w:hAnsiTheme="majorEastAsia" w:eastAsiaTheme="majorEastAsia"/>
                      <w:kern w:val="0"/>
                      <w:sz w:val="20"/>
                    </w:rPr>
                  </w:pPr>
                  <w:r>
                    <w:rPr>
                      <w:rFonts w:hint="eastAsia" w:cs="Arial" w:asciiTheme="majorEastAsia" w:hAnsiTheme="majorEastAsia" w:eastAsiaTheme="majorEastAsia"/>
                      <w:sz w:val="20"/>
                    </w:rPr>
                    <w:t xml:space="preserve">　 </w:t>
                  </w:r>
                  <w:r>
                    <w:rPr>
                      <w:rFonts w:cs="Arial" w:asciiTheme="majorEastAsia" w:hAnsiTheme="majorEastAsia" w:eastAsiaTheme="majorEastAsia"/>
                      <w:sz w:val="20"/>
                    </w:rPr>
                    <w:t xml:space="preserve"> </w:t>
                  </w:r>
                  <w:r>
                    <w:rPr>
                      <w:rFonts w:hint="eastAsia" w:cs="Arial" w:asciiTheme="majorEastAsia" w:hAnsiTheme="majorEastAsia" w:eastAsiaTheme="majorEastAsia"/>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cs="Arial" w:asciiTheme="majorEastAsia" w:hAnsiTheme="majorEastAsia" w:eastAsiaTheme="majorEastAsia"/>
                      <w:kern w:val="0"/>
                      <w:sz w:val="20"/>
                    </w:rPr>
                  </w:pPr>
                  <w:r>
                    <w:rPr>
                      <w:rFonts w:hint="eastAsia" w:cs="Arial" w:asciiTheme="majorEastAsia" w:hAnsiTheme="majorEastAsia" w:eastAsiaTheme="majorEastAsia"/>
                      <w:sz w:val="20"/>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hint="eastAsia" w:ascii="微软雅黑" w:hAnsi="微软雅黑" w:eastAsia="微软雅黑" w:cs="微软雅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kern w:val="0"/>
                      <w:sz w:val="20"/>
                    </w:rPr>
                    <w:t>103.91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b/>
                      <w:color w:val="000000"/>
                      <w:kern w:val="0"/>
                      <w:sz w:val="20"/>
                    </w:rPr>
                  </w:pPr>
                  <w:r>
                    <w:rPr>
                      <w:rFonts w:eastAsia="宋体"/>
                      <w:kern w:val="0"/>
                      <w:sz w:val="20"/>
                    </w:rPr>
                    <w:t>103.91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kern w:val="0"/>
                      <w:sz w:val="20"/>
                    </w:rPr>
                    <w:t>141.35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7.68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9039" w:type="dxa"/>
        <w:jc w:val="center"/>
        <w:tblLayout w:type="fixed"/>
        <w:tblCellMar>
          <w:top w:w="0" w:type="dxa"/>
          <w:left w:w="108" w:type="dxa"/>
          <w:bottom w:w="0" w:type="dxa"/>
          <w:right w:w="108" w:type="dxa"/>
        </w:tblCellMar>
      </w:tblPr>
      <w:tblGrid>
        <w:gridCol w:w="108"/>
        <w:gridCol w:w="3068"/>
        <w:gridCol w:w="108"/>
        <w:gridCol w:w="2112"/>
        <w:gridCol w:w="108"/>
        <w:gridCol w:w="1596"/>
        <w:gridCol w:w="1831"/>
        <w:gridCol w:w="108"/>
      </w:tblGrid>
      <w:tr>
        <w:tblPrEx>
          <w:tblCellMar>
            <w:top w:w="0" w:type="dxa"/>
            <w:left w:w="108" w:type="dxa"/>
            <w:bottom w:w="0" w:type="dxa"/>
            <w:right w:w="108" w:type="dxa"/>
          </w:tblCellMar>
        </w:tblPrEx>
        <w:trPr>
          <w:gridBefore w:val="1"/>
          <w:wBefore w:w="108" w:type="dxa"/>
          <w:trHeight w:val="615" w:hRule="atLeast"/>
          <w:jc w:val="center"/>
        </w:trPr>
        <w:tc>
          <w:tcPr>
            <w:tcW w:w="8931" w:type="dxa"/>
            <w:gridSpan w:val="7"/>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gridAfter w:val="1"/>
          <w:wAfter w:w="108" w:type="dxa"/>
          <w:trHeight w:val="812" w:hRule="atLeast"/>
          <w:jc w:val="center"/>
        </w:trPr>
        <w:tc>
          <w:tcPr>
            <w:tcW w:w="3176" w:type="dxa"/>
            <w:gridSpan w:val="2"/>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经济分类科目</w:t>
            </w:r>
          </w:p>
        </w:tc>
        <w:tc>
          <w:tcPr>
            <w:tcW w:w="2220" w:type="dxa"/>
            <w:gridSpan w:val="2"/>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color w:val="000000"/>
                <w:kern w:val="0"/>
                <w:sz w:val="20"/>
              </w:rPr>
              <w:t>合计</w:t>
            </w:r>
          </w:p>
        </w:tc>
        <w:tc>
          <w:tcPr>
            <w:tcW w:w="1704" w:type="dxa"/>
            <w:gridSpan w:val="2"/>
            <w:tcBorders>
              <w:top w:val="single" w:color="auto" w:sz="4" w:space="0"/>
              <w:left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公用经费</w:t>
            </w:r>
          </w:p>
        </w:tc>
      </w:tr>
      <w:tr>
        <w:tblPrEx>
          <w:tblCellMar>
            <w:top w:w="0" w:type="dxa"/>
            <w:left w:w="108" w:type="dxa"/>
            <w:bottom w:w="0" w:type="dxa"/>
            <w:right w:w="108" w:type="dxa"/>
          </w:tblCellMar>
        </w:tblPrEx>
        <w:trPr>
          <w:gridAfter w:val="1"/>
          <w:wAfter w:w="108" w:type="dxa"/>
          <w:trHeight w:val="489"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一、工资福利支出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9</w:t>
            </w:r>
            <w:r>
              <w:rPr>
                <w:sz w:val="20"/>
              </w:rPr>
              <w:t>6.23</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9</w:t>
            </w:r>
            <w:r>
              <w:rPr>
                <w:sz w:val="20"/>
              </w:rPr>
              <w:t>6.23</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基本工资</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3</w:t>
            </w:r>
            <w:r>
              <w:rPr>
                <w:sz w:val="20"/>
              </w:rPr>
              <w:t>7.35</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3</w:t>
            </w:r>
            <w:r>
              <w:rPr>
                <w:sz w:val="20"/>
              </w:rPr>
              <w:t>7.35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16"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津贴补贴</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2</w:t>
            </w:r>
            <w:r>
              <w:rPr>
                <w:sz w:val="20"/>
              </w:rPr>
              <w:t>.44</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2</w:t>
            </w:r>
            <w:r>
              <w:rPr>
                <w:sz w:val="20"/>
              </w:rPr>
              <w:t>.44</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奖金</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7</w:t>
            </w:r>
            <w:r>
              <w:rPr>
                <w:sz w:val="20"/>
              </w:rPr>
              <w:t>.72</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7</w:t>
            </w:r>
            <w:r>
              <w:rPr>
                <w:sz w:val="20"/>
              </w:rPr>
              <w:t>.72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ind w:firstLine="200" w:firstLineChars="100"/>
              <w:rPr>
                <w:rFonts w:ascii="Arial" w:hAnsi="Arial" w:cs="Arial"/>
                <w:sz w:val="20"/>
              </w:rPr>
            </w:pPr>
            <w:r>
              <w:rPr>
                <w:rFonts w:hint="eastAsia" w:ascii="Arial" w:hAnsi="Arial" w:cs="Arial"/>
                <w:sz w:val="20"/>
              </w:rPr>
              <w:t>绩效工资</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2</w:t>
            </w:r>
            <w:r>
              <w:rPr>
                <w:sz w:val="20"/>
              </w:rPr>
              <w:t>0.95</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2</w:t>
            </w:r>
            <w:r>
              <w:rPr>
                <w:sz w:val="20"/>
              </w:rPr>
              <w:t>0.95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机关事业单位基本养老保险缴费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1</w:t>
            </w:r>
            <w:r>
              <w:rPr>
                <w:sz w:val="20"/>
              </w:rPr>
              <w:t>0.95</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1</w:t>
            </w:r>
            <w:r>
              <w:rPr>
                <w:sz w:val="20"/>
              </w:rPr>
              <w:t>0.95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职业年金缴费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2</w:t>
            </w:r>
            <w:r>
              <w:rPr>
                <w:sz w:val="20"/>
              </w:rPr>
              <w:t>.68</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2</w:t>
            </w:r>
            <w:r>
              <w:rPr>
                <w:sz w:val="20"/>
              </w:rPr>
              <w:t>.68</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职工基本医疗保险缴费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4</w:t>
            </w:r>
            <w:r>
              <w:rPr>
                <w:sz w:val="20"/>
              </w:rPr>
              <w:t>.38</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4</w:t>
            </w:r>
            <w:r>
              <w:rPr>
                <w:sz w:val="20"/>
              </w:rPr>
              <w:t>.38</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其他社会保障缴费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0</w:t>
            </w:r>
            <w:r>
              <w:rPr>
                <w:sz w:val="20"/>
              </w:rPr>
              <w:t>.62</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0</w:t>
            </w:r>
            <w:r>
              <w:rPr>
                <w:sz w:val="20"/>
              </w:rPr>
              <w:t>.62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住房公积金</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8</w:t>
            </w:r>
            <w:r>
              <w:rPr>
                <w:sz w:val="20"/>
              </w:rPr>
              <w:t>.22</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8</w:t>
            </w:r>
            <w:r>
              <w:rPr>
                <w:sz w:val="20"/>
              </w:rPr>
              <w:t>.22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其他工资福利支出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0</w:t>
            </w:r>
            <w:r>
              <w:rPr>
                <w:sz w:val="20"/>
              </w:rPr>
              <w:t>.92</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0</w:t>
            </w:r>
            <w:r>
              <w:rPr>
                <w:sz w:val="20"/>
              </w:rPr>
              <w:t>.92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二、商品和服务支出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7</w:t>
            </w:r>
            <w:r>
              <w:rPr>
                <w:sz w:val="20"/>
              </w:rPr>
              <w:t>.08</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7</w:t>
            </w:r>
            <w:r>
              <w:rPr>
                <w:sz w:val="20"/>
              </w:rPr>
              <w:t>.08</w:t>
            </w:r>
          </w:p>
        </w:tc>
      </w:tr>
      <w:tr>
        <w:tblPrEx>
          <w:tblCellMar>
            <w:top w:w="0" w:type="dxa"/>
            <w:left w:w="108" w:type="dxa"/>
            <w:bottom w:w="0" w:type="dxa"/>
            <w:right w:w="108" w:type="dxa"/>
          </w:tblCellMar>
        </w:tblPrEx>
        <w:trPr>
          <w:gridAfter w:val="1"/>
          <w:wAfter w:w="108" w:type="dxa"/>
          <w:trHeight w:val="41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tcPr>
          <w:p>
            <w:pPr>
              <w:rPr>
                <w:sz w:val="20"/>
              </w:rPr>
            </w:pPr>
            <w:r>
              <w:rPr>
                <w:rFonts w:hint="eastAsia"/>
                <w:sz w:val="20"/>
              </w:rPr>
              <w:t>　办公费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6</w:t>
            </w:r>
            <w:r>
              <w:rPr>
                <w:sz w:val="20"/>
              </w:rPr>
              <w:t>.18</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6</w:t>
            </w:r>
            <w:r>
              <w:rPr>
                <w:sz w:val="20"/>
              </w:rPr>
              <w:t>.18</w:t>
            </w:r>
          </w:p>
        </w:tc>
      </w:tr>
      <w:tr>
        <w:tblPrEx>
          <w:tblCellMar>
            <w:top w:w="0" w:type="dxa"/>
            <w:left w:w="108" w:type="dxa"/>
            <w:bottom w:w="0" w:type="dxa"/>
            <w:right w:w="108" w:type="dxa"/>
          </w:tblCellMar>
        </w:tblPrEx>
        <w:trPr>
          <w:gridAfter w:val="1"/>
          <w:wAfter w:w="108" w:type="dxa"/>
          <w:trHeight w:val="426"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tcPr>
          <w:p>
            <w:pPr>
              <w:rPr>
                <w:sz w:val="20"/>
              </w:rPr>
            </w:pPr>
            <w:r>
              <w:rPr>
                <w:rFonts w:hint="eastAsia"/>
                <w:sz w:val="20"/>
              </w:rPr>
              <w:t>　手续费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0</w:t>
            </w:r>
            <w:r>
              <w:rPr>
                <w:sz w:val="20"/>
              </w:rPr>
              <w:t>.10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0</w:t>
            </w:r>
            <w:r>
              <w:rPr>
                <w:sz w:val="20"/>
              </w:rPr>
              <w:t>.10</w:t>
            </w:r>
          </w:p>
        </w:tc>
      </w:tr>
      <w:tr>
        <w:tblPrEx>
          <w:tblCellMar>
            <w:top w:w="0" w:type="dxa"/>
            <w:left w:w="108" w:type="dxa"/>
            <w:bottom w:w="0" w:type="dxa"/>
            <w:right w:w="108" w:type="dxa"/>
          </w:tblCellMar>
        </w:tblPrEx>
        <w:trPr>
          <w:gridAfter w:val="1"/>
          <w:wAfter w:w="108" w:type="dxa"/>
          <w:trHeight w:val="40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tcPr>
          <w:p>
            <w:pPr>
              <w:rPr>
                <w:sz w:val="20"/>
              </w:rPr>
            </w:pPr>
            <w:r>
              <w:rPr>
                <w:rFonts w:hint="eastAsia"/>
                <w:sz w:val="20"/>
              </w:rPr>
              <w:t>　差旅费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0</w:t>
            </w:r>
            <w:r>
              <w:rPr>
                <w:sz w:val="20"/>
              </w:rPr>
              <w:t>.80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0</w:t>
            </w:r>
            <w:r>
              <w:rPr>
                <w:sz w:val="20"/>
              </w:rPr>
              <w:t>.80</w:t>
            </w:r>
          </w:p>
        </w:tc>
      </w:tr>
      <w:tr>
        <w:tblPrEx>
          <w:tblCellMar>
            <w:top w:w="0" w:type="dxa"/>
            <w:left w:w="108" w:type="dxa"/>
            <w:bottom w:w="0" w:type="dxa"/>
            <w:right w:w="108" w:type="dxa"/>
          </w:tblCellMar>
        </w:tblPrEx>
        <w:trPr>
          <w:gridAfter w:val="1"/>
          <w:wAfter w:w="108" w:type="dxa"/>
          <w:trHeight w:val="405" w:hRule="atLeast"/>
          <w:jc w:val="center"/>
        </w:trPr>
        <w:tc>
          <w:tcPr>
            <w:tcW w:w="3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eastAsia="宋体" w:cs="Arial"/>
                <w:kern w:val="0"/>
                <w:sz w:val="20"/>
              </w:rPr>
            </w:pPr>
            <w:r>
              <w:rPr>
                <w:rFonts w:hint="eastAsia" w:cs="Arial"/>
                <w:sz w:val="20"/>
              </w:rPr>
              <w:t>三、资本性支出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r>
              <w:rPr>
                <w:rFonts w:hint="eastAsia" w:eastAsia="宋体"/>
                <w:sz w:val="20"/>
              </w:rPr>
              <w:t>0</w:t>
            </w:r>
            <w:r>
              <w:rPr>
                <w:rFonts w:eastAsia="宋体"/>
                <w:sz w:val="20"/>
              </w:rPr>
              <w:t>.60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r>
              <w:rPr>
                <w:rFonts w:hint="eastAsia" w:eastAsia="宋体"/>
                <w:sz w:val="20"/>
              </w:rPr>
              <w:t>0</w:t>
            </w:r>
            <w:r>
              <w:rPr>
                <w:rFonts w:eastAsia="宋体"/>
                <w:sz w:val="20"/>
              </w:rPr>
              <w:t>.60</w:t>
            </w:r>
          </w:p>
        </w:tc>
      </w:tr>
      <w:tr>
        <w:tblPrEx>
          <w:tblCellMar>
            <w:top w:w="0" w:type="dxa"/>
            <w:left w:w="108" w:type="dxa"/>
            <w:bottom w:w="0" w:type="dxa"/>
            <w:right w:w="108" w:type="dxa"/>
          </w:tblCellMar>
        </w:tblPrEx>
        <w:trPr>
          <w:gridAfter w:val="1"/>
          <w:wAfter w:w="108" w:type="dxa"/>
          <w:trHeight w:val="331" w:hRule="atLeast"/>
          <w:jc w:val="center"/>
        </w:trPr>
        <w:tc>
          <w:tcPr>
            <w:tcW w:w="3176" w:type="dxa"/>
            <w:gridSpan w:val="2"/>
            <w:tcBorders>
              <w:top w:val="nil"/>
              <w:left w:val="single" w:color="000000" w:sz="4" w:space="0"/>
              <w:bottom w:val="single" w:color="000000" w:sz="4" w:space="0"/>
              <w:right w:val="single" w:color="000000" w:sz="4" w:space="0"/>
            </w:tcBorders>
            <w:shd w:val="clear" w:color="auto" w:fill="auto"/>
            <w:vAlign w:val="center"/>
          </w:tcPr>
          <w:p>
            <w:pPr>
              <w:rPr>
                <w:rFonts w:ascii="Arial" w:hAnsi="Arial" w:cs="Arial"/>
                <w:sz w:val="20"/>
              </w:rPr>
            </w:pPr>
            <w:r>
              <w:rPr>
                <w:rFonts w:ascii="Arial" w:hAnsi="Arial" w:cs="Arial"/>
                <w:sz w:val="20"/>
              </w:rPr>
              <w:t>　办公设备购置</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r>
              <w:rPr>
                <w:rFonts w:hint="eastAsia" w:eastAsia="宋体"/>
                <w:sz w:val="20"/>
              </w:rPr>
              <w:t>0</w:t>
            </w:r>
            <w:r>
              <w:rPr>
                <w:rFonts w:eastAsia="宋体"/>
                <w:sz w:val="20"/>
              </w:rPr>
              <w:t>.60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r>
              <w:rPr>
                <w:rFonts w:hint="eastAsia" w:eastAsia="宋体"/>
                <w:sz w:val="20"/>
              </w:rPr>
              <w:t>0</w:t>
            </w:r>
            <w:r>
              <w:rPr>
                <w:rFonts w:eastAsia="宋体"/>
                <w:sz w:val="20"/>
              </w:rPr>
              <w:t>.60</w:t>
            </w:r>
          </w:p>
        </w:tc>
      </w:tr>
      <w:tr>
        <w:tblPrEx>
          <w:tblCellMar>
            <w:top w:w="0" w:type="dxa"/>
            <w:left w:w="108" w:type="dxa"/>
            <w:bottom w:w="0" w:type="dxa"/>
            <w:right w:w="108" w:type="dxa"/>
          </w:tblCellMar>
        </w:tblPrEx>
        <w:trPr>
          <w:gridBefore w:val="1"/>
          <w:wBefore w:w="108" w:type="dxa"/>
          <w:trHeight w:val="70" w:hRule="atLeast"/>
          <w:jc w:val="center"/>
        </w:trPr>
        <w:tc>
          <w:tcPr>
            <w:tcW w:w="3176" w:type="dxa"/>
            <w:gridSpan w:val="2"/>
            <w:tcBorders>
              <w:top w:val="nil"/>
              <w:left w:val="nil"/>
              <w:bottom w:val="nil"/>
              <w:right w:val="nil"/>
            </w:tcBorders>
            <w:vAlign w:val="center"/>
          </w:tcPr>
          <w:p>
            <w:pPr>
              <w:widowControl/>
              <w:jc w:val="center"/>
              <w:rPr>
                <w:rFonts w:eastAsia="宋体"/>
                <w:kern w:val="0"/>
                <w:sz w:val="20"/>
              </w:rPr>
            </w:pPr>
          </w:p>
        </w:tc>
        <w:tc>
          <w:tcPr>
            <w:tcW w:w="2220" w:type="dxa"/>
            <w:gridSpan w:val="2"/>
            <w:tcBorders>
              <w:top w:val="nil"/>
              <w:left w:val="nil"/>
              <w:bottom w:val="nil"/>
              <w:right w:val="nil"/>
            </w:tcBorders>
            <w:vAlign w:val="center"/>
          </w:tcPr>
          <w:p>
            <w:pPr>
              <w:widowControl/>
              <w:jc w:val="center"/>
              <w:rPr>
                <w:rFonts w:eastAsia="宋体"/>
                <w:kern w:val="0"/>
                <w:sz w:val="20"/>
              </w:rPr>
            </w:pPr>
          </w:p>
        </w:tc>
        <w:tc>
          <w:tcPr>
            <w:tcW w:w="3535" w:type="dxa"/>
            <w:gridSpan w:val="3"/>
            <w:tcBorders>
              <w:top w:val="nil"/>
              <w:left w:val="nil"/>
              <w:bottom w:val="nil"/>
              <w:right w:val="nil"/>
            </w:tcBorders>
            <w:vAlign w:val="center"/>
          </w:tcPr>
          <w:p>
            <w:pPr>
              <w:widowControl/>
              <w:jc w:val="center"/>
              <w:rPr>
                <w:rFonts w:eastAsia="华文细黑"/>
                <w:kern w:val="0"/>
                <w:sz w:val="20"/>
              </w:rPr>
            </w:pPr>
          </w:p>
        </w:tc>
      </w:tr>
    </w:tbl>
    <w:p>
      <w:pPr>
        <w:ind w:firstLine="480" w:firstLineChars="200"/>
        <w:rPr>
          <w:rFonts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eastAsia="方正小标宋简体"/>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color w:val="000000"/>
                <w:kern w:val="0"/>
                <w:sz w:val="28"/>
                <w:szCs w:val="28"/>
              </w:rPr>
            </w:pPr>
            <w:r>
              <w:rPr>
                <w:rFonts w:eastAsia="宋体"/>
                <w:color w:val="000000"/>
                <w:kern w:val="0"/>
                <w:sz w:val="28"/>
                <w:szCs w:val="28"/>
              </w:rPr>
              <w:t xml:space="preserve">  </w:t>
            </w:r>
            <w:r>
              <w:rPr>
                <w:color w:val="000000"/>
                <w:kern w:val="0"/>
                <w:sz w:val="28"/>
                <w:szCs w:val="28"/>
              </w:rPr>
              <w:t>说明：</w:t>
            </w:r>
          </w:p>
          <w:p>
            <w:pPr>
              <w:widowControl/>
              <w:jc w:val="left"/>
              <w:rPr>
                <w:rFonts w:eastAsia="宋体"/>
                <w:color w:val="000000"/>
                <w:kern w:val="0"/>
                <w:sz w:val="28"/>
                <w:szCs w:val="28"/>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1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8 </w:t>
            </w:r>
            <w:r>
              <w:rPr>
                <w:color w:val="000000"/>
                <w:kern w:val="0"/>
                <w:sz w:val="28"/>
                <w:szCs w:val="28"/>
              </w:rPr>
              <w:t>人，其中：在职人员</w:t>
            </w:r>
            <w:r>
              <w:rPr>
                <w:rFonts w:eastAsia="宋体"/>
                <w:color w:val="000000"/>
                <w:kern w:val="0"/>
                <w:sz w:val="28"/>
                <w:szCs w:val="28"/>
                <w:u w:val="single"/>
              </w:rPr>
              <w:t xml:space="preserve"> 8 </w:t>
            </w:r>
            <w:r>
              <w:rPr>
                <w:color w:val="000000"/>
                <w:kern w:val="0"/>
                <w:sz w:val="28"/>
                <w:szCs w:val="28"/>
              </w:rPr>
              <w:t>人，离退休人员</w:t>
            </w:r>
            <w:r>
              <w:rPr>
                <w:rFonts w:eastAsia="宋体"/>
                <w:color w:val="000000"/>
                <w:kern w:val="0"/>
                <w:sz w:val="28"/>
                <w:szCs w:val="28"/>
                <w:u w:val="single"/>
              </w:rPr>
              <w:t xml:space="preserve"> 0 </w:t>
            </w:r>
            <w:r>
              <w:rPr>
                <w:color w:val="000000"/>
                <w:kern w:val="0"/>
                <w:sz w:val="28"/>
                <w:szCs w:val="28"/>
              </w:rPr>
              <w:t>人。</w:t>
            </w:r>
          </w:p>
          <w:p>
            <w:pPr>
              <w:widowControl/>
              <w:jc w:val="left"/>
              <w:rPr>
                <w:color w:val="000000"/>
                <w:kern w:val="0"/>
                <w:sz w:val="28"/>
                <w:szCs w:val="28"/>
              </w:rPr>
            </w:pPr>
            <w:r>
              <w:rPr>
                <w:rFonts w:hint="eastAsia"/>
                <w:color w:val="000000"/>
                <w:kern w:val="0"/>
                <w:sz w:val="28"/>
                <w:szCs w:val="28"/>
              </w:rPr>
              <w:t xml:space="preserve">       </w:t>
            </w:r>
          </w:p>
        </w:tc>
      </w:tr>
    </w:tbl>
    <w:p>
      <w:pPr>
        <w:ind w:firstLine="480" w:firstLineChars="200"/>
        <w:rPr>
          <w:rFonts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p>
          <w:p>
            <w:pPr>
              <w:widowControl/>
              <w:jc w:val="center"/>
              <w:rPr>
                <w:rFonts w:ascii="宋体" w:hAnsi="宋体" w:eastAsia="宋体" w:cs="宋体"/>
                <w:kern w:val="0"/>
                <w:sz w:val="20"/>
              </w:rPr>
            </w:pPr>
            <w:r>
              <w:rPr>
                <w:rFonts w:hint="eastAsia" w:eastAsia="方正小标宋简体"/>
                <w:kern w:val="0"/>
                <w:sz w:val="36"/>
                <w:szCs w:val="36"/>
              </w:rPr>
              <w:t>政府性基金预算支出表</w:t>
            </w:r>
          </w:p>
          <w:p>
            <w:pPr>
              <w:widowControl/>
              <w:jc w:val="right"/>
              <w:rPr>
                <w:rFonts w:ascii="宋体" w:hAnsi="宋体" w:eastAsia="宋体" w:cs="宋体"/>
                <w:color w:val="000000"/>
                <w:kern w:val="0"/>
                <w:sz w:val="20"/>
              </w:rPr>
            </w:pPr>
          </w:p>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eastAsia="方正小标宋简体"/>
                <w:kern w:val="0"/>
                <w:sz w:val="36"/>
                <w:szCs w:val="36"/>
              </w:rPr>
            </w:pPr>
          </w:p>
          <w:p>
            <w:pPr>
              <w:widowControl/>
              <w:jc w:val="center"/>
              <w:rPr>
                <w:rFonts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bl>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jc w:val="left"/>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602"/>
        <w:gridCol w:w="708"/>
        <w:gridCol w:w="295"/>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864"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602"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524" w:type="dxa"/>
            <w:gridSpan w:val="3"/>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w:t>
            </w:r>
          </w:p>
        </w:tc>
        <w:tc>
          <w:tcPr>
            <w:tcW w:w="602"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合计</w:t>
            </w:r>
          </w:p>
        </w:tc>
        <w:tc>
          <w:tcPr>
            <w:tcW w:w="1524"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财政专户</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vAlign w:val="center"/>
          </w:tcPr>
          <w:p>
            <w:pPr>
              <w:autoSpaceDN w:val="0"/>
              <w:jc w:val="center"/>
              <w:textAlignment w:val="center"/>
              <w:rPr>
                <w:rFonts w:ascii="Calibri" w:hAnsi="Calibri" w:eastAsia="华文细黑"/>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vAlign w:val="center"/>
          </w:tcPr>
          <w:p>
            <w:pPr>
              <w:autoSpaceDN w:val="0"/>
              <w:jc w:val="center"/>
              <w:textAlignment w:val="center"/>
              <w:rPr>
                <w:rFonts w:ascii="Calibri" w:hAnsi="Calibri" w:eastAsia="华文细黑"/>
                <w:color w:val="000000"/>
                <w:sz w:val="20"/>
                <w:szCs w:val="22"/>
              </w:rPr>
            </w:pPr>
          </w:p>
        </w:tc>
        <w:tc>
          <w:tcPr>
            <w:tcW w:w="602" w:type="dxa"/>
            <w:vMerge w:val="continue"/>
            <w:vAlign w:val="center"/>
          </w:tcPr>
          <w:p>
            <w:pPr>
              <w:autoSpaceDN w:val="0"/>
              <w:jc w:val="center"/>
              <w:textAlignment w:val="center"/>
              <w:rPr>
                <w:rFonts w:ascii="Calibri" w:hAnsi="Calibri" w:eastAsia="华文细黑"/>
                <w:color w:val="000000"/>
                <w:sz w:val="20"/>
                <w:szCs w:val="22"/>
              </w:rPr>
            </w:pPr>
          </w:p>
        </w:tc>
        <w:tc>
          <w:tcPr>
            <w:tcW w:w="70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295"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公共</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国有资本经营</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exact"/>
          <w:jc w:val="center"/>
        </w:trPr>
        <w:tc>
          <w:tcPr>
            <w:tcW w:w="759" w:type="dxa"/>
            <w:vAlign w:val="center"/>
          </w:tcPr>
          <w:p>
            <w:pPr>
              <w:spacing w:line="240" w:lineRule="atLeast"/>
              <w:jc w:val="left"/>
              <w:rPr>
                <w:rFonts w:ascii="Calibri" w:hAnsi="Calibri" w:eastAsia="楷体"/>
                <w:kern w:val="0"/>
                <w:sz w:val="20"/>
              </w:rPr>
            </w:pPr>
          </w:p>
        </w:tc>
        <w:tc>
          <w:tcPr>
            <w:tcW w:w="1063" w:type="dxa"/>
            <w:vAlign w:val="center"/>
          </w:tcPr>
          <w:p>
            <w:pPr>
              <w:spacing w:line="240" w:lineRule="atLeast"/>
              <w:jc w:val="center"/>
              <w:rPr>
                <w:rFonts w:ascii="Calibri" w:hAnsi="Calibri" w:eastAsia="楷体"/>
                <w:kern w:val="0"/>
                <w:sz w:val="20"/>
              </w:rPr>
            </w:pPr>
          </w:p>
        </w:tc>
        <w:tc>
          <w:tcPr>
            <w:tcW w:w="1107" w:type="dxa"/>
            <w:vAlign w:val="center"/>
          </w:tcPr>
          <w:p>
            <w:pPr>
              <w:spacing w:line="240" w:lineRule="atLeast"/>
              <w:jc w:val="center"/>
              <w:rPr>
                <w:rFonts w:ascii="Calibri" w:hAnsi="Calibri" w:eastAsia="楷体"/>
                <w:kern w:val="0"/>
                <w:sz w:val="20"/>
              </w:rPr>
            </w:pPr>
          </w:p>
        </w:tc>
        <w:tc>
          <w:tcPr>
            <w:tcW w:w="864" w:type="dxa"/>
            <w:vAlign w:val="center"/>
          </w:tcPr>
          <w:p>
            <w:pPr>
              <w:spacing w:line="240" w:lineRule="atLeast"/>
              <w:jc w:val="center"/>
              <w:rPr>
                <w:rFonts w:ascii="Calibri" w:hAnsi="Calibri" w:eastAsia="楷体"/>
                <w:kern w:val="0"/>
                <w:sz w:val="20"/>
              </w:rPr>
            </w:pPr>
          </w:p>
        </w:tc>
        <w:tc>
          <w:tcPr>
            <w:tcW w:w="602" w:type="dxa"/>
            <w:vAlign w:val="center"/>
          </w:tcPr>
          <w:p>
            <w:pPr>
              <w:spacing w:line="240" w:lineRule="atLeast"/>
              <w:jc w:val="center"/>
              <w:rPr>
                <w:rFonts w:ascii="Calibri" w:hAnsi="Calibri" w:eastAsia="楷体"/>
                <w:kern w:val="0"/>
                <w:sz w:val="20"/>
              </w:rPr>
            </w:pPr>
          </w:p>
        </w:tc>
        <w:tc>
          <w:tcPr>
            <w:tcW w:w="708" w:type="dxa"/>
            <w:vAlign w:val="center"/>
          </w:tcPr>
          <w:p>
            <w:pPr>
              <w:spacing w:line="240" w:lineRule="atLeast"/>
              <w:jc w:val="center"/>
              <w:rPr>
                <w:rFonts w:ascii="Calibri" w:hAnsi="Calibri" w:eastAsia="楷体"/>
                <w:kern w:val="0"/>
                <w:sz w:val="20"/>
              </w:rPr>
            </w:pPr>
          </w:p>
        </w:tc>
        <w:tc>
          <w:tcPr>
            <w:tcW w:w="295" w:type="dxa"/>
            <w:vAlign w:val="center"/>
          </w:tcPr>
          <w:p>
            <w:pPr>
              <w:spacing w:line="240" w:lineRule="atLeast"/>
              <w:jc w:val="center"/>
              <w:rPr>
                <w:rFonts w:ascii="Calibri" w:hAnsi="Calibri" w:eastAsia="楷体"/>
                <w:kern w:val="0"/>
                <w:sz w:val="20"/>
              </w:rPr>
            </w:pPr>
          </w:p>
        </w:tc>
        <w:tc>
          <w:tcPr>
            <w:tcW w:w="521" w:type="dxa"/>
            <w:vAlign w:val="center"/>
          </w:tcPr>
          <w:p>
            <w:pPr>
              <w:spacing w:line="240" w:lineRule="atLeast"/>
              <w:jc w:val="center"/>
              <w:rPr>
                <w:rFonts w:ascii="Calibri" w:hAnsi="Calibri" w:eastAsia="楷体"/>
                <w:kern w:val="0"/>
                <w:sz w:val="20"/>
              </w:rPr>
            </w:pPr>
          </w:p>
        </w:tc>
        <w:tc>
          <w:tcPr>
            <w:tcW w:w="564" w:type="dxa"/>
            <w:vAlign w:val="center"/>
          </w:tcPr>
          <w:p>
            <w:pPr>
              <w:spacing w:line="240" w:lineRule="atLeast"/>
              <w:jc w:val="center"/>
              <w:rPr>
                <w:rFonts w:ascii="Calibri" w:hAnsi="Calibri" w:eastAsia="楷体"/>
                <w:kern w:val="0"/>
                <w:sz w:val="20"/>
              </w:rPr>
            </w:pPr>
          </w:p>
        </w:tc>
        <w:tc>
          <w:tcPr>
            <w:tcW w:w="532" w:type="dxa"/>
            <w:vAlign w:val="center"/>
          </w:tcPr>
          <w:p>
            <w:pPr>
              <w:spacing w:line="240" w:lineRule="atLeast"/>
              <w:jc w:val="center"/>
              <w:rPr>
                <w:rFonts w:ascii="Calibri" w:hAnsi="Calibri" w:eastAsia="楷体"/>
                <w:kern w:val="0"/>
                <w:sz w:val="20"/>
              </w:rPr>
            </w:pPr>
          </w:p>
        </w:tc>
        <w:tc>
          <w:tcPr>
            <w:tcW w:w="598" w:type="dxa"/>
            <w:vAlign w:val="center"/>
          </w:tcPr>
          <w:p>
            <w:pPr>
              <w:spacing w:line="240" w:lineRule="atLeast"/>
              <w:jc w:val="center"/>
              <w:rPr>
                <w:rFonts w:ascii="Calibri" w:hAnsi="Calibri" w:eastAsia="楷体"/>
                <w:kern w:val="0"/>
                <w:sz w:val="20"/>
              </w:rPr>
            </w:pPr>
          </w:p>
        </w:tc>
        <w:tc>
          <w:tcPr>
            <w:tcW w:w="443" w:type="dxa"/>
            <w:vAlign w:val="center"/>
          </w:tcPr>
          <w:p>
            <w:pPr>
              <w:spacing w:line="240" w:lineRule="atLeast"/>
              <w:jc w:val="center"/>
              <w:rPr>
                <w:rFonts w:ascii="Calibri" w:hAnsi="Calibri" w:eastAsia="楷体"/>
                <w:kern w:val="0"/>
                <w:sz w:val="20"/>
              </w:rPr>
            </w:pPr>
          </w:p>
        </w:tc>
        <w:tc>
          <w:tcPr>
            <w:tcW w:w="425" w:type="dxa"/>
            <w:vAlign w:val="center"/>
          </w:tcPr>
          <w:p>
            <w:pPr>
              <w:spacing w:line="240" w:lineRule="atLeast"/>
              <w:jc w:val="center"/>
              <w:rPr>
                <w:rFonts w:ascii="Calibri" w:hAnsi="Calibri" w:eastAsia="楷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240" w:lineRule="atLeast"/>
              <w:jc w:val="center"/>
              <w:rPr>
                <w:rFonts w:ascii="Calibri" w:hAnsi="Calibri" w:eastAsia="楷体"/>
                <w:kern w:val="0"/>
                <w:sz w:val="20"/>
              </w:rPr>
            </w:pPr>
          </w:p>
        </w:tc>
        <w:tc>
          <w:tcPr>
            <w:tcW w:w="1063" w:type="dxa"/>
            <w:vAlign w:val="center"/>
          </w:tcPr>
          <w:p>
            <w:pPr>
              <w:spacing w:line="240" w:lineRule="atLeast"/>
              <w:jc w:val="center"/>
              <w:rPr>
                <w:rFonts w:ascii="Calibri" w:hAnsi="Calibri" w:eastAsia="楷体"/>
                <w:kern w:val="0"/>
                <w:szCs w:val="32"/>
              </w:rPr>
            </w:pPr>
          </w:p>
        </w:tc>
        <w:tc>
          <w:tcPr>
            <w:tcW w:w="1107" w:type="dxa"/>
            <w:vAlign w:val="center"/>
          </w:tcPr>
          <w:p>
            <w:pPr>
              <w:spacing w:line="240" w:lineRule="atLeast"/>
              <w:jc w:val="center"/>
              <w:rPr>
                <w:rFonts w:ascii="Calibri" w:hAnsi="Calibri" w:eastAsia="楷体"/>
                <w:kern w:val="0"/>
                <w:szCs w:val="32"/>
              </w:rPr>
            </w:pPr>
          </w:p>
        </w:tc>
        <w:tc>
          <w:tcPr>
            <w:tcW w:w="864" w:type="dxa"/>
            <w:vAlign w:val="center"/>
          </w:tcPr>
          <w:p>
            <w:pPr>
              <w:spacing w:line="240" w:lineRule="atLeast"/>
              <w:jc w:val="center"/>
              <w:rPr>
                <w:rFonts w:ascii="Calibri" w:hAnsi="Calibri" w:eastAsia="楷体"/>
                <w:kern w:val="0"/>
                <w:szCs w:val="32"/>
              </w:rPr>
            </w:pPr>
          </w:p>
        </w:tc>
        <w:tc>
          <w:tcPr>
            <w:tcW w:w="602" w:type="dxa"/>
            <w:vAlign w:val="center"/>
          </w:tcPr>
          <w:p>
            <w:pPr>
              <w:spacing w:line="240" w:lineRule="atLeast"/>
              <w:jc w:val="center"/>
              <w:rPr>
                <w:rFonts w:ascii="Calibri" w:hAnsi="Calibri" w:eastAsia="楷体"/>
                <w:kern w:val="0"/>
                <w:szCs w:val="32"/>
              </w:rPr>
            </w:pPr>
          </w:p>
        </w:tc>
        <w:tc>
          <w:tcPr>
            <w:tcW w:w="708" w:type="dxa"/>
            <w:vAlign w:val="center"/>
          </w:tcPr>
          <w:p>
            <w:pPr>
              <w:spacing w:line="240" w:lineRule="atLeast"/>
              <w:jc w:val="center"/>
              <w:rPr>
                <w:rFonts w:ascii="Calibri" w:hAnsi="Calibri" w:eastAsia="楷体"/>
                <w:kern w:val="0"/>
                <w:szCs w:val="32"/>
              </w:rPr>
            </w:pPr>
          </w:p>
        </w:tc>
        <w:tc>
          <w:tcPr>
            <w:tcW w:w="295" w:type="dxa"/>
            <w:vAlign w:val="center"/>
          </w:tcPr>
          <w:p>
            <w:pPr>
              <w:spacing w:line="240" w:lineRule="atLeast"/>
              <w:jc w:val="center"/>
              <w:rPr>
                <w:rFonts w:ascii="Calibri" w:hAnsi="Calibri" w:eastAsia="楷体"/>
                <w:kern w:val="0"/>
                <w:szCs w:val="32"/>
              </w:rPr>
            </w:pPr>
          </w:p>
        </w:tc>
        <w:tc>
          <w:tcPr>
            <w:tcW w:w="521" w:type="dxa"/>
            <w:vAlign w:val="center"/>
          </w:tcPr>
          <w:p>
            <w:pPr>
              <w:spacing w:line="240" w:lineRule="atLeast"/>
              <w:jc w:val="center"/>
              <w:rPr>
                <w:rFonts w:ascii="Calibri" w:hAnsi="Calibri" w:eastAsia="楷体"/>
                <w:kern w:val="0"/>
                <w:szCs w:val="32"/>
              </w:rPr>
            </w:pPr>
          </w:p>
        </w:tc>
        <w:tc>
          <w:tcPr>
            <w:tcW w:w="564" w:type="dxa"/>
            <w:vAlign w:val="center"/>
          </w:tcPr>
          <w:p>
            <w:pPr>
              <w:spacing w:line="240" w:lineRule="atLeast"/>
              <w:jc w:val="center"/>
              <w:rPr>
                <w:rFonts w:ascii="Calibri" w:hAnsi="Calibri" w:eastAsia="楷体"/>
                <w:kern w:val="0"/>
                <w:szCs w:val="32"/>
              </w:rPr>
            </w:pPr>
          </w:p>
        </w:tc>
        <w:tc>
          <w:tcPr>
            <w:tcW w:w="532" w:type="dxa"/>
            <w:vAlign w:val="center"/>
          </w:tcPr>
          <w:p>
            <w:pPr>
              <w:spacing w:line="240" w:lineRule="atLeast"/>
              <w:jc w:val="center"/>
              <w:rPr>
                <w:rFonts w:ascii="Calibri" w:hAnsi="Calibri" w:eastAsia="楷体"/>
                <w:kern w:val="0"/>
                <w:szCs w:val="32"/>
              </w:rPr>
            </w:pPr>
          </w:p>
        </w:tc>
        <w:tc>
          <w:tcPr>
            <w:tcW w:w="598" w:type="dxa"/>
            <w:vAlign w:val="center"/>
          </w:tcPr>
          <w:p>
            <w:pPr>
              <w:spacing w:line="240" w:lineRule="atLeast"/>
              <w:jc w:val="center"/>
              <w:rPr>
                <w:rFonts w:ascii="Calibri" w:hAnsi="Calibri" w:eastAsia="楷体"/>
                <w:kern w:val="0"/>
                <w:szCs w:val="32"/>
              </w:rPr>
            </w:pPr>
          </w:p>
        </w:tc>
        <w:tc>
          <w:tcPr>
            <w:tcW w:w="443" w:type="dxa"/>
            <w:vAlign w:val="center"/>
          </w:tcPr>
          <w:p>
            <w:pPr>
              <w:spacing w:line="240" w:lineRule="atLeast"/>
              <w:jc w:val="center"/>
              <w:rPr>
                <w:rFonts w:ascii="Calibri" w:hAnsi="Calibri" w:eastAsia="楷体"/>
                <w:kern w:val="0"/>
                <w:szCs w:val="32"/>
              </w:rPr>
            </w:pPr>
          </w:p>
        </w:tc>
        <w:tc>
          <w:tcPr>
            <w:tcW w:w="425" w:type="dxa"/>
            <w:vAlign w:val="center"/>
          </w:tcPr>
          <w:p>
            <w:pPr>
              <w:spacing w:line="240" w:lineRule="atLeas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 w:val="20"/>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602" w:type="dxa"/>
            <w:vAlign w:val="center"/>
          </w:tcPr>
          <w:p>
            <w:pPr>
              <w:spacing w:line="700" w:lineRule="exact"/>
              <w:jc w:val="center"/>
              <w:rPr>
                <w:rFonts w:ascii="Calibri" w:hAnsi="Calibri" w:eastAsia="楷体"/>
                <w:kern w:val="0"/>
                <w:szCs w:val="32"/>
              </w:rPr>
            </w:pPr>
          </w:p>
        </w:tc>
        <w:tc>
          <w:tcPr>
            <w:tcW w:w="708" w:type="dxa"/>
            <w:vAlign w:val="center"/>
          </w:tcPr>
          <w:p>
            <w:pPr>
              <w:spacing w:line="700" w:lineRule="exact"/>
              <w:jc w:val="center"/>
              <w:rPr>
                <w:rFonts w:ascii="Calibri" w:hAnsi="Calibri" w:eastAsia="楷体"/>
                <w:kern w:val="0"/>
                <w:szCs w:val="32"/>
              </w:rPr>
            </w:pPr>
          </w:p>
        </w:tc>
        <w:tc>
          <w:tcPr>
            <w:tcW w:w="295"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602" w:type="dxa"/>
            <w:vAlign w:val="center"/>
          </w:tcPr>
          <w:p>
            <w:pPr>
              <w:spacing w:line="700" w:lineRule="exact"/>
              <w:jc w:val="center"/>
              <w:rPr>
                <w:rFonts w:ascii="Calibri" w:hAnsi="Calibri" w:eastAsia="楷体"/>
                <w:kern w:val="0"/>
                <w:szCs w:val="32"/>
              </w:rPr>
            </w:pPr>
          </w:p>
        </w:tc>
        <w:tc>
          <w:tcPr>
            <w:tcW w:w="708" w:type="dxa"/>
            <w:vAlign w:val="center"/>
          </w:tcPr>
          <w:p>
            <w:pPr>
              <w:spacing w:line="700" w:lineRule="exact"/>
              <w:jc w:val="center"/>
              <w:rPr>
                <w:rFonts w:ascii="Calibri" w:hAnsi="Calibri" w:eastAsia="楷体"/>
                <w:kern w:val="0"/>
                <w:szCs w:val="32"/>
              </w:rPr>
            </w:pPr>
          </w:p>
        </w:tc>
        <w:tc>
          <w:tcPr>
            <w:tcW w:w="295"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vAlign w:val="center"/>
          </w:tcPr>
          <w:p>
            <w:pPr>
              <w:autoSpaceDN w:val="0"/>
              <w:jc w:val="center"/>
              <w:textAlignment w:val="center"/>
              <w:rPr>
                <w:rFonts w:ascii="Calibri" w:hAnsi="Calibri" w:eastAsia="华文细黑"/>
                <w:color w:val="000000"/>
                <w:sz w:val="20"/>
                <w:szCs w:val="2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602" w:type="dxa"/>
            <w:vAlign w:val="center"/>
          </w:tcPr>
          <w:p>
            <w:pPr>
              <w:spacing w:line="700" w:lineRule="exact"/>
              <w:jc w:val="center"/>
              <w:rPr>
                <w:rFonts w:ascii="Calibri" w:hAnsi="Calibri" w:eastAsia="楷体"/>
                <w:kern w:val="0"/>
                <w:szCs w:val="32"/>
              </w:rPr>
            </w:pPr>
          </w:p>
        </w:tc>
        <w:tc>
          <w:tcPr>
            <w:tcW w:w="708" w:type="dxa"/>
            <w:vAlign w:val="center"/>
          </w:tcPr>
          <w:p>
            <w:pPr>
              <w:spacing w:line="700" w:lineRule="exact"/>
              <w:jc w:val="center"/>
              <w:rPr>
                <w:rFonts w:ascii="Calibri" w:hAnsi="Calibri" w:eastAsia="楷体"/>
                <w:kern w:val="0"/>
                <w:szCs w:val="32"/>
              </w:rPr>
            </w:pPr>
          </w:p>
        </w:tc>
        <w:tc>
          <w:tcPr>
            <w:tcW w:w="295"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bl>
    <w:p>
      <w:pPr>
        <w:spacing w:line="700" w:lineRule="exact"/>
        <w:rPr>
          <w:rFonts w:ascii="楷体" w:hAnsi="楷体" w:eastAsia="楷体" w:cs="楷体"/>
          <w:kern w:val="0"/>
          <w:sz w:val="24"/>
          <w:szCs w:val="24"/>
        </w:rPr>
      </w:pPr>
    </w:p>
    <w:p>
      <w:pPr>
        <w:spacing w:line="700" w:lineRule="exact"/>
        <w:ind w:firstLine="640" w:firstLineChars="200"/>
        <w:rPr>
          <w:rFonts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rPr>
        <w:t>2024</w:t>
      </w:r>
      <w:r>
        <w:rPr>
          <w:rFonts w:eastAsia="黑体"/>
          <w:szCs w:val="32"/>
        </w:rPr>
        <w:t>年收支预算总体情况</w:t>
      </w:r>
    </w:p>
    <w:p>
      <w:pPr>
        <w:ind w:firstLine="640" w:firstLineChars="200"/>
        <w:rPr>
          <w:rFonts w:eastAsia="楷体"/>
          <w:szCs w:val="30"/>
        </w:rPr>
      </w:pPr>
      <w:r>
        <w:rPr>
          <w:rFonts w:hint="eastAsia" w:ascii="仿宋_GB2312" w:hAnsi="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w:t>
      </w:r>
      <w:r>
        <w:rPr>
          <w:rFonts w:ascii="仿宋_GB2312" w:hAnsi="仿宋_GB2312" w:cs="仿宋_GB2312"/>
          <w:szCs w:val="32"/>
          <w:u w:val="single"/>
        </w:rPr>
        <w:t>103.91</w:t>
      </w:r>
      <w:r>
        <w:rPr>
          <w:rFonts w:hint="eastAsia" w:ascii="仿宋_GB2312" w:hAnsi="仿宋_GB2312" w:cs="仿宋_GB2312"/>
          <w:szCs w:val="32"/>
        </w:rPr>
        <w:t>万元，其中：当年预算</w:t>
      </w:r>
      <w:r>
        <w:rPr>
          <w:rFonts w:ascii="仿宋_GB2312" w:hAnsi="仿宋_GB2312" w:cs="仿宋_GB2312"/>
          <w:szCs w:val="32"/>
          <w:u w:val="single"/>
        </w:rPr>
        <w:t>103.91</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万元。2024年当年预算比2023年预算减少</w:t>
      </w:r>
      <w:r>
        <w:rPr>
          <w:rFonts w:ascii="仿宋_GB2312" w:hAnsi="仿宋_GB2312" w:cs="仿宋_GB2312"/>
          <w:szCs w:val="32"/>
          <w:u w:val="single"/>
        </w:rPr>
        <w:t>10.99</w:t>
      </w:r>
      <w:r>
        <w:rPr>
          <w:rFonts w:hint="eastAsia" w:ascii="仿宋_GB2312" w:hAnsi="仿宋_GB2312" w:cs="仿宋_GB2312"/>
          <w:szCs w:val="32"/>
        </w:rPr>
        <w:t>万元，主要原因是</w:t>
      </w:r>
      <w:r>
        <w:rPr>
          <w:rFonts w:hint="eastAsia" w:ascii="仿宋_GB2312" w:hAnsi="仿宋_GB2312" w:cs="仿宋_GB2312"/>
          <w:szCs w:val="32"/>
        </w:rPr>
        <w:softHyphen/>
      </w:r>
      <w:r>
        <w:rPr>
          <w:rFonts w:hint="eastAsia" w:ascii="仿宋_GB2312" w:hAnsi="仿宋_GB2312" w:cs="仿宋_GB2312"/>
          <w:szCs w:val="32"/>
        </w:rPr>
        <w:softHyphen/>
      </w:r>
      <w:r>
        <w:rPr>
          <w:rFonts w:hint="eastAsia" w:ascii="仿宋_GB2312" w:hAnsi="仿宋_GB2312" w:cs="仿宋_GB2312"/>
          <w:szCs w:val="32"/>
        </w:rPr>
        <w:softHyphen/>
      </w:r>
      <w:r>
        <w:rPr>
          <w:rFonts w:hint="eastAsia" w:ascii="仿宋_GB2312" w:hAnsi="仿宋_GB2312" w:cs="仿宋_GB2312"/>
          <w:szCs w:val="32"/>
          <w:u w:val="single"/>
        </w:rPr>
        <w:t>人员经费减少</w:t>
      </w:r>
      <w:r>
        <w:rPr>
          <w:rFonts w:hint="eastAsia" w:ascii="仿宋_GB2312" w:hAnsi="仿宋_GB2312" w:cs="仿宋_GB2312"/>
          <w:szCs w:val="32"/>
        </w:rPr>
        <w:t>。</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二、2024年收入预算情况</w:t>
      </w:r>
    </w:p>
    <w:p>
      <w:pPr>
        <w:ind w:firstLine="640" w:firstLineChars="200"/>
        <w:rPr>
          <w:rFonts w:ascii="仿宋_GB2312" w:hAnsi="仿宋_GB2312" w:cs="仿宋_GB2312"/>
          <w:szCs w:val="32"/>
        </w:rPr>
      </w:pPr>
      <w:r>
        <w:rPr>
          <w:rFonts w:hint="eastAsia" w:ascii="仿宋_GB2312" w:hAnsi="仿宋_GB2312" w:cs="仿宋_GB2312"/>
          <w:szCs w:val="32"/>
        </w:rPr>
        <w:t>2024年收入预算</w:t>
      </w:r>
      <w:r>
        <w:rPr>
          <w:rFonts w:ascii="仿宋_GB2312" w:hAnsi="仿宋_GB2312" w:cs="仿宋_GB2312"/>
          <w:szCs w:val="32"/>
          <w:u w:val="single"/>
        </w:rPr>
        <w:t>103.91</w:t>
      </w:r>
      <w:r>
        <w:rPr>
          <w:rFonts w:hint="eastAsia" w:ascii="仿宋_GB2312" w:hAnsi="仿宋_GB2312" w:cs="仿宋_GB2312"/>
          <w:szCs w:val="32"/>
        </w:rPr>
        <w:t>万元，其中：本年收入</w:t>
      </w:r>
      <w:r>
        <w:rPr>
          <w:rFonts w:ascii="仿宋_GB2312" w:hAnsi="仿宋_GB2312" w:cs="仿宋_GB2312"/>
          <w:szCs w:val="32"/>
          <w:u w:val="single"/>
        </w:rPr>
        <w:t>103.91</w:t>
      </w:r>
      <w:r>
        <w:rPr>
          <w:rFonts w:hint="eastAsia" w:ascii="仿宋_GB2312" w:hAnsi="仿宋_GB2312" w:cs="仿宋_GB2312"/>
          <w:szCs w:val="32"/>
        </w:rPr>
        <w:t>万元，占</w:t>
      </w:r>
      <w:r>
        <w:rPr>
          <w:rFonts w:ascii="仿宋_GB2312" w:hAnsi="仿宋_GB2312" w:cs="仿宋_GB2312"/>
          <w:szCs w:val="32"/>
          <w:u w:val="single"/>
        </w:rPr>
        <w:t>100</w:t>
      </w:r>
      <w:r>
        <w:rPr>
          <w:rFonts w:hint="eastAsia" w:ascii="仿宋_GB2312" w:hAnsi="仿宋_GB2312" w:cs="仿宋_GB2312"/>
          <w:szCs w:val="32"/>
        </w:rPr>
        <w:t>%；上年结转</w:t>
      </w:r>
      <w:r>
        <w:rPr>
          <w:rFonts w:ascii="仿宋_GB2312" w:hAnsi="仿宋_GB2312" w:cs="仿宋_GB2312"/>
          <w:szCs w:val="32"/>
          <w:u w:val="single"/>
        </w:rPr>
        <w:t>0</w:t>
      </w:r>
      <w:r>
        <w:rPr>
          <w:rFonts w:hint="eastAsia" w:ascii="仿宋_GB2312" w:hAnsi="仿宋_GB2312" w:cs="仿宋_GB2312"/>
          <w:szCs w:val="32"/>
        </w:rPr>
        <w:t>万元，占</w:t>
      </w:r>
      <w:r>
        <w:rPr>
          <w:rFonts w:ascii="仿宋_GB2312" w:hAnsi="仿宋_GB2312" w:cs="仿宋_GB2312"/>
          <w:szCs w:val="32"/>
          <w:u w:val="single"/>
        </w:rPr>
        <w:t>0</w:t>
      </w:r>
      <w:r>
        <w:rPr>
          <w:rFonts w:hint="eastAsia" w:ascii="仿宋_GB2312" w:hAnsi="仿宋_GB2312" w:cs="仿宋_GB2312"/>
          <w:szCs w:val="32"/>
        </w:rPr>
        <w:t>%。本年收入中，一般公共预算拨款收入</w:t>
      </w:r>
      <w:r>
        <w:rPr>
          <w:rFonts w:ascii="仿宋_GB2312" w:hAnsi="仿宋_GB2312" w:cs="仿宋_GB2312"/>
          <w:szCs w:val="32"/>
          <w:u w:val="single"/>
        </w:rPr>
        <w:t>103.91</w:t>
      </w:r>
      <w:r>
        <w:rPr>
          <w:rFonts w:hint="eastAsia" w:ascii="仿宋_GB2312" w:hAnsi="仿宋_GB2312" w:cs="仿宋_GB2312"/>
          <w:szCs w:val="32"/>
        </w:rPr>
        <w:t>万元，占</w:t>
      </w:r>
      <w:r>
        <w:rPr>
          <w:rFonts w:ascii="仿宋_GB2312" w:hAnsi="仿宋_GB2312" w:cs="仿宋_GB2312"/>
          <w:szCs w:val="32"/>
          <w:u w:val="single"/>
        </w:rPr>
        <w:t>100</w:t>
      </w:r>
      <w:r>
        <w:rPr>
          <w:rFonts w:hint="eastAsia" w:ascii="仿宋_GB2312" w:hAnsi="仿宋_GB2312" w:cs="仿宋_GB2312"/>
          <w:szCs w:val="32"/>
        </w:rPr>
        <w:t>%；上年结转中，一般公共预算拨款结转</w:t>
      </w:r>
      <w:r>
        <w:rPr>
          <w:rFonts w:ascii="仿宋_GB2312" w:hAnsi="仿宋_GB2312" w:cs="仿宋_GB2312"/>
          <w:szCs w:val="32"/>
          <w:u w:val="single"/>
        </w:rPr>
        <w:t>0</w:t>
      </w:r>
      <w:r>
        <w:rPr>
          <w:rFonts w:hint="eastAsia" w:ascii="仿宋_GB2312" w:hAnsi="仿宋_GB2312" w:cs="仿宋_GB2312"/>
          <w:szCs w:val="32"/>
        </w:rPr>
        <w:t>万元，占</w:t>
      </w:r>
      <w:r>
        <w:rPr>
          <w:rFonts w:ascii="仿宋_GB2312" w:hAnsi="仿宋_GB2312" w:cs="仿宋_GB2312"/>
          <w:szCs w:val="32"/>
          <w:u w:val="single"/>
        </w:rPr>
        <w:t>0</w:t>
      </w:r>
      <w:r>
        <w:rPr>
          <w:rFonts w:hint="eastAsia" w:ascii="仿宋_GB2312" w:hAnsi="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rPr>
        <w:t>未涉及到的资金填“0”。</w:t>
      </w:r>
    </w:p>
    <w:p>
      <w:pPr>
        <w:ind w:firstLine="640" w:firstLineChars="200"/>
        <w:rPr>
          <w:rFonts w:ascii="黑体" w:hAnsi="黑体" w:eastAsia="黑体" w:cs="黑体"/>
          <w:szCs w:val="32"/>
        </w:rPr>
      </w:pPr>
      <w:r>
        <w:rPr>
          <w:rFonts w:hint="eastAsia" w:ascii="黑体" w:hAnsi="黑体" w:eastAsia="黑体" w:cs="黑体"/>
          <w:szCs w:val="32"/>
        </w:rPr>
        <w:t>三、2024年支出预算情况</w:t>
      </w:r>
    </w:p>
    <w:p>
      <w:pPr>
        <w:ind w:firstLine="640" w:firstLineChars="200"/>
        <w:rPr>
          <w:szCs w:val="32"/>
        </w:rPr>
      </w:pPr>
      <w:r>
        <w:rPr>
          <w:rFonts w:hint="eastAsia" w:ascii="仿宋_GB2312" w:hAnsi="仿宋_GB2312" w:cs="仿宋_GB2312"/>
          <w:szCs w:val="32"/>
        </w:rPr>
        <w:t>2024年支出预算</w:t>
      </w:r>
      <w:r>
        <w:rPr>
          <w:rFonts w:ascii="仿宋_GB2312" w:hAnsi="仿宋_GB2312" w:cs="仿宋_GB2312"/>
          <w:szCs w:val="32"/>
          <w:u w:val="single"/>
        </w:rPr>
        <w:t>103.91</w:t>
      </w:r>
      <w:r>
        <w:rPr>
          <w:rFonts w:hint="eastAsia" w:ascii="仿宋_GB2312" w:hAnsi="仿宋_GB2312" w:cs="仿宋_GB2312"/>
          <w:szCs w:val="32"/>
        </w:rPr>
        <w:t>万元，其中：基本支出</w:t>
      </w:r>
      <w:r>
        <w:rPr>
          <w:rFonts w:ascii="仿宋_GB2312" w:hAnsi="仿宋_GB2312" w:cs="仿宋_GB2312"/>
          <w:szCs w:val="32"/>
          <w:u w:val="single"/>
        </w:rPr>
        <w:t>103.91</w:t>
      </w:r>
      <w:r>
        <w:rPr>
          <w:rFonts w:hint="eastAsia" w:ascii="仿宋_GB2312" w:hAnsi="仿宋_GB2312" w:cs="仿宋_GB2312"/>
          <w:szCs w:val="32"/>
        </w:rPr>
        <w:t>万元，占</w:t>
      </w:r>
      <w:r>
        <w:rPr>
          <w:rFonts w:ascii="仿宋_GB2312" w:hAnsi="仿宋_GB2312" w:cs="仿宋_GB2312"/>
          <w:szCs w:val="32"/>
          <w:u w:val="single"/>
        </w:rPr>
        <w:t>100</w:t>
      </w:r>
      <w:r>
        <w:rPr>
          <w:rFonts w:hint="eastAsia" w:ascii="仿宋_GB2312" w:hAnsi="仿宋_GB2312" w:cs="仿宋_GB2312"/>
          <w:szCs w:val="32"/>
        </w:rPr>
        <w:t>%；项目支出</w:t>
      </w:r>
      <w:r>
        <w:rPr>
          <w:rFonts w:ascii="仿宋_GB2312" w:hAnsi="仿宋_GB2312" w:cs="仿宋_GB2312"/>
          <w:szCs w:val="32"/>
          <w:u w:val="single"/>
        </w:rPr>
        <w:t>0</w:t>
      </w:r>
      <w:r>
        <w:rPr>
          <w:rFonts w:hint="eastAsia" w:ascii="仿宋_GB2312" w:hAnsi="仿宋_GB2312" w:cs="仿宋_GB2312"/>
          <w:szCs w:val="32"/>
        </w:rPr>
        <w:t>万元，占</w:t>
      </w:r>
      <w:r>
        <w:rPr>
          <w:rFonts w:ascii="仿宋_GB2312" w:hAnsi="仿宋_GB2312" w:cs="仿宋_GB2312"/>
          <w:szCs w:val="32"/>
          <w:u w:val="single"/>
        </w:rPr>
        <w:t>0</w:t>
      </w:r>
      <w:r>
        <w:rPr>
          <w:rFonts w:hint="eastAsia" w:ascii="仿宋_GB2312" w:hAnsi="仿宋_GB2312" w:cs="仿宋_GB2312"/>
          <w:szCs w:val="32"/>
        </w:rPr>
        <w:t>%。</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ascii="黑体" w:hAnsi="黑体" w:eastAsia="黑体" w:cs="黑体"/>
          <w:szCs w:val="32"/>
        </w:rPr>
      </w:pPr>
      <w:r>
        <w:rPr>
          <w:rFonts w:hint="eastAsia" w:ascii="黑体" w:hAnsi="黑体" w:eastAsia="黑体" w:cs="黑体"/>
          <w:szCs w:val="32"/>
        </w:rPr>
        <w:t>四、2024年财政拨款收支预算情况</w:t>
      </w:r>
    </w:p>
    <w:p>
      <w:pPr>
        <w:ind w:firstLine="600"/>
        <w:rPr>
          <w:szCs w:val="32"/>
        </w:rPr>
      </w:pPr>
      <w:r>
        <w:rPr>
          <w:rFonts w:hint="eastAsia" w:ascii="仿宋_GB2312" w:hAnsi="仿宋_GB2312" w:cs="仿宋_GB2312"/>
          <w:szCs w:val="32"/>
        </w:rPr>
        <w:t>2024年财政拨款收支总预算</w:t>
      </w:r>
      <w:r>
        <w:rPr>
          <w:rFonts w:ascii="仿宋_GB2312" w:hAnsi="仿宋_GB2312" w:cs="仿宋_GB2312"/>
          <w:szCs w:val="32"/>
          <w:u w:val="single"/>
        </w:rPr>
        <w:t>103.91</w:t>
      </w:r>
      <w:r>
        <w:rPr>
          <w:rFonts w:hint="eastAsia" w:ascii="仿宋_GB2312" w:hAnsi="仿宋_GB2312" w:cs="仿宋_GB2312"/>
          <w:szCs w:val="32"/>
        </w:rPr>
        <w:t>万元，其中：本年收入</w:t>
      </w:r>
      <w:r>
        <w:rPr>
          <w:rFonts w:ascii="仿宋_GB2312" w:hAnsi="仿宋_GB2312" w:cs="仿宋_GB2312"/>
          <w:szCs w:val="32"/>
          <w:u w:val="single"/>
        </w:rPr>
        <w:t>103.91</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万元。支出包括：</w:t>
      </w:r>
      <w:r>
        <w:rPr>
          <w:rFonts w:hint="eastAsia" w:ascii="仿宋_GB2312" w:hAnsi="仿宋_GB2312" w:cs="仿宋_GB2312"/>
          <w:kern w:val="0"/>
          <w:szCs w:val="32"/>
        </w:rPr>
        <w:t>一般公共服务支出</w:t>
      </w:r>
      <w:r>
        <w:rPr>
          <w:rFonts w:ascii="仿宋_GB2312" w:hAnsi="仿宋_GB2312" w:cs="仿宋_GB2312"/>
          <w:szCs w:val="32"/>
          <w:u w:val="single"/>
        </w:rPr>
        <w:t>77.06</w:t>
      </w:r>
      <w:r>
        <w:rPr>
          <w:rFonts w:hint="eastAsia" w:ascii="仿宋_GB2312" w:hAnsi="仿宋_GB2312" w:cs="仿宋_GB2312"/>
          <w:szCs w:val="32"/>
        </w:rPr>
        <w:t>万元，</w:t>
      </w:r>
      <w:r>
        <w:rPr>
          <w:rFonts w:hint="eastAsia" w:ascii="仿宋_GB2312" w:hAnsi="仿宋_GB2312" w:cs="仿宋_GB2312"/>
          <w:kern w:val="0"/>
          <w:szCs w:val="32"/>
        </w:rPr>
        <w:t>社会保障和就业支出</w:t>
      </w:r>
      <w:r>
        <w:rPr>
          <w:rFonts w:ascii="仿宋_GB2312" w:hAnsi="仿宋_GB2312" w:cs="仿宋_GB2312"/>
          <w:szCs w:val="32"/>
          <w:u w:val="single"/>
        </w:rPr>
        <w:t>14.11</w:t>
      </w:r>
      <w:r>
        <w:rPr>
          <w:rFonts w:hint="eastAsia" w:ascii="仿宋_GB2312" w:hAnsi="仿宋_GB2312" w:cs="仿宋_GB2312"/>
          <w:szCs w:val="32"/>
        </w:rPr>
        <w:t>万元，</w:t>
      </w:r>
      <w:r>
        <w:rPr>
          <w:rFonts w:hint="eastAsia" w:ascii="仿宋_GB2312" w:hAnsi="仿宋_GB2312" w:cs="仿宋_GB2312"/>
          <w:kern w:val="0"/>
          <w:szCs w:val="32"/>
        </w:rPr>
        <w:t>卫生健康支出</w:t>
      </w:r>
      <w:r>
        <w:rPr>
          <w:rFonts w:ascii="仿宋_GB2312" w:hAnsi="仿宋_GB2312" w:cs="仿宋_GB2312"/>
          <w:szCs w:val="32"/>
          <w:u w:val="single"/>
        </w:rPr>
        <w:t>4.52</w:t>
      </w:r>
      <w:r>
        <w:rPr>
          <w:rFonts w:hint="eastAsia" w:ascii="仿宋_GB2312" w:hAnsi="仿宋_GB2312" w:cs="仿宋_GB2312"/>
          <w:szCs w:val="32"/>
        </w:rPr>
        <w:t>万元，</w:t>
      </w:r>
      <w:r>
        <w:rPr>
          <w:rFonts w:hint="eastAsia" w:ascii="仿宋_GB2312" w:hAnsi="仿宋_GB2312" w:cs="仿宋_GB2312"/>
          <w:kern w:val="0"/>
          <w:szCs w:val="32"/>
        </w:rPr>
        <w:t>住房保障支出</w:t>
      </w:r>
      <w:r>
        <w:rPr>
          <w:rFonts w:ascii="仿宋_GB2312" w:hAnsi="仿宋_GB2312" w:cs="仿宋_GB2312"/>
          <w:szCs w:val="32"/>
          <w:u w:val="single"/>
        </w:rPr>
        <w:t>8.22</w:t>
      </w:r>
      <w:r>
        <w:rPr>
          <w:rFonts w:hint="eastAsia" w:ascii="仿宋_GB2312" w:hAnsi="仿宋_GB2312" w:cs="仿宋_GB2312"/>
          <w:szCs w:val="32"/>
        </w:rPr>
        <w:t>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rPr>
        <w:t>未涉及到的资金填“0”。</w:t>
      </w:r>
    </w:p>
    <w:p>
      <w:pPr>
        <w:ind w:firstLine="640" w:firstLineChars="200"/>
        <w:rPr>
          <w:rFonts w:eastAsia="黑体"/>
          <w:szCs w:val="30"/>
        </w:rPr>
      </w:pPr>
      <w:r>
        <w:rPr>
          <w:rFonts w:hint="eastAsia" w:ascii="黑体" w:hAnsi="黑体" w:eastAsia="黑体" w:cs="黑体"/>
          <w:szCs w:val="30"/>
        </w:rPr>
        <w:t>五、2024年一般公共预算支出情况</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2024年一般公共预算拨款</w:t>
      </w:r>
      <w:r>
        <w:rPr>
          <w:rFonts w:ascii="仿宋_GB2312" w:hAnsi="仿宋_GB2312" w:cs="仿宋_GB2312"/>
          <w:szCs w:val="32"/>
          <w:u w:val="single"/>
        </w:rPr>
        <w:t>103.91</w:t>
      </w:r>
      <w:r>
        <w:rPr>
          <w:rFonts w:hint="eastAsia" w:ascii="仿宋_GB2312" w:hAnsi="仿宋_GB2312" w:cs="仿宋_GB2312"/>
          <w:szCs w:val="32"/>
        </w:rPr>
        <w:t>万元，其中：基本支出</w:t>
      </w:r>
      <w:r>
        <w:rPr>
          <w:rFonts w:ascii="仿宋_GB2312" w:hAnsi="仿宋_GB2312" w:cs="仿宋_GB2312"/>
          <w:szCs w:val="32"/>
          <w:u w:val="single"/>
        </w:rPr>
        <w:t>103.91</w:t>
      </w:r>
      <w:r>
        <w:rPr>
          <w:rFonts w:hint="eastAsia" w:ascii="仿宋_GB2312" w:hAnsi="仿宋_GB2312" w:cs="仿宋_GB2312"/>
          <w:szCs w:val="32"/>
        </w:rPr>
        <w:t>万元，占</w:t>
      </w:r>
      <w:r>
        <w:rPr>
          <w:rFonts w:ascii="仿宋_GB2312" w:hAnsi="仿宋_GB2312" w:cs="仿宋_GB2312"/>
          <w:szCs w:val="32"/>
          <w:u w:val="single"/>
        </w:rPr>
        <w:t>100</w:t>
      </w:r>
      <w:r>
        <w:rPr>
          <w:rFonts w:hint="eastAsia" w:ascii="仿宋_GB2312" w:hAnsi="仿宋_GB2312" w:cs="仿宋_GB2312"/>
          <w:szCs w:val="32"/>
        </w:rPr>
        <w:t>%；项目支出</w:t>
      </w:r>
      <w:r>
        <w:rPr>
          <w:rFonts w:ascii="仿宋_GB2312" w:hAnsi="仿宋_GB2312" w:cs="仿宋_GB2312"/>
          <w:szCs w:val="32"/>
          <w:u w:val="single"/>
        </w:rPr>
        <w:t>0</w:t>
      </w:r>
      <w:r>
        <w:rPr>
          <w:rFonts w:hint="eastAsia" w:ascii="仿宋_GB2312" w:hAnsi="仿宋_GB2312" w:cs="仿宋_GB2312"/>
          <w:szCs w:val="32"/>
        </w:rPr>
        <w:t>万元，占</w:t>
      </w:r>
      <w:r>
        <w:rPr>
          <w:rFonts w:ascii="仿宋_GB2312" w:hAnsi="仿宋_GB2312" w:cs="仿宋_GB2312"/>
          <w:szCs w:val="32"/>
          <w:u w:val="single"/>
        </w:rPr>
        <w:t>0</w:t>
      </w:r>
      <w:r>
        <w:rPr>
          <w:rFonts w:hint="eastAsia" w:ascii="仿宋_GB2312" w:hAnsi="仿宋_GB2312" w:cs="仿宋_GB2312"/>
          <w:szCs w:val="32"/>
        </w:rPr>
        <w:t>%。基本支出中，人员经费</w:t>
      </w:r>
      <w:r>
        <w:rPr>
          <w:rFonts w:ascii="仿宋_GB2312" w:hAnsi="仿宋_GB2312" w:cs="仿宋_GB2312"/>
          <w:szCs w:val="32"/>
          <w:u w:val="single"/>
        </w:rPr>
        <w:t>96.23</w:t>
      </w:r>
      <w:r>
        <w:rPr>
          <w:rFonts w:hint="eastAsia" w:ascii="仿宋_GB2312" w:hAnsi="仿宋_GB2312" w:cs="仿宋_GB2312"/>
          <w:szCs w:val="32"/>
        </w:rPr>
        <w:t>万元，占</w:t>
      </w:r>
      <w:r>
        <w:rPr>
          <w:rFonts w:ascii="仿宋_GB2312" w:hAnsi="仿宋_GB2312" w:cs="仿宋_GB2312"/>
          <w:szCs w:val="32"/>
          <w:u w:val="single"/>
        </w:rPr>
        <w:t>92.61</w:t>
      </w:r>
      <w:r>
        <w:rPr>
          <w:rFonts w:hint="eastAsia" w:ascii="仿宋_GB2312" w:hAnsi="仿宋_GB2312" w:cs="仿宋_GB2312"/>
          <w:szCs w:val="32"/>
        </w:rPr>
        <w:t>%；公用经费</w:t>
      </w:r>
      <w:r>
        <w:rPr>
          <w:rFonts w:ascii="仿宋_GB2312" w:hAnsi="仿宋_GB2312" w:cs="仿宋_GB2312"/>
          <w:szCs w:val="32"/>
          <w:u w:val="single"/>
        </w:rPr>
        <w:t>7.68</w:t>
      </w:r>
      <w:r>
        <w:rPr>
          <w:rFonts w:hint="eastAsia" w:ascii="仿宋_GB2312" w:hAnsi="仿宋_GB2312" w:cs="仿宋_GB2312"/>
          <w:szCs w:val="32"/>
        </w:rPr>
        <w:t>万元，占</w:t>
      </w:r>
      <w:r>
        <w:rPr>
          <w:rFonts w:ascii="仿宋_GB2312" w:hAnsi="仿宋_GB2312" w:cs="仿宋_GB2312"/>
          <w:szCs w:val="32"/>
          <w:u w:val="single"/>
        </w:rPr>
        <w:t>7.39</w:t>
      </w:r>
      <w:r>
        <w:rPr>
          <w:rFonts w:hint="eastAsia" w:ascii="仿宋_GB2312" w:hAnsi="仿宋_GB2312" w:cs="仿宋_GB2312"/>
          <w:szCs w:val="32"/>
        </w:rPr>
        <w:t>%。</w:t>
      </w:r>
    </w:p>
    <w:p>
      <w:pPr>
        <w:spacing w:line="520" w:lineRule="exact"/>
        <w:ind w:firstLine="200"/>
        <w:rPr>
          <w:rFonts w:ascii="仿宋_GB2312" w:hAnsi="仿宋_GB2312" w:cs="仿宋_GB2312"/>
          <w:szCs w:val="32"/>
        </w:rPr>
      </w:pPr>
      <w:r>
        <w:rPr>
          <w:rFonts w:hint="eastAsia" w:ascii="仿宋_GB2312" w:hAnsi="仿宋_GB2312" w:cs="仿宋_GB2312"/>
          <w:szCs w:val="32"/>
        </w:rPr>
        <w:t>一般公共服务（类）支出</w:t>
      </w:r>
      <w:r>
        <w:rPr>
          <w:rFonts w:ascii="仿宋_GB2312" w:hAnsi="仿宋_GB2312" w:cs="仿宋_GB2312"/>
          <w:szCs w:val="32"/>
          <w:u w:val="single"/>
        </w:rPr>
        <w:t>77.06</w:t>
      </w:r>
      <w:r>
        <w:rPr>
          <w:rFonts w:hint="eastAsia" w:ascii="仿宋_GB2312" w:hAnsi="仿宋_GB2312" w:cs="仿宋_GB2312"/>
          <w:szCs w:val="32"/>
        </w:rPr>
        <w:t>万元，占</w:t>
      </w:r>
      <w:r>
        <w:rPr>
          <w:rFonts w:ascii="仿宋_GB2312" w:hAnsi="仿宋_GB2312" w:cs="仿宋_GB2312"/>
          <w:szCs w:val="32"/>
          <w:u w:val="single"/>
        </w:rPr>
        <w:t>74.16</w:t>
      </w:r>
      <w:r>
        <w:rPr>
          <w:rFonts w:hint="eastAsia" w:ascii="仿宋_GB2312" w:hAnsi="仿宋_GB2312" w:cs="仿宋_GB2312"/>
          <w:szCs w:val="32"/>
        </w:rPr>
        <w:t>%，主要用于</w:t>
      </w:r>
      <w:r>
        <w:rPr>
          <w:rFonts w:hint="eastAsia" w:ascii="仿宋_GB2312" w:hAnsi="仿宋_GB2312" w:cs="仿宋_GB2312"/>
          <w:szCs w:val="32"/>
          <w:u w:val="single"/>
        </w:rPr>
        <w:t>履行单位职责需要发生人员经费及日常公用经费支出</w:t>
      </w:r>
      <w:r>
        <w:rPr>
          <w:rFonts w:hint="eastAsia" w:ascii="仿宋_GB2312" w:hAnsi="仿宋_GB2312" w:cs="仿宋_GB2312"/>
          <w:szCs w:val="32"/>
        </w:rPr>
        <w:t>。</w:t>
      </w:r>
    </w:p>
    <w:p>
      <w:pPr>
        <w:spacing w:line="520" w:lineRule="exact"/>
        <w:ind w:firstLine="200"/>
        <w:rPr>
          <w:rFonts w:ascii="仿宋_GB2312" w:hAnsi="仿宋_GB2312" w:cs="仿宋_GB2312"/>
          <w:szCs w:val="32"/>
        </w:rPr>
      </w:pPr>
      <w:r>
        <w:rPr>
          <w:rFonts w:hint="eastAsia" w:ascii="仿宋_GB2312" w:hAnsi="仿宋_GB2312" w:cs="仿宋_GB2312"/>
          <w:szCs w:val="32"/>
        </w:rPr>
        <w:t>社会保障和就业（类）支出</w:t>
      </w:r>
      <w:r>
        <w:rPr>
          <w:rFonts w:ascii="仿宋_GB2312" w:hAnsi="仿宋_GB2312" w:cs="仿宋_GB2312"/>
          <w:szCs w:val="32"/>
          <w:u w:val="single"/>
        </w:rPr>
        <w:t>14.11</w:t>
      </w:r>
      <w:r>
        <w:rPr>
          <w:rFonts w:hint="eastAsia" w:ascii="仿宋_GB2312" w:hAnsi="仿宋_GB2312" w:cs="仿宋_GB2312"/>
          <w:szCs w:val="32"/>
        </w:rPr>
        <w:t>万元，占</w:t>
      </w:r>
      <w:r>
        <w:rPr>
          <w:rFonts w:ascii="仿宋_GB2312" w:hAnsi="仿宋_GB2312" w:cs="仿宋_GB2312"/>
          <w:szCs w:val="32"/>
          <w:u w:val="single"/>
        </w:rPr>
        <w:t>13.58</w:t>
      </w:r>
      <w:r>
        <w:rPr>
          <w:rFonts w:hint="eastAsia" w:ascii="仿宋_GB2312" w:hAnsi="仿宋_GB2312" w:cs="仿宋_GB2312"/>
          <w:szCs w:val="32"/>
        </w:rPr>
        <w:t>%，主要用于</w:t>
      </w:r>
      <w:r>
        <w:rPr>
          <w:rFonts w:hint="eastAsia" w:ascii="仿宋_GB2312" w:hAnsi="仿宋_GB2312" w:cs="仿宋_GB2312"/>
          <w:szCs w:val="32"/>
          <w:u w:val="single"/>
        </w:rPr>
        <w:t>履行单位职责需要发生人员社会保险缴费支出</w:t>
      </w:r>
      <w:r>
        <w:rPr>
          <w:rFonts w:hint="eastAsia" w:ascii="仿宋_GB2312" w:hAnsi="仿宋_GB2312" w:cs="仿宋_GB2312"/>
          <w:szCs w:val="32"/>
        </w:rPr>
        <w:t>。</w:t>
      </w:r>
    </w:p>
    <w:p>
      <w:pPr>
        <w:spacing w:line="520" w:lineRule="exact"/>
        <w:ind w:firstLine="200"/>
        <w:rPr>
          <w:rFonts w:ascii="仿宋_GB2312" w:hAnsi="仿宋_GB2312" w:cs="仿宋_GB2312"/>
          <w:szCs w:val="32"/>
        </w:rPr>
      </w:pPr>
      <w:r>
        <w:rPr>
          <w:rFonts w:hint="eastAsia" w:ascii="仿宋_GB2312" w:hAnsi="仿宋_GB2312" w:cs="仿宋_GB2312"/>
          <w:szCs w:val="32"/>
        </w:rPr>
        <w:t>卫生健康支出</w:t>
      </w:r>
      <w:r>
        <w:rPr>
          <w:rFonts w:ascii="仿宋_GB2312" w:hAnsi="仿宋_GB2312" w:cs="仿宋_GB2312"/>
          <w:szCs w:val="32"/>
          <w:u w:val="single"/>
        </w:rPr>
        <w:t>4.52</w:t>
      </w:r>
      <w:r>
        <w:rPr>
          <w:rFonts w:hint="eastAsia" w:ascii="仿宋_GB2312" w:hAnsi="仿宋_GB2312" w:cs="仿宋_GB2312"/>
          <w:szCs w:val="32"/>
        </w:rPr>
        <w:t>万元，占</w:t>
      </w:r>
      <w:r>
        <w:rPr>
          <w:rFonts w:ascii="仿宋_GB2312" w:hAnsi="仿宋_GB2312" w:cs="仿宋_GB2312"/>
          <w:szCs w:val="32"/>
          <w:u w:val="single"/>
        </w:rPr>
        <w:t>4.35</w:t>
      </w:r>
      <w:r>
        <w:rPr>
          <w:rFonts w:hint="eastAsia" w:ascii="仿宋_GB2312" w:hAnsi="仿宋_GB2312" w:cs="仿宋_GB2312"/>
          <w:szCs w:val="32"/>
        </w:rPr>
        <w:t>%，主要用于</w:t>
      </w:r>
      <w:r>
        <w:rPr>
          <w:rFonts w:hint="eastAsia" w:ascii="仿宋_GB2312" w:hAnsi="仿宋_GB2312" w:cs="仿宋_GB2312"/>
          <w:szCs w:val="32"/>
          <w:u w:val="single"/>
        </w:rPr>
        <w:t>履行单位职责需要发生的人员医疗保险缴费支出</w:t>
      </w:r>
      <w:r>
        <w:rPr>
          <w:rFonts w:hint="eastAsia" w:ascii="仿宋_GB2312" w:hAnsi="仿宋_GB2312" w:cs="仿宋_GB2312"/>
          <w:szCs w:val="32"/>
        </w:rPr>
        <w:t>_。</w:t>
      </w:r>
    </w:p>
    <w:p>
      <w:pPr>
        <w:spacing w:line="520" w:lineRule="exact"/>
        <w:ind w:firstLine="200"/>
        <w:rPr>
          <w:szCs w:val="32"/>
        </w:rPr>
      </w:pPr>
      <w:r>
        <w:rPr>
          <w:rFonts w:hint="eastAsia" w:ascii="仿宋_GB2312" w:hAnsi="仿宋_GB2312" w:cs="仿宋_GB2312"/>
          <w:szCs w:val="32"/>
        </w:rPr>
        <w:t>住房保障（类）支出</w:t>
      </w:r>
      <w:r>
        <w:rPr>
          <w:rFonts w:ascii="仿宋_GB2312" w:hAnsi="仿宋_GB2312" w:cs="仿宋_GB2312"/>
          <w:szCs w:val="32"/>
          <w:u w:val="single"/>
        </w:rPr>
        <w:t>8.22</w:t>
      </w:r>
      <w:r>
        <w:rPr>
          <w:rFonts w:hint="eastAsia" w:ascii="仿宋_GB2312" w:hAnsi="仿宋_GB2312" w:cs="仿宋_GB2312"/>
          <w:szCs w:val="32"/>
        </w:rPr>
        <w:t>万元，占</w:t>
      </w:r>
      <w:r>
        <w:rPr>
          <w:rFonts w:ascii="仿宋_GB2312" w:hAnsi="仿宋_GB2312" w:cs="仿宋_GB2312"/>
          <w:szCs w:val="32"/>
          <w:u w:val="single"/>
        </w:rPr>
        <w:t>7.91</w:t>
      </w:r>
      <w:r>
        <w:rPr>
          <w:rFonts w:hint="eastAsia" w:ascii="仿宋_GB2312" w:hAnsi="仿宋_GB2312" w:cs="仿宋_GB2312"/>
          <w:szCs w:val="32"/>
        </w:rPr>
        <w:t>%，主要用于_</w:t>
      </w:r>
      <w:r>
        <w:rPr>
          <w:rFonts w:hint="eastAsia" w:ascii="仿宋_GB2312" w:hAnsi="仿宋_GB2312" w:cs="仿宋_GB2312"/>
          <w:szCs w:val="32"/>
          <w:u w:val="single"/>
        </w:rPr>
        <w:t>履行单位职责需要发生人员住房公积金缴费支出</w:t>
      </w:r>
      <w:r>
        <w:rPr>
          <w:rFonts w:hint="eastAsia" w:ascii="仿宋_GB2312" w:hAnsi="仿宋_GB2312" w:cs="仿宋_GB2312"/>
          <w:szCs w:val="32"/>
        </w:rPr>
        <w:t>_。</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ascii="黑体" w:hAnsi="黑体" w:eastAsia="黑体" w:cs="黑体"/>
          <w:szCs w:val="32"/>
        </w:rPr>
      </w:pPr>
      <w:r>
        <w:rPr>
          <w:rFonts w:hint="eastAsia" w:ascii="黑体" w:hAnsi="黑体" w:eastAsia="黑体" w:cs="黑体"/>
          <w:szCs w:val="32"/>
        </w:rPr>
        <w:t>六、2024年一般公共预算基本支出情况</w:t>
      </w:r>
    </w:p>
    <w:p>
      <w:pPr>
        <w:ind w:firstLine="640"/>
        <w:rPr>
          <w:rFonts w:ascii="仿宋_GB2312" w:hAnsi="仿宋_GB2312" w:cs="仿宋_GB2312"/>
          <w:szCs w:val="32"/>
        </w:rPr>
      </w:pPr>
      <w:r>
        <w:rPr>
          <w:rFonts w:hint="eastAsia" w:ascii="仿宋_GB2312" w:hAnsi="仿宋_GB2312" w:cs="仿宋_GB2312"/>
          <w:szCs w:val="32"/>
        </w:rPr>
        <w:t>2024年一般公共预算基本支出</w:t>
      </w:r>
      <w:r>
        <w:rPr>
          <w:rFonts w:ascii="仿宋_GB2312" w:hAnsi="仿宋_GB2312" w:cs="仿宋_GB2312"/>
          <w:szCs w:val="32"/>
          <w:u w:val="single"/>
        </w:rPr>
        <w:t>103.91</w:t>
      </w:r>
      <w:r>
        <w:rPr>
          <w:rFonts w:hint="eastAsia" w:ascii="仿宋_GB2312" w:hAnsi="仿宋_GB2312" w:cs="仿宋_GB2312"/>
          <w:szCs w:val="32"/>
        </w:rPr>
        <w:t>万元，其中：</w:t>
      </w:r>
    </w:p>
    <w:p>
      <w:pPr>
        <w:ind w:firstLine="640" w:firstLineChars="200"/>
        <w:rPr>
          <w:rFonts w:ascii="仿宋_GB2312" w:hAnsi="仿宋_GB2312" w:cs="仿宋_GB2312"/>
          <w:kern w:val="0"/>
          <w:szCs w:val="32"/>
        </w:rPr>
      </w:pPr>
      <w:r>
        <w:rPr>
          <w:rFonts w:hint="eastAsia" w:ascii="仿宋_GB2312" w:hAnsi="仿宋_GB2312" w:cs="仿宋_GB2312"/>
          <w:szCs w:val="32"/>
        </w:rPr>
        <w:t>人员经费</w:t>
      </w:r>
      <w:r>
        <w:rPr>
          <w:rFonts w:ascii="仿宋_GB2312" w:hAnsi="仿宋_GB2312" w:cs="仿宋_GB2312"/>
          <w:szCs w:val="32"/>
          <w:u w:val="single"/>
        </w:rPr>
        <w:t>96.23</w:t>
      </w:r>
      <w:r>
        <w:rPr>
          <w:rFonts w:hint="eastAsia" w:ascii="仿宋_GB2312" w:hAnsi="仿宋_GB2312" w:cs="仿宋_GB2312"/>
          <w:szCs w:val="32"/>
        </w:rPr>
        <w:t>万元，主要包括：</w:t>
      </w:r>
      <w:r>
        <w:rPr>
          <w:rFonts w:hint="eastAsia" w:ascii="仿宋_GB2312" w:hAnsi="仿宋_GB2312" w:cs="仿宋_GB2312"/>
          <w:kern w:val="0"/>
          <w:szCs w:val="32"/>
        </w:rPr>
        <w:t>基本工资</w:t>
      </w:r>
      <w:r>
        <w:rPr>
          <w:rFonts w:ascii="仿宋_GB2312" w:hAnsi="仿宋_GB2312" w:cs="仿宋_GB2312"/>
          <w:kern w:val="0"/>
          <w:szCs w:val="32"/>
          <w:u w:val="single"/>
        </w:rPr>
        <w:t>37.35</w:t>
      </w:r>
      <w:r>
        <w:rPr>
          <w:rFonts w:hint="eastAsia" w:ascii="仿宋_GB2312" w:hAnsi="仿宋_GB2312" w:cs="仿宋_GB2312"/>
          <w:kern w:val="0"/>
          <w:szCs w:val="32"/>
        </w:rPr>
        <w:t>万元、津贴补贴</w:t>
      </w:r>
      <w:r>
        <w:rPr>
          <w:rFonts w:ascii="仿宋_GB2312" w:hAnsi="仿宋_GB2312" w:cs="仿宋_GB2312"/>
          <w:kern w:val="0"/>
          <w:szCs w:val="32"/>
          <w:u w:val="single"/>
        </w:rPr>
        <w:t>2.44</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奖金</w:t>
      </w:r>
      <w:r>
        <w:rPr>
          <w:rFonts w:ascii="仿宋_GB2312" w:hAnsi="仿宋_GB2312" w:cs="仿宋_GB2312"/>
          <w:kern w:val="0"/>
          <w:szCs w:val="32"/>
          <w:u w:val="single"/>
        </w:rPr>
        <w:t>7.72</w:t>
      </w:r>
      <w:r>
        <w:rPr>
          <w:rFonts w:hint="eastAsia" w:ascii="仿宋_GB2312" w:hAnsi="仿宋_GB2312" w:cs="仿宋_GB2312"/>
          <w:kern w:val="0"/>
          <w:szCs w:val="32"/>
        </w:rPr>
        <w:t>万元</w:t>
      </w:r>
      <w:r>
        <w:rPr>
          <w:rFonts w:hint="eastAsia" w:ascii="仿宋_GB2312" w:hAnsi="仿宋_GB2312" w:cs="仿宋_GB2312"/>
          <w:szCs w:val="32"/>
        </w:rPr>
        <w:t>、绩效工资</w:t>
      </w:r>
      <w:r>
        <w:rPr>
          <w:rFonts w:ascii="仿宋_GB2312" w:hAnsi="仿宋_GB2312" w:cs="仿宋_GB2312"/>
          <w:szCs w:val="32"/>
          <w:u w:val="single"/>
        </w:rPr>
        <w:t>20.95</w:t>
      </w:r>
      <w:r>
        <w:rPr>
          <w:rFonts w:hint="eastAsia" w:ascii="仿宋_GB2312" w:hAnsi="仿宋_GB2312" w:cs="仿宋_GB2312"/>
          <w:szCs w:val="32"/>
        </w:rPr>
        <w:t>万元、</w:t>
      </w:r>
      <w:r>
        <w:rPr>
          <w:rFonts w:hint="eastAsia" w:ascii="仿宋_GB2312" w:hAnsi="仿宋_GB2312" w:cs="仿宋_GB2312"/>
          <w:kern w:val="0"/>
          <w:szCs w:val="32"/>
        </w:rPr>
        <w:t>社会保障缴费</w:t>
      </w:r>
      <w:r>
        <w:rPr>
          <w:rFonts w:ascii="仿宋_GB2312" w:hAnsi="仿宋_GB2312" w:cs="仿宋_GB2312"/>
          <w:kern w:val="0"/>
          <w:szCs w:val="32"/>
          <w:u w:val="single"/>
        </w:rPr>
        <w:t>18.63</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其他工资福利支出</w:t>
      </w:r>
      <w:r>
        <w:rPr>
          <w:rFonts w:ascii="仿宋_GB2312" w:hAnsi="仿宋_GB2312" w:cs="仿宋_GB2312"/>
          <w:kern w:val="0"/>
          <w:szCs w:val="32"/>
          <w:u w:val="single"/>
        </w:rPr>
        <w:t>0.92</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住房公积金</w:t>
      </w:r>
      <w:r>
        <w:rPr>
          <w:rFonts w:hint="eastAsia" w:ascii="仿宋_GB2312" w:hAnsi="仿宋_GB2312" w:cs="仿宋_GB2312"/>
          <w:kern w:val="0"/>
          <w:szCs w:val="32"/>
          <w:u w:val="single"/>
        </w:rPr>
        <w:t>8.22</w:t>
      </w:r>
      <w:r>
        <w:rPr>
          <w:rFonts w:hint="eastAsia" w:ascii="仿宋_GB2312" w:hAnsi="仿宋_GB2312" w:cs="仿宋_GB2312"/>
          <w:kern w:val="0"/>
          <w:szCs w:val="32"/>
        </w:rPr>
        <w:t>万元。</w:t>
      </w:r>
    </w:p>
    <w:p>
      <w:pPr>
        <w:ind w:firstLine="640" w:firstLineChars="200"/>
        <w:rPr>
          <w:szCs w:val="32"/>
        </w:rPr>
      </w:pPr>
      <w:r>
        <w:rPr>
          <w:rFonts w:hint="eastAsia" w:ascii="仿宋_GB2312" w:hAnsi="仿宋_GB2312" w:cs="仿宋_GB2312"/>
          <w:kern w:val="0"/>
          <w:szCs w:val="32"/>
        </w:rPr>
        <w:t>公用经费</w:t>
      </w:r>
      <w:r>
        <w:rPr>
          <w:rFonts w:ascii="仿宋_GB2312" w:hAnsi="仿宋_GB2312" w:cs="仿宋_GB2312"/>
          <w:szCs w:val="32"/>
          <w:u w:val="single"/>
        </w:rPr>
        <w:t>7.68</w:t>
      </w:r>
      <w:r>
        <w:rPr>
          <w:rFonts w:hint="eastAsia" w:ascii="仿宋_GB2312" w:hAnsi="仿宋_GB2312" w:cs="仿宋_GB2312"/>
          <w:szCs w:val="32"/>
        </w:rPr>
        <w:t>万元，主要包括：</w:t>
      </w:r>
      <w:r>
        <w:rPr>
          <w:rFonts w:hint="eastAsia" w:ascii="仿宋_GB2312" w:hAnsi="仿宋_GB2312" w:cs="仿宋_GB2312"/>
          <w:kern w:val="0"/>
          <w:szCs w:val="32"/>
        </w:rPr>
        <w:t>办公费</w:t>
      </w:r>
      <w:r>
        <w:rPr>
          <w:rFonts w:ascii="仿宋_GB2312" w:hAnsi="仿宋_GB2312" w:cs="仿宋_GB2312"/>
          <w:kern w:val="0"/>
          <w:szCs w:val="32"/>
          <w:u w:val="single"/>
        </w:rPr>
        <w:t>6.18</w:t>
      </w:r>
      <w:r>
        <w:rPr>
          <w:rFonts w:hint="eastAsia" w:ascii="仿宋_GB2312" w:hAnsi="仿宋_GB2312" w:cs="仿宋_GB2312"/>
          <w:kern w:val="0"/>
          <w:szCs w:val="32"/>
        </w:rPr>
        <w:t>万元</w:t>
      </w:r>
      <w:r>
        <w:rPr>
          <w:rFonts w:hint="eastAsia" w:ascii="仿宋_GB2312" w:hAnsi="仿宋_GB2312" w:cs="仿宋_GB2312"/>
          <w:szCs w:val="32"/>
        </w:rPr>
        <w:t>、手续</w:t>
      </w:r>
      <w:r>
        <w:rPr>
          <w:rFonts w:hint="eastAsia" w:ascii="仿宋_GB2312" w:hAnsi="仿宋_GB2312" w:cs="仿宋_GB2312"/>
          <w:kern w:val="0"/>
          <w:szCs w:val="32"/>
        </w:rPr>
        <w:t>费</w:t>
      </w:r>
      <w:r>
        <w:rPr>
          <w:rFonts w:hint="eastAsia" w:ascii="仿宋_GB2312" w:hAnsi="仿宋_GB2312" w:cs="仿宋_GB2312"/>
          <w:kern w:val="0"/>
          <w:szCs w:val="32"/>
          <w:u w:val="single"/>
        </w:rPr>
        <w:t>0</w:t>
      </w:r>
      <w:r>
        <w:rPr>
          <w:rFonts w:ascii="仿宋_GB2312" w:hAnsi="仿宋_GB2312" w:cs="仿宋_GB2312"/>
          <w:kern w:val="0"/>
          <w:szCs w:val="32"/>
          <w:u w:val="single"/>
        </w:rPr>
        <w:t>.1</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差旅费</w:t>
      </w:r>
      <w:r>
        <w:rPr>
          <w:rFonts w:ascii="仿宋_GB2312" w:hAnsi="仿宋_GB2312" w:cs="仿宋_GB2312"/>
          <w:kern w:val="0"/>
          <w:szCs w:val="32"/>
          <w:u w:val="single"/>
        </w:rPr>
        <w:t>0.8</w:t>
      </w:r>
      <w:r>
        <w:rPr>
          <w:rFonts w:hint="eastAsia" w:ascii="仿宋_GB2312" w:hAnsi="仿宋_GB2312" w:cs="仿宋_GB2312"/>
          <w:kern w:val="0"/>
          <w:szCs w:val="32"/>
        </w:rPr>
        <w:t>万元</w:t>
      </w:r>
      <w:r>
        <w:rPr>
          <w:rFonts w:hint="eastAsia" w:ascii="仿宋_GB2312" w:hAnsi="仿宋_GB2312" w:cs="仿宋_GB2312"/>
          <w:szCs w:val="32"/>
        </w:rPr>
        <w:t>、办公设备购置</w:t>
      </w:r>
      <w:r>
        <w:rPr>
          <w:rFonts w:ascii="仿宋_GB2312" w:hAnsi="仿宋_GB2312" w:cs="仿宋_GB2312"/>
          <w:kern w:val="0"/>
          <w:szCs w:val="32"/>
          <w:u w:val="single"/>
        </w:rPr>
        <w:t>0.6</w:t>
      </w:r>
      <w:r>
        <w:rPr>
          <w:rFonts w:hint="eastAsia" w:ascii="仿宋_GB2312" w:hAnsi="仿宋_GB2312" w:cs="仿宋_GB2312"/>
          <w:kern w:val="0"/>
          <w:szCs w:val="32"/>
        </w:rPr>
        <w:t>万元。</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七、2024年一般公共预算财政拨款“三公”经费情况</w:t>
      </w:r>
    </w:p>
    <w:p>
      <w:pPr>
        <w:ind w:firstLine="640" w:firstLineChars="200"/>
        <w:rPr>
          <w:rFonts w:ascii="仿宋_GB2312" w:hAnsi="仿宋_GB2312" w:cs="仿宋_GB2312"/>
          <w:szCs w:val="32"/>
        </w:rPr>
      </w:pPr>
      <w:r>
        <w:rPr>
          <w:rFonts w:hint="eastAsia" w:ascii="仿宋_GB2312" w:hAnsi="仿宋_GB2312" w:cs="仿宋_GB2312"/>
          <w:szCs w:val="32"/>
        </w:rPr>
        <w:t>2024年“三公”经费预算数为</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万元。2024年当年预算数比202</w:t>
      </w:r>
      <w:r>
        <w:rPr>
          <w:rFonts w:ascii="仿宋_GB2312" w:hAnsi="仿宋_GB2312" w:cs="仿宋_GB2312"/>
          <w:szCs w:val="32"/>
        </w:rPr>
        <w:t>3</w:t>
      </w:r>
      <w:r>
        <w:rPr>
          <w:rFonts w:hint="eastAsia" w:ascii="仿宋_GB2312" w:hAnsi="仿宋_GB2312" w:cs="仿宋_GB2312"/>
          <w:szCs w:val="32"/>
        </w:rPr>
        <w:t>年预算数减少</w:t>
      </w:r>
      <w:r>
        <w:rPr>
          <w:rFonts w:ascii="仿宋_GB2312" w:hAnsi="仿宋_GB2312" w:cs="仿宋_GB2312"/>
          <w:szCs w:val="32"/>
          <w:u w:val="single"/>
        </w:rPr>
        <w:t>0</w:t>
      </w:r>
      <w:r>
        <w:rPr>
          <w:rFonts w:hint="eastAsia" w:ascii="仿宋_GB2312" w:hAnsi="仿宋_GB2312" w:cs="仿宋_GB2312"/>
          <w:szCs w:val="32"/>
        </w:rPr>
        <w:t>万元。其中：</w:t>
      </w:r>
    </w:p>
    <w:p>
      <w:pPr>
        <w:ind w:firstLine="640" w:firstLineChars="200"/>
        <w:rPr>
          <w:rFonts w:ascii="仿宋_GB2312" w:hAnsi="仿宋_GB2312" w:cs="仿宋_GB2312"/>
          <w:szCs w:val="32"/>
        </w:rPr>
      </w:pPr>
      <w:r>
        <w:rPr>
          <w:rFonts w:hint="eastAsia" w:ascii="仿宋_GB2312" w:hAnsi="仿宋_GB2312" w:cs="仿宋_GB2312"/>
          <w:szCs w:val="32"/>
        </w:rPr>
        <w:t>1.因公出国（境）费</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万元。2024年当年预算数比2023年预算数增加（减少）</w:t>
      </w:r>
      <w:r>
        <w:rPr>
          <w:rFonts w:ascii="仿宋_GB2312" w:hAnsi="仿宋_GB2312" w:cs="仿宋_GB2312"/>
          <w:szCs w:val="32"/>
          <w:u w:val="single"/>
        </w:rPr>
        <w:t>0</w:t>
      </w:r>
      <w:r>
        <w:rPr>
          <w:rFonts w:hint="eastAsia" w:ascii="仿宋_GB2312" w:hAnsi="仿宋_GB2312" w:cs="仿宋_GB2312"/>
          <w:szCs w:val="32"/>
        </w:rPr>
        <w:t>万元，主要原因是_______________。</w:t>
      </w:r>
    </w:p>
    <w:p>
      <w:pPr>
        <w:ind w:firstLine="640" w:firstLineChars="200"/>
        <w:rPr>
          <w:rFonts w:ascii="仿宋_GB2312" w:hAnsi="仿宋_GB2312" w:cs="仿宋_GB2312"/>
          <w:szCs w:val="32"/>
        </w:rPr>
      </w:pPr>
      <w:r>
        <w:rPr>
          <w:rFonts w:hint="eastAsia" w:ascii="仿宋_GB2312" w:hAnsi="仿宋_GB2312" w:cs="仿宋_GB2312"/>
          <w:szCs w:val="32"/>
        </w:rPr>
        <w:t>2.公务接待费</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5</w:t>
      </w:r>
      <w:r>
        <w:rPr>
          <w:rFonts w:hint="eastAsia" w:ascii="仿宋_GB2312" w:hAnsi="仿宋_GB2312" w:cs="仿宋_GB2312"/>
          <w:szCs w:val="32"/>
        </w:rPr>
        <w:t>万元。2024年当年预算数比2023年预算数减少</w:t>
      </w:r>
      <w:r>
        <w:rPr>
          <w:rFonts w:ascii="仿宋_GB2312" w:hAnsi="仿宋_GB2312" w:cs="仿宋_GB2312"/>
          <w:szCs w:val="32"/>
          <w:u w:val="single"/>
        </w:rPr>
        <w:t>0</w:t>
      </w:r>
      <w:r>
        <w:rPr>
          <w:rFonts w:hint="eastAsia" w:ascii="仿宋_GB2312" w:hAnsi="仿宋_GB2312" w:cs="仿宋_GB2312"/>
          <w:szCs w:val="32"/>
        </w:rPr>
        <w:t>万元，主要原因是</w:t>
      </w:r>
      <w:r>
        <w:rPr>
          <w:rFonts w:hint="eastAsia" w:ascii="仿宋_GB2312" w:hAnsi="仿宋_GB2312" w:cs="仿宋_GB2312"/>
          <w:szCs w:val="32"/>
          <w:u w:val="single"/>
        </w:rPr>
        <w:t xml:space="preserve"> </w:t>
      </w:r>
      <w:r>
        <w:rPr>
          <w:rFonts w:ascii="仿宋_GB2312" w:hAnsi="仿宋_GB2312" w:cs="仿宋_GB2312"/>
          <w:szCs w:val="32"/>
          <w:u w:val="single"/>
        </w:rPr>
        <w:t xml:space="preserve">         </w:t>
      </w:r>
      <w:r>
        <w:rPr>
          <w:rFonts w:hint="eastAsia" w:ascii="仿宋_GB2312" w:hAnsi="仿宋_GB2312" w:cs="仿宋_GB2312"/>
          <w:szCs w:val="32"/>
        </w:rPr>
        <w:t>。</w:t>
      </w:r>
    </w:p>
    <w:p>
      <w:pPr>
        <w:ind w:firstLine="640" w:firstLineChars="200"/>
        <w:rPr>
          <w:rFonts w:ascii="仿宋_GB2312" w:hAnsi="仿宋_GB2312" w:cs="仿宋_GB2312"/>
          <w:szCs w:val="32"/>
        </w:rPr>
      </w:pPr>
      <w:r>
        <w:rPr>
          <w:rFonts w:hint="eastAsia" w:ascii="仿宋_GB2312" w:hAnsi="仿宋_GB2312" w:cs="仿宋_GB2312"/>
          <w:szCs w:val="32"/>
        </w:rPr>
        <w:t>3.公务用车购置及运行费</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_万元；上年结转</w:t>
      </w:r>
      <w:r>
        <w:rPr>
          <w:rFonts w:ascii="仿宋_GB2312" w:hAnsi="仿宋_GB2312" w:cs="仿宋_GB2312"/>
          <w:szCs w:val="32"/>
          <w:u w:val="single"/>
        </w:rPr>
        <w:t>0</w:t>
      </w:r>
      <w:r>
        <w:rPr>
          <w:rFonts w:hint="eastAsia" w:ascii="仿宋_GB2312" w:hAnsi="仿宋_GB2312" w:cs="仿宋_GB2312"/>
          <w:szCs w:val="32"/>
        </w:rPr>
        <w:t>万元。2024年当年预算数比2023年预算数增加（减少）</w:t>
      </w:r>
      <w:r>
        <w:rPr>
          <w:rFonts w:ascii="仿宋_GB2312" w:hAnsi="仿宋_GB2312" w:cs="仿宋_GB2312"/>
          <w:szCs w:val="32"/>
          <w:u w:val="single"/>
        </w:rPr>
        <w:t>0</w:t>
      </w:r>
      <w:r>
        <w:rPr>
          <w:rFonts w:hint="eastAsia" w:ascii="仿宋_GB2312" w:hAnsi="仿宋_GB2312" w:cs="仿宋_GB2312"/>
          <w:szCs w:val="32"/>
        </w:rPr>
        <w:t>万元。公务用车运行维护费</w:t>
      </w:r>
      <w:r>
        <w:rPr>
          <w:rFonts w:ascii="仿宋_GB2312" w:hAnsi="仿宋_GB2312" w:cs="仿宋_GB2312"/>
          <w:szCs w:val="32"/>
          <w:u w:val="single"/>
        </w:rPr>
        <w:t>0</w:t>
      </w:r>
      <w:r>
        <w:rPr>
          <w:rFonts w:hint="eastAsia" w:ascii="仿宋_GB2312" w:hAnsi="仿宋_GB2312" w:cs="仿宋_GB2312"/>
          <w:szCs w:val="32"/>
        </w:rPr>
        <w:t>万元，其中：当年预算</w:t>
      </w:r>
      <w:r>
        <w:rPr>
          <w:rFonts w:hint="eastAsia"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万元。2024年当年预算数比2023年预算数增加（减少）</w:t>
      </w:r>
      <w:r>
        <w:rPr>
          <w:rFonts w:ascii="仿宋_GB2312" w:hAnsi="仿宋_GB2312" w:cs="仿宋_GB2312"/>
          <w:szCs w:val="32"/>
          <w:u w:val="single"/>
        </w:rPr>
        <w:t>0</w:t>
      </w:r>
      <w:r>
        <w:rPr>
          <w:rFonts w:hint="eastAsia" w:ascii="仿宋_GB2312" w:hAnsi="仿宋_GB2312" w:cs="仿宋_GB2312"/>
          <w:szCs w:val="32"/>
        </w:rPr>
        <w:t>万元，主要原因是_____；公务用车购置费</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万元。2024年当年预算数比2023年预算数增加（减少）</w:t>
      </w:r>
      <w:r>
        <w:rPr>
          <w:rFonts w:ascii="仿宋_GB2312" w:hAnsi="仿宋_GB2312" w:cs="仿宋_GB2312"/>
          <w:szCs w:val="32"/>
          <w:u w:val="single"/>
        </w:rPr>
        <w:t>0</w:t>
      </w:r>
      <w:r>
        <w:rPr>
          <w:rFonts w:hint="eastAsia" w:ascii="仿宋_GB2312" w:hAnsi="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八、2024年政府性基金预算支出情况</w:t>
      </w:r>
    </w:p>
    <w:p>
      <w:pPr>
        <w:ind w:firstLine="640"/>
        <w:rPr>
          <w:szCs w:val="32"/>
        </w:rPr>
      </w:pPr>
      <w:r>
        <w:rPr>
          <w:rFonts w:hint="eastAsia" w:ascii="仿宋_GB2312" w:hAnsi="仿宋_GB2312" w:cs="仿宋_GB2312"/>
          <w:szCs w:val="32"/>
        </w:rPr>
        <w:t>2024年无政府性基金预算支出。</w:t>
      </w:r>
    </w:p>
    <w:p>
      <w:pPr>
        <w:ind w:firstLine="640" w:firstLineChars="200"/>
        <w:rPr>
          <w:rFonts w:ascii="黑体" w:hAnsi="黑体" w:eastAsia="黑体" w:cs="黑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ascii="黑体" w:hAnsi="黑体" w:eastAsia="黑体" w:cs="黑体"/>
          <w:szCs w:val="32"/>
        </w:rPr>
      </w:pPr>
      <w:r>
        <w:rPr>
          <w:rFonts w:hint="eastAsia" w:ascii="黑体" w:hAnsi="黑体" w:eastAsia="黑体" w:cs="黑体"/>
          <w:szCs w:val="32"/>
        </w:rPr>
        <w:t>九、2024年国有资本经营预算支出情况</w:t>
      </w:r>
    </w:p>
    <w:p>
      <w:pPr>
        <w:ind w:firstLine="640"/>
        <w:rPr>
          <w:rFonts w:eastAsia="楷体"/>
          <w:szCs w:val="32"/>
        </w:rPr>
      </w:pPr>
      <w:r>
        <w:rPr>
          <w:rFonts w:hint="eastAsia" w:ascii="仿宋_GB2312" w:hAnsi="仿宋_GB2312" w:cs="仿宋_GB2312"/>
          <w:szCs w:val="32"/>
        </w:rPr>
        <w:t>2024年无国有资本经营预算支出。</w:t>
      </w:r>
      <w:bookmarkStart w:id="0" w:name="_GoBack"/>
      <w:bookmarkEnd w:id="0"/>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2024年部门本级</w:t>
      </w:r>
      <w:r>
        <w:rPr>
          <w:rFonts w:hint="eastAsia" w:ascii="仿宋_GB2312" w:hAnsi="仿宋_GB2312" w:cs="仿宋_GB2312"/>
          <w:szCs w:val="32"/>
          <w:u w:val="single"/>
        </w:rPr>
        <w:t>1</w:t>
      </w:r>
      <w:r>
        <w:rPr>
          <w:rFonts w:hint="eastAsia" w:ascii="仿宋_GB2312" w:hAnsi="仿宋_GB2312" w:cs="仿宋_GB2312"/>
          <w:szCs w:val="32"/>
        </w:rPr>
        <w:t>家行政单位的机关运行经费财政拨款预算</w:t>
      </w:r>
      <w:r>
        <w:rPr>
          <w:rFonts w:ascii="仿宋_GB2312" w:hAnsi="仿宋_GB2312" w:cs="仿宋_GB2312"/>
          <w:szCs w:val="32"/>
          <w:u w:val="single"/>
        </w:rPr>
        <w:t>0</w:t>
      </w:r>
      <w:r>
        <w:rPr>
          <w:rFonts w:hint="eastAsia" w:ascii="仿宋_GB2312" w:hAnsi="仿宋_GB2312" w:cs="仿宋_GB2312"/>
          <w:szCs w:val="32"/>
        </w:rPr>
        <w:t>万元，比202</w:t>
      </w:r>
      <w:r>
        <w:rPr>
          <w:rFonts w:ascii="仿宋_GB2312" w:hAnsi="仿宋_GB2312" w:cs="仿宋_GB2312"/>
          <w:szCs w:val="32"/>
        </w:rPr>
        <w:t>3</w:t>
      </w:r>
      <w:r>
        <w:rPr>
          <w:rFonts w:hint="eastAsia" w:ascii="仿宋_GB2312" w:hAnsi="仿宋_GB2312" w:cs="仿宋_GB2312"/>
          <w:szCs w:val="32"/>
        </w:rPr>
        <w:t>年预算增加</w:t>
      </w:r>
      <w:r>
        <w:rPr>
          <w:rFonts w:ascii="仿宋_GB2312" w:hAnsi="仿宋_GB2312" w:cs="仿宋_GB2312"/>
          <w:szCs w:val="32"/>
          <w:u w:val="single"/>
        </w:rPr>
        <w:t>0</w:t>
      </w:r>
      <w:r>
        <w:rPr>
          <w:rFonts w:hint="eastAsia" w:ascii="仿宋_GB2312" w:hAnsi="仿宋_GB2312" w:cs="仿宋_GB2312"/>
          <w:szCs w:val="32"/>
        </w:rPr>
        <w:t>万元，增长</w:t>
      </w:r>
      <w:r>
        <w:rPr>
          <w:rFonts w:ascii="仿宋_GB2312" w:hAnsi="仿宋_GB2312" w:cs="仿宋_GB2312"/>
          <w:szCs w:val="32"/>
          <w:u w:val="single"/>
        </w:rPr>
        <w:t>0</w:t>
      </w:r>
      <w:r>
        <w:rPr>
          <w:rFonts w:hint="eastAsia" w:ascii="仿宋_GB2312" w:hAnsi="仿宋_GB2312" w:cs="仿宋_GB2312"/>
          <w:szCs w:val="32"/>
        </w:rPr>
        <w:t>%，主要原因是</w:t>
      </w:r>
      <w:r>
        <w:rPr>
          <w:rFonts w:hint="eastAsia" w:ascii="仿宋_GB2312" w:hAnsi="仿宋_GB2312" w:cs="仿宋_GB2312"/>
          <w:szCs w:val="32"/>
          <w:u w:val="single"/>
        </w:rPr>
        <w:t xml:space="preserve"> </w:t>
      </w:r>
      <w:r>
        <w:rPr>
          <w:rFonts w:ascii="仿宋_GB2312" w:hAnsi="仿宋_GB2312" w:cs="仿宋_GB2312"/>
          <w:szCs w:val="32"/>
          <w:u w:val="single"/>
        </w:rPr>
        <w:t xml:space="preserve">       </w:t>
      </w:r>
      <w:r>
        <w:rPr>
          <w:rFonts w:hint="eastAsia" w:ascii="仿宋_GB2312" w:hAnsi="仿宋_GB2312" w:cs="仿宋_GB2312"/>
          <w:szCs w:val="32"/>
        </w:rPr>
        <w:t>。</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（二）政府采购情况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2024年政府采购预算总额</w:t>
      </w:r>
      <w:r>
        <w:rPr>
          <w:rFonts w:ascii="仿宋_GB2312" w:hAnsi="仿宋_GB2312" w:cs="仿宋_GB2312"/>
          <w:szCs w:val="32"/>
          <w:u w:val="single"/>
        </w:rPr>
        <w:t>0</w:t>
      </w:r>
      <w:r>
        <w:rPr>
          <w:rFonts w:hint="eastAsia" w:ascii="仿宋_GB2312" w:hAnsi="仿宋_GB2312" w:cs="仿宋_GB2312"/>
          <w:szCs w:val="32"/>
        </w:rPr>
        <w:t>万元，其中：政府采购货物预算</w:t>
      </w:r>
      <w:r>
        <w:rPr>
          <w:rFonts w:ascii="仿宋_GB2312" w:hAnsi="仿宋_GB2312" w:cs="仿宋_GB2312"/>
          <w:szCs w:val="32"/>
          <w:u w:val="single"/>
        </w:rPr>
        <w:t>0</w:t>
      </w:r>
      <w:r>
        <w:rPr>
          <w:rFonts w:hint="eastAsia" w:ascii="仿宋_GB2312" w:hAnsi="仿宋_GB2312" w:cs="仿宋_GB2312"/>
          <w:szCs w:val="32"/>
        </w:rPr>
        <w:t>万元、政府采购工程预算</w:t>
      </w:r>
      <w:r>
        <w:rPr>
          <w:rFonts w:ascii="仿宋_GB2312" w:hAnsi="仿宋_GB2312" w:cs="仿宋_GB2312"/>
          <w:szCs w:val="32"/>
          <w:u w:val="single"/>
        </w:rPr>
        <w:t>0</w:t>
      </w:r>
      <w:r>
        <w:rPr>
          <w:rFonts w:hint="eastAsia" w:ascii="仿宋_GB2312" w:hAnsi="仿宋_GB2312" w:cs="仿宋_GB2312"/>
          <w:szCs w:val="32"/>
        </w:rPr>
        <w:t>万元、政府采购服务预算</w:t>
      </w:r>
      <w:r>
        <w:rPr>
          <w:rFonts w:ascii="仿宋_GB2312" w:hAnsi="仿宋_GB2312" w:cs="仿宋_GB2312"/>
          <w:szCs w:val="32"/>
          <w:u w:val="single"/>
        </w:rPr>
        <w:t>0</w:t>
      </w:r>
      <w:r>
        <w:rPr>
          <w:rFonts w:hint="eastAsia" w:ascii="仿宋_GB2312" w:hAnsi="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截至2023年8月底，部门本级和所属各预算单位共有车辆</w:t>
      </w:r>
      <w:r>
        <w:rPr>
          <w:rFonts w:ascii="仿宋_GB2312" w:hAnsi="仿宋_GB2312" w:cs="仿宋_GB2312"/>
          <w:szCs w:val="32"/>
          <w:u w:val="single"/>
        </w:rPr>
        <w:t>0</w:t>
      </w:r>
      <w:r>
        <w:rPr>
          <w:rFonts w:hint="eastAsia" w:ascii="仿宋_GB2312" w:hAnsi="仿宋_GB2312" w:cs="仿宋_GB2312"/>
          <w:szCs w:val="32"/>
        </w:rPr>
        <w:t>辆，土地</w:t>
      </w:r>
      <w:r>
        <w:rPr>
          <w:rFonts w:ascii="仿宋_GB2312" w:hAnsi="仿宋_GB2312" w:cs="仿宋_GB2312"/>
          <w:szCs w:val="32"/>
          <w:u w:val="single"/>
        </w:rPr>
        <w:t>0</w:t>
      </w:r>
      <w:r>
        <w:rPr>
          <w:rFonts w:hint="eastAsia" w:ascii="仿宋_GB2312" w:hAnsi="仿宋_GB2312" w:cs="仿宋_GB2312"/>
          <w:szCs w:val="32"/>
        </w:rPr>
        <w:t>平方米，房屋</w:t>
      </w:r>
      <w:r>
        <w:rPr>
          <w:rFonts w:ascii="仿宋_GB2312" w:hAnsi="仿宋_GB2312" w:cs="仿宋_GB2312"/>
          <w:szCs w:val="32"/>
          <w:u w:val="single"/>
        </w:rPr>
        <w:t>0</w:t>
      </w:r>
      <w:r>
        <w:rPr>
          <w:rFonts w:hint="eastAsia" w:ascii="仿宋_GB2312" w:hAnsi="仿宋_GB2312" w:cs="仿宋_GB2312"/>
          <w:szCs w:val="32"/>
        </w:rPr>
        <w:t>平方米，单价50万元及以上的通用设备</w:t>
      </w:r>
      <w:r>
        <w:rPr>
          <w:rFonts w:ascii="仿宋_GB2312" w:hAnsi="仿宋_GB2312" w:cs="仿宋_GB2312"/>
          <w:szCs w:val="32"/>
          <w:u w:val="single"/>
        </w:rPr>
        <w:t>0</w:t>
      </w:r>
      <w:r>
        <w:rPr>
          <w:rFonts w:hint="eastAsia" w:ascii="仿宋_GB2312" w:hAnsi="仿宋_GB2312" w:cs="仿宋_GB2312"/>
          <w:szCs w:val="32"/>
        </w:rPr>
        <w:t>台/套，单价100万元及以上的专用设备实有数</w:t>
      </w:r>
      <w:r>
        <w:rPr>
          <w:rFonts w:ascii="仿宋_GB2312" w:hAnsi="仿宋_GB2312" w:cs="仿宋_GB2312"/>
          <w:szCs w:val="32"/>
          <w:u w:val="single"/>
        </w:rPr>
        <w:t>0</w:t>
      </w:r>
      <w:r>
        <w:rPr>
          <w:rFonts w:hint="eastAsia" w:ascii="仿宋_GB2312" w:hAnsi="仿宋_GB2312" w:cs="仿宋_GB2312"/>
          <w:szCs w:val="32"/>
        </w:rPr>
        <w:t>台/套。</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2024年部门预算安排购置车辆</w:t>
      </w:r>
      <w:r>
        <w:rPr>
          <w:rFonts w:ascii="仿宋_GB2312" w:hAnsi="仿宋_GB2312" w:cs="仿宋_GB2312"/>
          <w:szCs w:val="32"/>
          <w:u w:val="single"/>
        </w:rPr>
        <w:t>0</w:t>
      </w:r>
      <w:r>
        <w:rPr>
          <w:rFonts w:hint="eastAsia" w:ascii="仿宋_GB2312" w:hAnsi="仿宋_GB2312" w:cs="仿宋_GB2312"/>
          <w:szCs w:val="32"/>
        </w:rPr>
        <w:t>辆，安排购置土地</w:t>
      </w:r>
      <w:r>
        <w:rPr>
          <w:rFonts w:ascii="仿宋_GB2312" w:hAnsi="仿宋_GB2312" w:cs="仿宋_GB2312"/>
          <w:szCs w:val="32"/>
          <w:u w:val="single"/>
        </w:rPr>
        <w:t>0</w:t>
      </w:r>
      <w:r>
        <w:rPr>
          <w:rFonts w:hint="eastAsia" w:ascii="仿宋_GB2312" w:hAnsi="仿宋_GB2312" w:cs="仿宋_GB2312"/>
          <w:szCs w:val="32"/>
        </w:rPr>
        <w:t>平方米，安排购置房屋</w:t>
      </w:r>
      <w:r>
        <w:rPr>
          <w:rFonts w:ascii="仿宋_GB2312" w:hAnsi="仿宋_GB2312" w:cs="仿宋_GB2312"/>
          <w:szCs w:val="32"/>
          <w:u w:val="single"/>
        </w:rPr>
        <w:t>0</w:t>
      </w:r>
      <w:r>
        <w:rPr>
          <w:rFonts w:hint="eastAsia" w:ascii="仿宋_GB2312" w:hAnsi="仿宋_GB2312" w:cs="仿宋_GB2312"/>
          <w:szCs w:val="32"/>
        </w:rPr>
        <w:t>平方米，计划新增单价50万元及以上的通用设备</w:t>
      </w:r>
      <w:r>
        <w:rPr>
          <w:rFonts w:ascii="仿宋_GB2312" w:hAnsi="仿宋_GB2312" w:cs="仿宋_GB2312"/>
          <w:szCs w:val="32"/>
          <w:u w:val="single"/>
        </w:rPr>
        <w:t>0</w:t>
      </w:r>
      <w:r>
        <w:rPr>
          <w:rFonts w:hint="eastAsia" w:ascii="仿宋_GB2312" w:hAnsi="仿宋_GB2312" w:cs="仿宋_GB2312"/>
          <w:szCs w:val="32"/>
        </w:rPr>
        <w:t>台/套，计划新增单价100万元及以上的专用设备实有数</w:t>
      </w:r>
      <w:r>
        <w:rPr>
          <w:rFonts w:ascii="仿宋_GB2312" w:hAnsi="仿宋_GB2312" w:cs="仿宋_GB2312"/>
          <w:szCs w:val="32"/>
          <w:u w:val="single"/>
        </w:rPr>
        <w:t>0</w:t>
      </w:r>
      <w:r>
        <w:rPr>
          <w:rFonts w:hint="eastAsia" w:ascii="仿宋_GB2312" w:hAnsi="仿宋_GB2312" w:cs="仿宋_GB2312"/>
          <w:szCs w:val="32"/>
        </w:rPr>
        <w:t>台/套。</w:t>
      </w:r>
    </w:p>
    <w:p>
      <w:pPr>
        <w:numPr>
          <w:ilvl w:val="0"/>
          <w:numId w:val="1"/>
        </w:numPr>
        <w:spacing w:line="540" w:lineRule="exact"/>
        <w:ind w:firstLine="640" w:firstLineChars="200"/>
        <w:rPr>
          <w:rFonts w:eastAsia="楷体"/>
          <w:szCs w:val="32"/>
        </w:rPr>
      </w:pPr>
      <w:r>
        <w:rPr>
          <w:rFonts w:hint="eastAsia" w:eastAsia="楷体"/>
          <w:szCs w:val="32"/>
        </w:rPr>
        <w:t>项目支出情况说明</w:t>
      </w:r>
    </w:p>
    <w:p>
      <w:pPr>
        <w:spacing w:line="540" w:lineRule="exact"/>
        <w:ind w:firstLine="640" w:firstLineChars="200"/>
        <w:rPr>
          <w:rFonts w:ascii="仿宋_GB2312" w:hAnsi="仿宋_GB2312" w:cs="仿宋_GB2312"/>
        </w:rPr>
      </w:pPr>
      <w:r>
        <w:rPr>
          <w:rFonts w:hint="eastAsia" w:ascii="仿宋_GB2312" w:hAnsi="仿宋_GB2312" w:cs="仿宋_GB2312"/>
        </w:rPr>
        <w:t>2024年部门项目支出</w:t>
      </w:r>
      <w:r>
        <w:rPr>
          <w:rFonts w:ascii="仿宋_GB2312" w:hAnsi="仿宋_GB2312" w:cs="仿宋_GB2312"/>
          <w:szCs w:val="32"/>
          <w:u w:val="single"/>
        </w:rPr>
        <w:t>0</w:t>
      </w:r>
      <w:r>
        <w:rPr>
          <w:rFonts w:hint="eastAsia" w:ascii="仿宋_GB2312" w:hAnsi="仿宋_GB2312" w:cs="仿宋_GB2312"/>
          <w:szCs w:val="32"/>
        </w:rPr>
        <w:t>万元，其中：一级项目</w:t>
      </w:r>
      <w:r>
        <w:rPr>
          <w:rFonts w:ascii="仿宋_GB2312" w:hAnsi="仿宋_GB2312" w:cs="仿宋_GB2312"/>
          <w:szCs w:val="32"/>
          <w:u w:val="single"/>
        </w:rPr>
        <w:t>0</w:t>
      </w:r>
      <w:r>
        <w:rPr>
          <w:rFonts w:hint="eastAsia" w:ascii="仿宋_GB2312" w:hAnsi="仿宋_GB2312" w:cs="仿宋_GB2312"/>
          <w:szCs w:val="32"/>
        </w:rPr>
        <w:t>个，二级项目</w:t>
      </w:r>
      <w:r>
        <w:rPr>
          <w:rFonts w:ascii="仿宋_GB2312" w:hAnsi="仿宋_GB2312" w:cs="仿宋_GB2312"/>
          <w:szCs w:val="32"/>
          <w:u w:val="single"/>
        </w:rPr>
        <w:t>0</w:t>
      </w:r>
      <w:r>
        <w:rPr>
          <w:rFonts w:hint="eastAsia" w:ascii="仿宋_GB2312" w:hAnsi="仿宋_GB2312" w:cs="仿宋_GB2312"/>
          <w:szCs w:val="32"/>
        </w:rPr>
        <w:t>个；使用本年拨款</w:t>
      </w:r>
      <w:r>
        <w:rPr>
          <w:rFonts w:ascii="仿宋_GB2312" w:hAnsi="仿宋_GB2312" w:cs="仿宋_GB2312"/>
          <w:szCs w:val="32"/>
          <w:u w:val="single"/>
        </w:rPr>
        <w:t>0</w:t>
      </w:r>
      <w:r>
        <w:rPr>
          <w:rFonts w:hint="eastAsia" w:ascii="仿宋_GB2312" w:hAnsi="仿宋_GB2312" w:cs="仿宋_GB2312"/>
          <w:szCs w:val="32"/>
        </w:rPr>
        <w:t>万元，财政拨款结转</w:t>
      </w:r>
      <w:r>
        <w:rPr>
          <w:rFonts w:ascii="仿宋_GB2312" w:hAnsi="仿宋_GB2312" w:cs="仿宋_GB2312"/>
          <w:szCs w:val="32"/>
          <w:u w:val="single"/>
        </w:rPr>
        <w:t>0</w:t>
      </w:r>
      <w:r>
        <w:rPr>
          <w:rFonts w:hint="eastAsia" w:ascii="仿宋_GB2312" w:hAnsi="仿宋_GB2312" w:cs="仿宋_GB2312"/>
          <w:szCs w:val="32"/>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ascii="仿宋_GB2312" w:hAnsi="仿宋_GB2312" w:cs="仿宋_GB2312"/>
          <w:szCs w:val="32"/>
        </w:rPr>
      </w:pPr>
      <w:r>
        <w:rPr>
          <w:rFonts w:hint="eastAsia" w:ascii="仿宋_GB2312" w:hAnsi="仿宋_GB2312" w:cs="仿宋_GB2312"/>
        </w:rPr>
        <w:t>按照全面实施预算绩效管理的要求，结合本部门职能和重点工作，2024年确定</w:t>
      </w:r>
      <w:r>
        <w:rPr>
          <w:rFonts w:ascii="仿宋_GB2312" w:hAnsi="仿宋_GB2312" w:cs="仿宋_GB2312"/>
          <w:szCs w:val="32"/>
          <w:u w:val="single"/>
        </w:rPr>
        <w:t>0</w:t>
      </w:r>
      <w:r>
        <w:rPr>
          <w:rFonts w:hint="eastAsia" w:ascii="仿宋_GB2312" w:hAnsi="仿宋_GB2312" w:cs="仿宋_GB2312"/>
        </w:rPr>
        <w:t>个一级项目支出的绩效目标和指标向社会公开，涉及金额</w:t>
      </w:r>
      <w:r>
        <w:rPr>
          <w:rFonts w:ascii="仿宋_GB2312" w:hAnsi="仿宋_GB2312" w:cs="仿宋_GB2312"/>
          <w:szCs w:val="32"/>
          <w:u w:val="single"/>
        </w:rPr>
        <w:t>0</w:t>
      </w:r>
      <w:r>
        <w:rPr>
          <w:rFonts w:hint="eastAsia" w:ascii="仿宋_GB2312" w:hAnsi="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ascii="仿宋_GB2312" w:hAnsi="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cs="仿宋_GB2312"/>
          <w:szCs w:val="32"/>
        </w:rPr>
        <w:t>指除上述“一般公共预算拨款收入”、“政府性基金预算拨款收入”、“事业收入”、“事业单位经营收入”等以外的收入。</w:t>
      </w:r>
    </w:p>
    <w:p>
      <w:pPr>
        <w:ind w:firstLine="640"/>
        <w:rPr>
          <w:rFonts w:ascii="仿宋_GB2312" w:hAnsi="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细黑">
    <w:altName w:val="微软雅黑"/>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20</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drawingGridHorizontalSpacing w:val="156"/>
  <w:drawingGridVerticalSpacing w:val="287"/>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mNmQwNGI3ZjgzMTY2YTE4OTlhMDRhMzliNDdjMzYifQ=="/>
  </w:docVars>
  <w:rsids>
    <w:rsidRoot w:val="48674ED2"/>
    <w:rsid w:val="00080C63"/>
    <w:rsid w:val="0008766F"/>
    <w:rsid w:val="000C6D48"/>
    <w:rsid w:val="000D0667"/>
    <w:rsid w:val="000D7FB8"/>
    <w:rsid w:val="00102492"/>
    <w:rsid w:val="00145456"/>
    <w:rsid w:val="001578B3"/>
    <w:rsid w:val="0021141A"/>
    <w:rsid w:val="002153DA"/>
    <w:rsid w:val="002300BA"/>
    <w:rsid w:val="00292A39"/>
    <w:rsid w:val="002A5441"/>
    <w:rsid w:val="002E7CD8"/>
    <w:rsid w:val="00367BC1"/>
    <w:rsid w:val="00396D8D"/>
    <w:rsid w:val="00426F96"/>
    <w:rsid w:val="00487479"/>
    <w:rsid w:val="004E05BB"/>
    <w:rsid w:val="00514321"/>
    <w:rsid w:val="0053113D"/>
    <w:rsid w:val="00584D1B"/>
    <w:rsid w:val="00586A56"/>
    <w:rsid w:val="00586D15"/>
    <w:rsid w:val="005D5B16"/>
    <w:rsid w:val="005F314F"/>
    <w:rsid w:val="005F4F68"/>
    <w:rsid w:val="00613188"/>
    <w:rsid w:val="00623896"/>
    <w:rsid w:val="006358AE"/>
    <w:rsid w:val="006B3914"/>
    <w:rsid w:val="00762430"/>
    <w:rsid w:val="007638E0"/>
    <w:rsid w:val="00775B98"/>
    <w:rsid w:val="007A086A"/>
    <w:rsid w:val="007E1310"/>
    <w:rsid w:val="00812796"/>
    <w:rsid w:val="00825722"/>
    <w:rsid w:val="00841DA8"/>
    <w:rsid w:val="00851A6F"/>
    <w:rsid w:val="00870789"/>
    <w:rsid w:val="0087487B"/>
    <w:rsid w:val="00876AFD"/>
    <w:rsid w:val="00896C22"/>
    <w:rsid w:val="008C034B"/>
    <w:rsid w:val="008C5198"/>
    <w:rsid w:val="008E7880"/>
    <w:rsid w:val="0091631A"/>
    <w:rsid w:val="00932BEF"/>
    <w:rsid w:val="00983A8D"/>
    <w:rsid w:val="009B2F41"/>
    <w:rsid w:val="009C52E6"/>
    <w:rsid w:val="009E093A"/>
    <w:rsid w:val="009E3033"/>
    <w:rsid w:val="00A34894"/>
    <w:rsid w:val="00A73E5D"/>
    <w:rsid w:val="00A822A5"/>
    <w:rsid w:val="00A905DD"/>
    <w:rsid w:val="00A96058"/>
    <w:rsid w:val="00AD4E96"/>
    <w:rsid w:val="00B05DD3"/>
    <w:rsid w:val="00B06DE4"/>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65154"/>
    <w:rsid w:val="00D71247"/>
    <w:rsid w:val="00D76BBF"/>
    <w:rsid w:val="00DE3472"/>
    <w:rsid w:val="00DF0F79"/>
    <w:rsid w:val="00E00855"/>
    <w:rsid w:val="00E22C47"/>
    <w:rsid w:val="00E56F79"/>
    <w:rsid w:val="00E64963"/>
    <w:rsid w:val="00E67450"/>
    <w:rsid w:val="00E82D48"/>
    <w:rsid w:val="00E87F78"/>
    <w:rsid w:val="00E9601B"/>
    <w:rsid w:val="00EB7105"/>
    <w:rsid w:val="00EC73B7"/>
    <w:rsid w:val="00EE1F67"/>
    <w:rsid w:val="00F47B19"/>
    <w:rsid w:val="00F7193F"/>
    <w:rsid w:val="00F8523B"/>
    <w:rsid w:val="00FB293D"/>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4953B4"/>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4">
    <w:name w:val="页脚 New New New New New"/>
    <w:basedOn w:val="1"/>
    <w:qFormat/>
    <w:uiPriority w:val="0"/>
    <w:pPr>
      <w:tabs>
        <w:tab w:val="center" w:pos="4153"/>
        <w:tab w:val="right" w:pos="8306"/>
      </w:tabs>
      <w:snapToGrid w:val="0"/>
      <w:jc w:val="left"/>
    </w:pPr>
    <w:rPr>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sz w:val="18"/>
    </w:rPr>
  </w:style>
  <w:style w:type="paragraph" w:customStyle="1" w:styleId="54">
    <w:name w:val="页脚 New New New New New New New New New"/>
    <w:basedOn w:val="1"/>
    <w:qFormat/>
    <w:uiPriority w:val="0"/>
    <w:pPr>
      <w:tabs>
        <w:tab w:val="center" w:pos="4153"/>
        <w:tab w:val="right" w:pos="8306"/>
      </w:tabs>
      <w:snapToGrid w:val="0"/>
      <w:jc w:val="left"/>
    </w:pPr>
    <w:rPr>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sz w:val="18"/>
    </w:rPr>
  </w:style>
  <w:style w:type="paragraph" w:customStyle="1" w:styleId="60">
    <w:name w:val="页脚 New New New New New New"/>
    <w:basedOn w:val="1"/>
    <w:qFormat/>
    <w:uiPriority w:val="0"/>
    <w:pPr>
      <w:tabs>
        <w:tab w:val="center" w:pos="4153"/>
        <w:tab w:val="right" w:pos="8306"/>
      </w:tabs>
      <w:snapToGrid w:val="0"/>
      <w:jc w:val="left"/>
    </w:pPr>
    <w:rPr>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Template>
  <Pages>30</Pages>
  <Words>6360</Words>
  <Characters>7344</Characters>
  <Lines>68</Lines>
  <Paragraphs>19</Paragraphs>
  <TotalTime>232</TotalTime>
  <ScaleCrop>false</ScaleCrop>
  <LinksUpToDate>false</LinksUpToDate>
  <CharactersWithSpaces>7910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2024-01-24T06:26:00Z</dcterms:created>
  <dc:creator>Administrator</dc:creator>
  <cp:lastModifiedBy>Administrator</cp:lastModifiedBy>
  <cp:lastPrinted>2022-02-21T08:08:00Z</cp:lastPrinted>
  <dcterms:modified xsi:type="dcterms:W3CDTF">2024-01-31T08:23:35Z</dcterms:modified>
  <dc:title>主  持  词</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